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8B3" w:rsidRPr="006A18B3" w:rsidRDefault="006A18B3">
      <w:pPr>
        <w:rPr>
          <w:b/>
          <w:sz w:val="40"/>
          <w:lang w:val="fr-FR"/>
        </w:rPr>
      </w:pPr>
      <w:r w:rsidRPr="006A18B3">
        <w:rPr>
          <w:b/>
          <w:sz w:val="40"/>
          <w:lang w:val="fr-FR"/>
        </w:rPr>
        <w:t>Proposition d’indicateurs nécessaires à la mise en place d’un mécanisme de suivi des PFNL dans le cadre de l’OFAC</w:t>
      </w:r>
    </w:p>
    <w:p w:rsidR="00133E68" w:rsidRDefault="00133E68">
      <w:pPr>
        <w:rPr>
          <w:lang w:val="fr-FR"/>
        </w:rPr>
      </w:pPr>
    </w:p>
    <w:p w:rsidR="00133E68" w:rsidRDefault="00133E68">
      <w:pPr>
        <w:rPr>
          <w:lang w:val="fr-FR"/>
        </w:rPr>
      </w:pPr>
      <w:r>
        <w:rPr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4150"/>
        <w:gridCol w:w="2430"/>
        <w:gridCol w:w="2471"/>
        <w:gridCol w:w="2352"/>
      </w:tblGrid>
      <w:tr w:rsidR="006840C7" w:rsidTr="006840C7">
        <w:tc>
          <w:tcPr>
            <w:tcW w:w="3100" w:type="dxa"/>
          </w:tcPr>
          <w:p w:rsidR="006840C7" w:rsidRDefault="006840C7">
            <w:pPr>
              <w:rPr>
                <w:lang w:val="fr-FR"/>
              </w:rPr>
            </w:pPr>
            <w:r>
              <w:rPr>
                <w:lang w:val="fr-FR"/>
              </w:rPr>
              <w:t xml:space="preserve">Principe </w:t>
            </w:r>
          </w:p>
        </w:tc>
        <w:tc>
          <w:tcPr>
            <w:tcW w:w="4150" w:type="dxa"/>
          </w:tcPr>
          <w:p w:rsidR="006840C7" w:rsidRDefault="006840C7">
            <w:pPr>
              <w:rPr>
                <w:lang w:val="fr-FR"/>
              </w:rPr>
            </w:pPr>
            <w:r>
              <w:rPr>
                <w:lang w:val="fr-FR"/>
              </w:rPr>
              <w:t xml:space="preserve">Indicateur </w:t>
            </w:r>
          </w:p>
        </w:tc>
        <w:tc>
          <w:tcPr>
            <w:tcW w:w="2430" w:type="dxa"/>
          </w:tcPr>
          <w:p w:rsidR="006840C7" w:rsidRDefault="006840C7">
            <w:pPr>
              <w:rPr>
                <w:lang w:val="fr-FR"/>
              </w:rPr>
            </w:pPr>
            <w:r>
              <w:rPr>
                <w:lang w:val="fr-FR"/>
              </w:rPr>
              <w:t>Vérificateur</w:t>
            </w:r>
          </w:p>
        </w:tc>
        <w:tc>
          <w:tcPr>
            <w:tcW w:w="2471" w:type="dxa"/>
          </w:tcPr>
          <w:p w:rsidR="006840C7" w:rsidRDefault="006840C7">
            <w:pPr>
              <w:rPr>
                <w:lang w:val="fr-FR"/>
              </w:rPr>
            </w:pPr>
            <w:r>
              <w:rPr>
                <w:lang w:val="fr-FR"/>
              </w:rPr>
              <w:t xml:space="preserve">Situation de référence </w:t>
            </w:r>
          </w:p>
        </w:tc>
        <w:tc>
          <w:tcPr>
            <w:tcW w:w="2352" w:type="dxa"/>
          </w:tcPr>
          <w:p w:rsidR="006840C7" w:rsidRDefault="006840C7">
            <w:pPr>
              <w:rPr>
                <w:lang w:val="fr-FR"/>
              </w:rPr>
            </w:pPr>
            <w:r>
              <w:rPr>
                <w:lang w:val="fr-FR"/>
              </w:rPr>
              <w:t xml:space="preserve">Cible </w:t>
            </w:r>
          </w:p>
        </w:tc>
      </w:tr>
      <w:tr w:rsidR="006840C7" w:rsidTr="006840C7">
        <w:tc>
          <w:tcPr>
            <w:tcW w:w="3100" w:type="dxa"/>
            <w:vMerge w:val="restart"/>
          </w:tcPr>
          <w:p w:rsidR="006840C7" w:rsidRDefault="006840C7" w:rsidP="00A22FF2">
            <w:pPr>
              <w:rPr>
                <w:rFonts w:ascii="Arial" w:hAnsi="Arial"/>
                <w:color w:val="000000"/>
                <w:lang w:val="fr-FR"/>
              </w:rPr>
            </w:pPr>
          </w:p>
          <w:p w:rsidR="006840C7" w:rsidRPr="00A22FF2" w:rsidRDefault="004B6D3F" w:rsidP="004B6D3F">
            <w:pPr>
              <w:rPr>
                <w:lang w:val="fr-FR"/>
              </w:rPr>
            </w:pPr>
            <w:r>
              <w:rPr>
                <w:rFonts w:ascii="Arial" w:hAnsi="Arial"/>
                <w:color w:val="000000"/>
                <w:lang w:val="fr-FR"/>
              </w:rPr>
              <w:t xml:space="preserve">Améliorer le </w:t>
            </w:r>
            <w:r w:rsidR="006840C7" w:rsidRPr="00A22FF2">
              <w:rPr>
                <w:rFonts w:ascii="Arial" w:hAnsi="Arial"/>
                <w:color w:val="000000"/>
                <w:lang w:val="fr-FR"/>
              </w:rPr>
              <w:t>c</w:t>
            </w:r>
            <w:r w:rsidR="006840C7" w:rsidRPr="00A22FF2">
              <w:rPr>
                <w:rFonts w:ascii="Arial" w:hAnsi="Arial"/>
                <w:color w:val="000000"/>
                <w:lang w:val="fr-FR"/>
              </w:rPr>
              <w:t>adre politique</w:t>
            </w:r>
            <w:r w:rsidR="006840C7">
              <w:rPr>
                <w:rFonts w:ascii="Arial" w:hAnsi="Arial"/>
                <w:color w:val="000000"/>
                <w:lang w:val="fr-FR"/>
              </w:rPr>
              <w:t xml:space="preserve"> et institutionnel </w:t>
            </w:r>
          </w:p>
        </w:tc>
        <w:tc>
          <w:tcPr>
            <w:tcW w:w="4150" w:type="dxa"/>
          </w:tcPr>
          <w:p w:rsidR="006840C7" w:rsidRPr="0084649D" w:rsidRDefault="006840C7">
            <w:pPr>
              <w:rPr>
                <w:rFonts w:ascii="Arial" w:hAnsi="Arial"/>
                <w:i/>
                <w:color w:val="000000"/>
                <w:lang w:val="fr-FR"/>
              </w:rPr>
            </w:pPr>
            <w:r>
              <w:rPr>
                <w:rFonts w:ascii="Arial" w:hAnsi="Arial"/>
                <w:i/>
                <w:color w:val="000000"/>
                <w:lang w:val="fr-FR"/>
              </w:rPr>
              <w:t xml:space="preserve">Nombre de pays ayant mis en </w:t>
            </w:r>
            <w:r w:rsidRPr="0084649D">
              <w:rPr>
                <w:rFonts w:ascii="Arial" w:hAnsi="Arial"/>
                <w:i/>
                <w:color w:val="000000"/>
                <w:lang w:val="fr-FR"/>
              </w:rPr>
              <w:t>place au sein du ministère en charge des forê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ts, des structures spécialisées pour le suivi et la gestion PFNL </w:t>
            </w:r>
            <w:r w:rsidRPr="0084649D">
              <w:rPr>
                <w:rFonts w:ascii="Arial" w:hAnsi="Arial"/>
                <w:i/>
                <w:color w:val="000000"/>
                <w:lang w:val="fr-FR"/>
              </w:rPr>
              <w:t xml:space="preserve"> </w:t>
            </w:r>
          </w:p>
        </w:tc>
        <w:tc>
          <w:tcPr>
            <w:tcW w:w="2430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840C7" w:rsidRDefault="006840C7">
            <w:pPr>
              <w:rPr>
                <w:lang w:val="fr-FR"/>
              </w:rPr>
            </w:pPr>
          </w:p>
        </w:tc>
      </w:tr>
      <w:tr w:rsidR="006840C7" w:rsidTr="006840C7">
        <w:tc>
          <w:tcPr>
            <w:tcW w:w="3100" w:type="dxa"/>
            <w:vMerge/>
          </w:tcPr>
          <w:p w:rsidR="006840C7" w:rsidRDefault="006840C7" w:rsidP="00A22FF2">
            <w:pPr>
              <w:rPr>
                <w:rFonts w:ascii="Arial" w:hAnsi="Arial"/>
                <w:color w:val="000000"/>
                <w:lang w:val="fr-FR"/>
              </w:rPr>
            </w:pPr>
          </w:p>
        </w:tc>
        <w:tc>
          <w:tcPr>
            <w:tcW w:w="4150" w:type="dxa"/>
          </w:tcPr>
          <w:p w:rsidR="006840C7" w:rsidRPr="00317BCA" w:rsidRDefault="00317BCA" w:rsidP="00670228">
            <w:pPr>
              <w:jc w:val="both"/>
              <w:rPr>
                <w:rFonts w:ascii="Arial" w:hAnsi="Arial"/>
                <w:i/>
                <w:lang w:val="fr-FR"/>
              </w:rPr>
            </w:pPr>
            <w:r w:rsidRPr="00317BCA">
              <w:rPr>
                <w:rFonts w:ascii="Arial" w:hAnsi="Arial"/>
                <w:i/>
                <w:lang w:val="fr-FR"/>
              </w:rPr>
              <w:t>Nombre</w:t>
            </w:r>
            <w:r w:rsidR="006840C7" w:rsidRPr="00317BCA">
              <w:rPr>
                <w:rFonts w:ascii="Arial" w:hAnsi="Arial"/>
                <w:i/>
                <w:lang w:val="fr-FR"/>
              </w:rPr>
              <w:t xml:space="preserve"> de pays qui sont dotés de politiques et stratégies nationales sur les PFNL (10 en 2025)</w:t>
            </w:r>
          </w:p>
        </w:tc>
        <w:tc>
          <w:tcPr>
            <w:tcW w:w="2430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840C7" w:rsidRDefault="006840C7">
            <w:pPr>
              <w:rPr>
                <w:lang w:val="fr-FR"/>
              </w:rPr>
            </w:pPr>
          </w:p>
        </w:tc>
      </w:tr>
      <w:tr w:rsidR="006840C7" w:rsidTr="006840C7">
        <w:tc>
          <w:tcPr>
            <w:tcW w:w="3100" w:type="dxa"/>
            <w:vMerge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4150" w:type="dxa"/>
          </w:tcPr>
          <w:p w:rsidR="006840C7" w:rsidRPr="00317BCA" w:rsidRDefault="006840C7">
            <w:pPr>
              <w:rPr>
                <w:rFonts w:ascii="Arial" w:hAnsi="Arial"/>
                <w:i/>
                <w:color w:val="000000"/>
                <w:lang w:val="fr-FR"/>
              </w:rPr>
            </w:pPr>
            <w:r w:rsidRPr="00317BCA">
              <w:rPr>
                <w:rFonts w:ascii="Arial" w:hAnsi="Arial"/>
                <w:i/>
                <w:color w:val="000000"/>
                <w:lang w:val="fr-FR"/>
              </w:rPr>
              <w:t xml:space="preserve">Nombre de pays ayant </w:t>
            </w:r>
            <w:r w:rsidRPr="00317BCA">
              <w:rPr>
                <w:rFonts w:ascii="Arial" w:hAnsi="Arial"/>
                <w:i/>
                <w:color w:val="000000"/>
                <w:lang w:val="fr-FR"/>
              </w:rPr>
              <w:t>formalisé</w:t>
            </w:r>
            <w:r w:rsidRPr="00317BCA">
              <w:rPr>
                <w:rFonts w:ascii="Arial" w:hAnsi="Arial"/>
                <w:i/>
                <w:color w:val="000000"/>
                <w:lang w:val="fr-FR"/>
              </w:rPr>
              <w:t xml:space="preserve"> et  mis à disposition les moyens de fonctionnement des Comités Nationaux Consultatifs sur les Produits Forestiers Non Ligneux (CCN-PFNL) comme cadre de concertation intersectoriel pour la promotion de chaine de valeur des PFNL;</w:t>
            </w:r>
          </w:p>
        </w:tc>
        <w:tc>
          <w:tcPr>
            <w:tcW w:w="2430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840C7" w:rsidRDefault="006840C7">
            <w:pPr>
              <w:rPr>
                <w:lang w:val="fr-FR"/>
              </w:rPr>
            </w:pPr>
          </w:p>
        </w:tc>
      </w:tr>
      <w:tr w:rsidR="006A18B3" w:rsidTr="006840C7">
        <w:tc>
          <w:tcPr>
            <w:tcW w:w="3100" w:type="dxa"/>
            <w:vMerge w:val="restart"/>
          </w:tcPr>
          <w:p w:rsidR="006A18B3" w:rsidRDefault="006A18B3">
            <w:pPr>
              <w:rPr>
                <w:lang w:val="fr-FR"/>
              </w:rPr>
            </w:pPr>
            <w:r>
              <w:rPr>
                <w:rFonts w:ascii="Arial" w:hAnsi="Arial"/>
                <w:color w:val="000000"/>
                <w:lang w:val="fr-FR"/>
              </w:rPr>
              <w:t xml:space="preserve">Améliorer le cadre </w:t>
            </w:r>
            <w:proofErr w:type="gramStart"/>
            <w:r>
              <w:rPr>
                <w:rFonts w:ascii="Arial" w:hAnsi="Arial"/>
                <w:color w:val="000000"/>
                <w:lang w:val="fr-FR"/>
              </w:rPr>
              <w:t>légal ,</w:t>
            </w:r>
            <w:proofErr w:type="gramEnd"/>
            <w:r>
              <w:rPr>
                <w:rFonts w:ascii="Arial" w:hAnsi="Arial"/>
                <w:color w:val="000000"/>
                <w:lang w:val="fr-FR"/>
              </w:rPr>
              <w:t xml:space="preserve"> </w:t>
            </w:r>
            <w:r w:rsidRPr="00834707">
              <w:rPr>
                <w:rFonts w:ascii="Arial" w:hAnsi="Arial"/>
                <w:color w:val="000000"/>
                <w:lang w:val="fr-FR"/>
              </w:rPr>
              <w:t xml:space="preserve"> réglementaire </w:t>
            </w:r>
            <w:r>
              <w:rPr>
                <w:rFonts w:ascii="Arial" w:hAnsi="Arial"/>
                <w:color w:val="000000"/>
                <w:lang w:val="fr-FR"/>
              </w:rPr>
              <w:t xml:space="preserve">et fiscalité </w:t>
            </w:r>
            <w:r w:rsidRPr="00834707">
              <w:rPr>
                <w:rFonts w:ascii="Arial" w:hAnsi="Arial"/>
                <w:color w:val="000000"/>
                <w:lang w:val="fr-FR"/>
              </w:rPr>
              <w:t>des PFNL</w:t>
            </w:r>
          </w:p>
        </w:tc>
        <w:tc>
          <w:tcPr>
            <w:tcW w:w="4150" w:type="dxa"/>
          </w:tcPr>
          <w:p w:rsidR="006A18B3" w:rsidRDefault="006A18B3" w:rsidP="00D04A8C">
            <w:pPr>
              <w:rPr>
                <w:lang w:val="fr-FR"/>
              </w:rPr>
            </w:pPr>
            <w:r>
              <w:rPr>
                <w:rFonts w:ascii="Arial" w:hAnsi="Arial"/>
                <w:i/>
                <w:color w:val="000000"/>
                <w:lang w:val="fr-FR"/>
              </w:rPr>
              <w:t>Nombre</w:t>
            </w:r>
            <w:r w:rsidRPr="00D04A8C">
              <w:rPr>
                <w:rFonts w:ascii="Arial" w:hAnsi="Arial"/>
                <w:i/>
                <w:color w:val="000000"/>
                <w:lang w:val="fr-FR"/>
              </w:rPr>
              <w:t xml:space="preserve"> de pays qui ont un texte qui fixe la liste de  </w:t>
            </w:r>
            <w:r w:rsidRPr="00670228">
              <w:rPr>
                <w:rFonts w:ascii="Arial" w:hAnsi="Arial"/>
                <w:i/>
                <w:color w:val="000000"/>
                <w:lang w:val="fr-FR"/>
              </w:rPr>
              <w:t xml:space="preserve">classification/catégorisation des PFNL en fonction de leur valeur économique sociale et écologique </w:t>
            </w:r>
            <w:r w:rsidRPr="00D04A8C">
              <w:rPr>
                <w:rFonts w:ascii="Arial" w:hAnsi="Arial"/>
                <w:i/>
                <w:color w:val="000000"/>
                <w:highlight w:val="yellow"/>
                <w:lang w:val="fr-FR"/>
              </w:rPr>
              <w:t>(pas seulement ceux d’intérêts particuliers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) </w:t>
            </w:r>
            <w:r w:rsidRPr="00670228">
              <w:rPr>
                <w:rFonts w:ascii="Arial" w:hAnsi="Arial"/>
                <w:i/>
                <w:color w:val="000000"/>
                <w:lang w:val="fr-FR"/>
              </w:rPr>
              <w:t>;</w:t>
            </w:r>
          </w:p>
        </w:tc>
        <w:tc>
          <w:tcPr>
            <w:tcW w:w="2430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A18B3" w:rsidRDefault="006A18B3">
            <w:pPr>
              <w:rPr>
                <w:lang w:val="fr-FR"/>
              </w:rPr>
            </w:pPr>
          </w:p>
        </w:tc>
      </w:tr>
      <w:tr w:rsidR="006A18B3" w:rsidTr="006840C7">
        <w:tc>
          <w:tcPr>
            <w:tcW w:w="3100" w:type="dxa"/>
            <w:vMerge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4150" w:type="dxa"/>
          </w:tcPr>
          <w:p w:rsidR="006A18B3" w:rsidRPr="00D04A8C" w:rsidRDefault="006A18B3">
            <w:pPr>
              <w:rPr>
                <w:rFonts w:ascii="Arial" w:hAnsi="Arial"/>
                <w:i/>
                <w:color w:val="000000"/>
                <w:lang w:val="fr-FR"/>
              </w:rPr>
            </w:pPr>
            <w:r>
              <w:rPr>
                <w:rFonts w:ascii="Arial" w:hAnsi="Arial"/>
                <w:i/>
                <w:color w:val="000000"/>
                <w:lang w:val="fr-FR"/>
              </w:rPr>
              <w:t xml:space="preserve">Nombre de pays qui ont prévu dans la réglementation </w:t>
            </w:r>
            <w:r w:rsidRPr="00D04A8C">
              <w:rPr>
                <w:rFonts w:ascii="Arial" w:hAnsi="Arial"/>
                <w:i/>
                <w:color w:val="000000"/>
                <w:lang w:val="fr-FR"/>
              </w:rPr>
              <w:t>la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 possibilité de </w:t>
            </w:r>
            <w:r w:rsidRPr="00D04A8C">
              <w:rPr>
                <w:rFonts w:ascii="Arial" w:hAnsi="Arial"/>
                <w:i/>
                <w:color w:val="000000"/>
                <w:lang w:val="fr-FR"/>
              </w:rPr>
              <w:t xml:space="preserve"> délivrance de permis de gré à gré au niveau décentralisé pour la catégorie </w:t>
            </w:r>
            <w:r w:rsidRPr="00D04A8C">
              <w:rPr>
                <w:rFonts w:ascii="Arial" w:hAnsi="Arial"/>
                <w:i/>
                <w:color w:val="000000"/>
                <w:lang w:val="fr-FR"/>
              </w:rPr>
              <w:lastRenderedPageBreak/>
              <w:t xml:space="preserve">des PFNL non menacée </w:t>
            </w:r>
            <w:r>
              <w:rPr>
                <w:rFonts w:ascii="Arial" w:hAnsi="Arial"/>
                <w:i/>
                <w:color w:val="000000"/>
                <w:lang w:val="fr-FR"/>
              </w:rPr>
              <w:t>(</w:t>
            </w:r>
            <w:proofErr w:type="spellStart"/>
            <w:r>
              <w:rPr>
                <w:rFonts w:ascii="Arial" w:hAnsi="Arial"/>
                <w:i/>
                <w:color w:val="000000"/>
                <w:lang w:val="fr-FR"/>
              </w:rPr>
              <w:t>cf</w:t>
            </w:r>
            <w:proofErr w:type="spellEnd"/>
            <w:r>
              <w:rPr>
                <w:rFonts w:ascii="Arial" w:hAnsi="Arial"/>
                <w:i/>
                <w:color w:val="000000"/>
                <w:lang w:val="fr-FR"/>
              </w:rPr>
              <w:t xml:space="preserve"> Directive COMIFAC PFNL)</w:t>
            </w:r>
          </w:p>
        </w:tc>
        <w:tc>
          <w:tcPr>
            <w:tcW w:w="2430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A18B3" w:rsidRDefault="006A18B3">
            <w:pPr>
              <w:rPr>
                <w:lang w:val="fr-FR"/>
              </w:rPr>
            </w:pPr>
          </w:p>
        </w:tc>
      </w:tr>
      <w:tr w:rsidR="006A18B3" w:rsidTr="006840C7">
        <w:tc>
          <w:tcPr>
            <w:tcW w:w="3100" w:type="dxa"/>
            <w:vMerge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4150" w:type="dxa"/>
          </w:tcPr>
          <w:p w:rsidR="006A18B3" w:rsidRPr="006840C7" w:rsidRDefault="006A18B3" w:rsidP="008D0466">
            <w:pPr>
              <w:rPr>
                <w:rFonts w:ascii="Arial" w:hAnsi="Arial"/>
                <w:i/>
                <w:color w:val="000000"/>
                <w:lang w:val="fr-FR"/>
              </w:rPr>
            </w:pPr>
            <w:r w:rsidRPr="006840C7">
              <w:rPr>
                <w:rFonts w:ascii="Arial" w:hAnsi="Arial"/>
                <w:i/>
                <w:color w:val="000000"/>
                <w:lang w:val="fr-FR"/>
              </w:rPr>
              <w:t>Nombre de pays qui ont</w:t>
            </w:r>
            <w:r w:rsidRPr="006840C7">
              <w:rPr>
                <w:rFonts w:ascii="Arial" w:hAnsi="Arial"/>
                <w:i/>
                <w:color w:val="000000"/>
                <w:lang w:val="fr-FR"/>
              </w:rPr>
              <w:t xml:space="preserve"> </w:t>
            </w:r>
            <w:r w:rsidRPr="006840C7">
              <w:rPr>
                <w:rFonts w:ascii="Arial" w:hAnsi="Arial"/>
                <w:i/>
                <w:color w:val="000000"/>
                <w:lang w:val="fr-FR"/>
              </w:rPr>
              <w:t xml:space="preserve"> mis en place système institutionnel  pour la collecte des données et l</w:t>
            </w:r>
            <w:r w:rsidRPr="006840C7">
              <w:rPr>
                <w:rFonts w:ascii="Arial" w:hAnsi="Arial"/>
                <w:i/>
                <w:color w:val="000000"/>
                <w:lang w:val="fr-FR"/>
              </w:rPr>
              <w:t>e suivi des statistiques PFNL à travers la délivrance des documents administratifs sécurisés pour la circulation des PFNL</w:t>
            </w:r>
          </w:p>
        </w:tc>
        <w:tc>
          <w:tcPr>
            <w:tcW w:w="2430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A18B3" w:rsidRDefault="006A18B3">
            <w:pPr>
              <w:rPr>
                <w:lang w:val="fr-FR"/>
              </w:rPr>
            </w:pPr>
          </w:p>
        </w:tc>
      </w:tr>
      <w:tr w:rsidR="006A18B3" w:rsidTr="006840C7">
        <w:tc>
          <w:tcPr>
            <w:tcW w:w="3100" w:type="dxa"/>
            <w:vMerge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4150" w:type="dxa"/>
          </w:tcPr>
          <w:p w:rsidR="006A18B3" w:rsidRPr="006840C7" w:rsidRDefault="006A18B3" w:rsidP="00D04A8C">
            <w:pPr>
              <w:rPr>
                <w:rFonts w:ascii="Arial" w:hAnsi="Arial"/>
                <w:i/>
                <w:color w:val="000000"/>
                <w:lang w:val="fr-FR"/>
              </w:rPr>
            </w:pPr>
            <w:r w:rsidRPr="006840C7">
              <w:rPr>
                <w:rFonts w:ascii="Arial" w:hAnsi="Arial"/>
                <w:i/>
                <w:color w:val="000000"/>
                <w:lang w:val="fr-FR"/>
              </w:rPr>
              <w:t xml:space="preserve">Nombre de pays qui ont une </w:t>
            </w:r>
            <w:r w:rsidRPr="006840C7">
              <w:rPr>
                <w:rFonts w:ascii="Arial" w:hAnsi="Arial"/>
                <w:i/>
                <w:color w:val="000000"/>
                <w:lang w:val="fr-FR"/>
              </w:rPr>
              <w:t>fiscalité adaptée des PFNL en tenant compte du statut de vulnérabilité de chaque espèce, de l'importance économique, et de la nécessité de promouvoir les essences peu utilisées</w:t>
            </w:r>
          </w:p>
        </w:tc>
        <w:tc>
          <w:tcPr>
            <w:tcW w:w="2430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A18B3" w:rsidRDefault="006A18B3">
            <w:pPr>
              <w:rPr>
                <w:lang w:val="fr-FR"/>
              </w:rPr>
            </w:pPr>
          </w:p>
        </w:tc>
      </w:tr>
      <w:tr w:rsidR="006A18B3" w:rsidTr="006840C7">
        <w:tc>
          <w:tcPr>
            <w:tcW w:w="3100" w:type="dxa"/>
            <w:vMerge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4150" w:type="dxa"/>
          </w:tcPr>
          <w:p w:rsidR="006A18B3" w:rsidRDefault="006A18B3" w:rsidP="006840C7">
            <w:pPr>
              <w:rPr>
                <w:lang w:val="fr-FR"/>
              </w:rPr>
            </w:pPr>
            <w:r>
              <w:rPr>
                <w:rFonts w:ascii="Arial" w:hAnsi="Arial"/>
                <w:i/>
                <w:color w:val="000000"/>
                <w:lang w:val="fr-FR"/>
              </w:rPr>
              <w:t xml:space="preserve">Nombre </w:t>
            </w:r>
            <w:r w:rsidRPr="006840C7">
              <w:rPr>
                <w:rFonts w:ascii="Arial" w:hAnsi="Arial"/>
                <w:i/>
                <w:color w:val="000000"/>
                <w:lang w:val="fr-FR"/>
              </w:rPr>
              <w:t>de pays ayant une réglementation National APA (accès et partage des Avantage liés  à l’utilisation des ressources génétiques)</w:t>
            </w:r>
          </w:p>
        </w:tc>
        <w:tc>
          <w:tcPr>
            <w:tcW w:w="2430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A18B3" w:rsidRDefault="006A18B3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A18B3" w:rsidRDefault="006A18B3">
            <w:pPr>
              <w:rPr>
                <w:lang w:val="fr-FR"/>
              </w:rPr>
            </w:pPr>
          </w:p>
        </w:tc>
      </w:tr>
      <w:tr w:rsidR="00E67614" w:rsidTr="006840C7">
        <w:tc>
          <w:tcPr>
            <w:tcW w:w="3100" w:type="dxa"/>
            <w:vMerge w:val="restart"/>
          </w:tcPr>
          <w:p w:rsidR="00E67614" w:rsidRPr="00317BCA" w:rsidRDefault="00E67614">
            <w:pPr>
              <w:rPr>
                <w:rFonts w:ascii="Arial" w:hAnsi="Arial"/>
                <w:color w:val="000000"/>
                <w:lang w:val="fr-FR"/>
              </w:rPr>
            </w:pPr>
            <w:r w:rsidRPr="00317BCA">
              <w:rPr>
                <w:rFonts w:ascii="Arial" w:hAnsi="Arial"/>
                <w:color w:val="000000"/>
                <w:lang w:val="fr-FR"/>
              </w:rPr>
              <w:t xml:space="preserve">Améliorer la contribution des PFNL à l’économie nationale </w:t>
            </w:r>
          </w:p>
        </w:tc>
        <w:tc>
          <w:tcPr>
            <w:tcW w:w="4150" w:type="dxa"/>
          </w:tcPr>
          <w:p w:rsidR="00E67614" w:rsidRPr="00E67614" w:rsidRDefault="00E67614" w:rsidP="00B97165">
            <w:pPr>
              <w:rPr>
                <w:rFonts w:ascii="Arial" w:hAnsi="Arial"/>
                <w:i/>
                <w:color w:val="000000"/>
                <w:lang w:val="fr-FR"/>
              </w:rPr>
            </w:pPr>
            <w:r w:rsidRPr="00E67614">
              <w:rPr>
                <w:rFonts w:ascii="Arial" w:hAnsi="Arial"/>
                <w:i/>
                <w:color w:val="000000"/>
                <w:lang w:val="fr-FR"/>
              </w:rPr>
              <w:t xml:space="preserve">Nombre de pays ayant </w:t>
            </w:r>
            <w:r w:rsidR="00B97165" w:rsidRPr="00B97165">
              <w:rPr>
                <w:rFonts w:ascii="Arial" w:hAnsi="Arial"/>
                <w:i/>
                <w:color w:val="000000"/>
                <w:lang w:val="fr-FR"/>
              </w:rPr>
              <w:t>m</w:t>
            </w:r>
            <w:r w:rsidR="00B97165" w:rsidRPr="00B97165">
              <w:rPr>
                <w:rFonts w:ascii="Arial" w:hAnsi="Arial"/>
                <w:i/>
                <w:color w:val="000000"/>
                <w:lang w:val="fr-FR"/>
              </w:rPr>
              <w:t xml:space="preserve">is en place </w:t>
            </w:r>
            <w:r w:rsidR="00B97165" w:rsidRPr="00B97165">
              <w:rPr>
                <w:rFonts w:ascii="Arial" w:hAnsi="Arial"/>
                <w:i/>
                <w:color w:val="000000"/>
                <w:lang w:val="fr-FR"/>
              </w:rPr>
              <w:t>un cadre approprié pour mieux appréhender la contribution des PFNL à l’économie nationale</w:t>
            </w:r>
            <w:r w:rsidR="00B97165" w:rsidRPr="00B97165">
              <w:rPr>
                <w:rFonts w:ascii="Arial" w:hAnsi="Arial"/>
                <w:i/>
                <w:color w:val="000000"/>
                <w:lang w:val="fr-FR"/>
              </w:rPr>
              <w:t xml:space="preserve"> notamment à travers un système </w:t>
            </w:r>
            <w:r w:rsidR="00B97165">
              <w:rPr>
                <w:rFonts w:ascii="Arial" w:hAnsi="Arial"/>
                <w:i/>
                <w:color w:val="000000"/>
                <w:lang w:val="fr-FR"/>
              </w:rPr>
              <w:t>statistique d</w:t>
            </w:r>
            <w:r w:rsidRPr="00E67614">
              <w:rPr>
                <w:rFonts w:ascii="Arial" w:hAnsi="Arial"/>
                <w:i/>
                <w:color w:val="000000"/>
                <w:lang w:val="fr-FR"/>
              </w:rPr>
              <w:t xml:space="preserve">es recettes captés de la commercialisation des PFNL (données chiffrées en valeur absolue) </w:t>
            </w:r>
          </w:p>
        </w:tc>
        <w:tc>
          <w:tcPr>
            <w:tcW w:w="2430" w:type="dxa"/>
          </w:tcPr>
          <w:p w:rsidR="00E67614" w:rsidRDefault="00E67614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E67614" w:rsidRDefault="00E67614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E67614" w:rsidRDefault="00E67614">
            <w:pPr>
              <w:rPr>
                <w:lang w:val="fr-FR"/>
              </w:rPr>
            </w:pPr>
          </w:p>
        </w:tc>
      </w:tr>
      <w:tr w:rsidR="00E67614" w:rsidTr="006840C7">
        <w:tc>
          <w:tcPr>
            <w:tcW w:w="3100" w:type="dxa"/>
            <w:vMerge/>
          </w:tcPr>
          <w:p w:rsidR="00E67614" w:rsidRPr="00317BCA" w:rsidRDefault="00E67614">
            <w:pPr>
              <w:rPr>
                <w:rFonts w:ascii="Arial" w:hAnsi="Arial"/>
                <w:color w:val="000000"/>
                <w:lang w:val="fr-FR"/>
              </w:rPr>
            </w:pPr>
          </w:p>
        </w:tc>
        <w:tc>
          <w:tcPr>
            <w:tcW w:w="4150" w:type="dxa"/>
          </w:tcPr>
          <w:p w:rsidR="00E67614" w:rsidRPr="00E67614" w:rsidRDefault="00E67614" w:rsidP="00E67614">
            <w:pPr>
              <w:rPr>
                <w:rFonts w:ascii="Arial" w:hAnsi="Arial"/>
                <w:i/>
                <w:color w:val="000000"/>
                <w:lang w:val="fr-FR"/>
              </w:rPr>
            </w:pPr>
            <w:r w:rsidRPr="00E67614">
              <w:rPr>
                <w:rFonts w:ascii="Arial" w:hAnsi="Arial"/>
                <w:i/>
                <w:color w:val="000000"/>
                <w:lang w:val="fr-FR"/>
              </w:rPr>
              <w:t xml:space="preserve">Nombre 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de professionnel, acteurs </w:t>
            </w:r>
            <w:r w:rsidRPr="00E67614">
              <w:rPr>
                <w:rFonts w:ascii="Arial" w:hAnsi="Arial"/>
                <w:i/>
                <w:color w:val="000000"/>
                <w:lang w:val="fr-FR"/>
              </w:rPr>
              <w:t>(PME) enregistré</w:t>
            </w:r>
            <w:r>
              <w:rPr>
                <w:rFonts w:ascii="Arial" w:hAnsi="Arial"/>
                <w:i/>
                <w:color w:val="000000"/>
                <w:lang w:val="fr-FR"/>
              </w:rPr>
              <w:t>s</w:t>
            </w:r>
            <w:r w:rsidRPr="00E67614">
              <w:rPr>
                <w:rFonts w:ascii="Arial" w:hAnsi="Arial"/>
                <w:i/>
                <w:color w:val="000000"/>
                <w:lang w:val="fr-FR"/>
              </w:rPr>
              <w:t xml:space="preserve"> dans le secteur formel des PFNL dans les différent pays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 par an</w:t>
            </w:r>
            <w:r w:rsidRPr="00E67614">
              <w:rPr>
                <w:rFonts w:ascii="Arial" w:hAnsi="Arial"/>
                <w:i/>
                <w:color w:val="000000"/>
                <w:lang w:val="fr-FR"/>
              </w:rPr>
              <w:t xml:space="preserve"> </w:t>
            </w:r>
          </w:p>
        </w:tc>
        <w:tc>
          <w:tcPr>
            <w:tcW w:w="2430" w:type="dxa"/>
          </w:tcPr>
          <w:p w:rsidR="00E67614" w:rsidRDefault="00E67614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E67614" w:rsidRDefault="00E67614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E67614" w:rsidRDefault="00E67614">
            <w:pPr>
              <w:rPr>
                <w:lang w:val="fr-FR"/>
              </w:rPr>
            </w:pPr>
          </w:p>
        </w:tc>
      </w:tr>
      <w:tr w:rsidR="00B97165" w:rsidTr="006840C7">
        <w:tc>
          <w:tcPr>
            <w:tcW w:w="3100" w:type="dxa"/>
            <w:vMerge w:val="restart"/>
          </w:tcPr>
          <w:p w:rsidR="00B97165" w:rsidRPr="00317BCA" w:rsidRDefault="00B97165" w:rsidP="00B97165">
            <w:pPr>
              <w:rPr>
                <w:rFonts w:ascii="Arial" w:hAnsi="Arial"/>
                <w:color w:val="000000"/>
                <w:lang w:val="fr-FR"/>
              </w:rPr>
            </w:pPr>
            <w:r w:rsidRPr="00317BCA">
              <w:rPr>
                <w:rFonts w:ascii="Arial" w:hAnsi="Arial"/>
                <w:color w:val="000000"/>
                <w:lang w:val="fr-FR"/>
              </w:rPr>
              <w:t>Appuyer la transformation locale</w:t>
            </w:r>
          </w:p>
        </w:tc>
        <w:tc>
          <w:tcPr>
            <w:tcW w:w="4150" w:type="dxa"/>
          </w:tcPr>
          <w:p w:rsidR="00B97165" w:rsidRPr="00E67614" w:rsidRDefault="00B97165" w:rsidP="00D04A8C">
            <w:pPr>
              <w:rPr>
                <w:lang w:val="fr-FR"/>
              </w:rPr>
            </w:pPr>
            <w:r w:rsidRPr="00E67614">
              <w:rPr>
                <w:rFonts w:ascii="Arial" w:hAnsi="Arial"/>
                <w:color w:val="000000"/>
                <w:lang w:val="fr-FR"/>
              </w:rPr>
              <w:t xml:space="preserve">Nombre de pays qui ont pris </w:t>
            </w:r>
            <w:r w:rsidRPr="00E67614">
              <w:rPr>
                <w:rFonts w:ascii="Arial" w:hAnsi="Arial"/>
                <w:color w:val="000000"/>
                <w:lang w:val="fr-FR"/>
              </w:rPr>
              <w:t xml:space="preserve">des mesures incitatives nécessaires pour favoriser la transformation </w:t>
            </w:r>
            <w:r w:rsidRPr="00B97165">
              <w:rPr>
                <w:rFonts w:ascii="Arial" w:hAnsi="Arial"/>
                <w:lang w:val="fr-FR"/>
              </w:rPr>
              <w:t>plus poussée</w:t>
            </w:r>
            <w:r w:rsidRPr="00E67614">
              <w:rPr>
                <w:rFonts w:ascii="Arial" w:hAnsi="Arial"/>
                <w:color w:val="000000"/>
                <w:lang w:val="fr-FR"/>
              </w:rPr>
              <w:t xml:space="preserve"> des PFNL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 </w:t>
            </w:r>
            <w:r w:rsidRPr="00B97165">
              <w:rPr>
                <w:rFonts w:ascii="Arial" w:hAnsi="Arial"/>
                <w:lang w:val="fr-FR"/>
              </w:rPr>
              <w:t>en vue de créer de nouveaux emplois, particulièrement pour les femmes et les jeunes</w:t>
            </w:r>
            <w:r>
              <w:rPr>
                <w:rFonts w:ascii="Arial" w:hAnsi="Arial"/>
                <w:i/>
                <w:color w:val="000000"/>
                <w:lang w:val="fr-FR"/>
              </w:rPr>
              <w:t> (</w:t>
            </w:r>
            <w:proofErr w:type="spellStart"/>
            <w:r>
              <w:rPr>
                <w:rFonts w:ascii="Arial" w:hAnsi="Arial"/>
                <w:i/>
                <w:color w:val="000000"/>
                <w:lang w:val="fr-FR"/>
              </w:rPr>
              <w:t>cf</w:t>
            </w:r>
            <w:proofErr w:type="spellEnd"/>
            <w:r>
              <w:rPr>
                <w:rFonts w:ascii="Arial" w:hAnsi="Arial"/>
                <w:i/>
                <w:color w:val="000000"/>
                <w:lang w:val="fr-FR"/>
              </w:rPr>
              <w:t xml:space="preserve"> Directive COMIFAC PFNL)</w:t>
            </w:r>
          </w:p>
        </w:tc>
        <w:tc>
          <w:tcPr>
            <w:tcW w:w="2430" w:type="dxa"/>
          </w:tcPr>
          <w:p w:rsidR="00B97165" w:rsidRDefault="00B97165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B97165" w:rsidRDefault="00B97165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B97165" w:rsidRDefault="00B97165">
            <w:pPr>
              <w:rPr>
                <w:lang w:val="fr-FR"/>
              </w:rPr>
            </w:pPr>
          </w:p>
        </w:tc>
      </w:tr>
      <w:tr w:rsidR="00B97165" w:rsidTr="006840C7">
        <w:tc>
          <w:tcPr>
            <w:tcW w:w="3100" w:type="dxa"/>
            <w:vMerge/>
          </w:tcPr>
          <w:p w:rsidR="00B97165" w:rsidRDefault="00B97165">
            <w:pPr>
              <w:rPr>
                <w:lang w:val="fr-FR"/>
              </w:rPr>
            </w:pPr>
          </w:p>
        </w:tc>
        <w:tc>
          <w:tcPr>
            <w:tcW w:w="4150" w:type="dxa"/>
          </w:tcPr>
          <w:p w:rsidR="00B97165" w:rsidRDefault="00B97165" w:rsidP="00D04A8C">
            <w:pPr>
              <w:rPr>
                <w:lang w:val="fr-FR"/>
              </w:rPr>
            </w:pPr>
            <w:r>
              <w:rPr>
                <w:rFonts w:ascii="Arial" w:hAnsi="Arial"/>
                <w:i/>
                <w:color w:val="000000"/>
                <w:lang w:val="fr-FR"/>
              </w:rPr>
              <w:t>Nombre de pays qui ont élaboré</w:t>
            </w:r>
            <w:r w:rsidRPr="00602DAE">
              <w:rPr>
                <w:rFonts w:ascii="Arial" w:hAnsi="Arial"/>
                <w:i/>
                <w:color w:val="000000"/>
                <w:lang w:val="fr-FR"/>
              </w:rPr>
              <w:t xml:space="preserve"> des Norme</w:t>
            </w:r>
            <w:r>
              <w:rPr>
                <w:rFonts w:ascii="Arial" w:hAnsi="Arial"/>
                <w:i/>
                <w:color w:val="000000"/>
                <w:lang w:val="fr-FR"/>
              </w:rPr>
              <w:t>s</w:t>
            </w:r>
            <w:r w:rsidRPr="00602DAE">
              <w:rPr>
                <w:rFonts w:ascii="Arial" w:hAnsi="Arial"/>
                <w:i/>
                <w:color w:val="000000"/>
                <w:lang w:val="fr-FR"/>
              </w:rPr>
              <w:t xml:space="preserve"> de qualités et de certification  pour la transformation des PFNL phare à fort potentiel de transformation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 </w:t>
            </w:r>
            <w:r>
              <w:rPr>
                <w:rFonts w:ascii="Arial" w:hAnsi="Arial"/>
                <w:i/>
                <w:color w:val="000000"/>
                <w:lang w:val="fr-FR"/>
              </w:rPr>
              <w:t>(</w:t>
            </w:r>
            <w:proofErr w:type="spellStart"/>
            <w:r>
              <w:rPr>
                <w:rFonts w:ascii="Arial" w:hAnsi="Arial"/>
                <w:i/>
                <w:color w:val="000000"/>
                <w:lang w:val="fr-FR"/>
              </w:rPr>
              <w:t>cf</w:t>
            </w:r>
            <w:proofErr w:type="spellEnd"/>
            <w:r>
              <w:rPr>
                <w:rFonts w:ascii="Arial" w:hAnsi="Arial"/>
                <w:i/>
                <w:color w:val="000000"/>
                <w:lang w:val="fr-FR"/>
              </w:rPr>
              <w:t xml:space="preserve"> Directive COMIFAC PFNL)</w:t>
            </w:r>
          </w:p>
        </w:tc>
        <w:tc>
          <w:tcPr>
            <w:tcW w:w="2430" w:type="dxa"/>
          </w:tcPr>
          <w:p w:rsidR="00B97165" w:rsidRDefault="00B97165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B97165" w:rsidRDefault="00B97165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B97165" w:rsidRDefault="00B97165">
            <w:pPr>
              <w:rPr>
                <w:lang w:val="fr-FR"/>
              </w:rPr>
            </w:pPr>
          </w:p>
        </w:tc>
      </w:tr>
      <w:tr w:rsidR="006840C7" w:rsidTr="006840C7">
        <w:tc>
          <w:tcPr>
            <w:tcW w:w="3100" w:type="dxa"/>
          </w:tcPr>
          <w:p w:rsidR="006840C7" w:rsidRDefault="00B97165">
            <w:pPr>
              <w:rPr>
                <w:lang w:val="fr-FR"/>
              </w:rPr>
            </w:pPr>
            <w:r w:rsidRPr="00B97165">
              <w:rPr>
                <w:lang w:val="fr-FR"/>
              </w:rPr>
              <w:t>Maîtriser la gestion des ressources et augmenter la production des PFNL</w:t>
            </w:r>
          </w:p>
        </w:tc>
        <w:tc>
          <w:tcPr>
            <w:tcW w:w="4150" w:type="dxa"/>
          </w:tcPr>
          <w:p w:rsidR="006840C7" w:rsidRDefault="003078C8" w:rsidP="003078C8">
            <w:pPr>
              <w:rPr>
                <w:lang w:val="fr-FR"/>
              </w:rPr>
            </w:pPr>
            <w:r>
              <w:rPr>
                <w:rFonts w:ascii="Arial" w:hAnsi="Arial"/>
                <w:i/>
                <w:color w:val="000000"/>
                <w:lang w:val="fr-FR"/>
              </w:rPr>
              <w:t xml:space="preserve">Nombre de pays </w:t>
            </w:r>
            <w:r>
              <w:rPr>
                <w:rFonts w:ascii="Arial" w:hAnsi="Arial"/>
                <w:i/>
                <w:color w:val="000000"/>
                <w:lang w:val="fr-FR"/>
              </w:rPr>
              <w:t xml:space="preserve">ayant mis </w:t>
            </w:r>
            <w:r w:rsidR="00B97165" w:rsidRPr="003078C8">
              <w:rPr>
                <w:rFonts w:ascii="Arial" w:hAnsi="Arial"/>
                <w:i/>
                <w:color w:val="000000"/>
                <w:lang w:val="fr-FR"/>
              </w:rPr>
              <w:t>en place un programme de domestication des PFNL et leur intégration dans les espaces agricoles pour augmenter la production de manière durable</w:t>
            </w:r>
          </w:p>
        </w:tc>
        <w:tc>
          <w:tcPr>
            <w:tcW w:w="2430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471" w:type="dxa"/>
          </w:tcPr>
          <w:p w:rsidR="006840C7" w:rsidRDefault="006840C7">
            <w:pPr>
              <w:rPr>
                <w:lang w:val="fr-FR"/>
              </w:rPr>
            </w:pPr>
          </w:p>
        </w:tc>
        <w:tc>
          <w:tcPr>
            <w:tcW w:w="2352" w:type="dxa"/>
          </w:tcPr>
          <w:p w:rsidR="006840C7" w:rsidRDefault="006840C7">
            <w:pPr>
              <w:rPr>
                <w:lang w:val="fr-FR"/>
              </w:rPr>
            </w:pPr>
          </w:p>
        </w:tc>
      </w:tr>
    </w:tbl>
    <w:p w:rsidR="00133E68" w:rsidRDefault="00133E68" w:rsidP="00B97165">
      <w:pPr>
        <w:rPr>
          <w:lang w:val="fr-FR"/>
        </w:rPr>
      </w:pPr>
      <w:bookmarkStart w:id="0" w:name="_GoBack"/>
      <w:bookmarkEnd w:id="0"/>
    </w:p>
    <w:sectPr w:rsidR="00133E68" w:rsidSect="00A22FF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C3" w:rsidRDefault="00935CC3" w:rsidP="00D04A8C">
      <w:pPr>
        <w:spacing w:after="0" w:line="240" w:lineRule="auto"/>
      </w:pPr>
      <w:r>
        <w:separator/>
      </w:r>
    </w:p>
  </w:endnote>
  <w:endnote w:type="continuationSeparator" w:id="0">
    <w:p w:rsidR="00935CC3" w:rsidRDefault="00935CC3" w:rsidP="00D0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C3" w:rsidRDefault="00935CC3" w:rsidP="00D04A8C">
      <w:pPr>
        <w:spacing w:after="0" w:line="240" w:lineRule="auto"/>
      </w:pPr>
      <w:r>
        <w:separator/>
      </w:r>
    </w:p>
  </w:footnote>
  <w:footnote w:type="continuationSeparator" w:id="0">
    <w:p w:rsidR="00935CC3" w:rsidRDefault="00935CC3" w:rsidP="00D04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D2446"/>
    <w:multiLevelType w:val="hybridMultilevel"/>
    <w:tmpl w:val="56A69172"/>
    <w:lvl w:ilvl="0" w:tplc="33AA4E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2702E"/>
    <w:multiLevelType w:val="hybridMultilevel"/>
    <w:tmpl w:val="E63C27E4"/>
    <w:lvl w:ilvl="0" w:tplc="BA7A6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EA5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C30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65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E1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F28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70C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A82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8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2A55239"/>
    <w:multiLevelType w:val="hybridMultilevel"/>
    <w:tmpl w:val="6A20D422"/>
    <w:lvl w:ilvl="0" w:tplc="CD6E72F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A24BE"/>
    <w:multiLevelType w:val="hybridMultilevel"/>
    <w:tmpl w:val="872E84E8"/>
    <w:lvl w:ilvl="0" w:tplc="2CE0F33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E0AEF"/>
    <w:multiLevelType w:val="multilevel"/>
    <w:tmpl w:val="0407001D"/>
    <w:styleLink w:val="Style3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C0E5632"/>
    <w:multiLevelType w:val="hybridMultilevel"/>
    <w:tmpl w:val="10F4CE26"/>
    <w:lvl w:ilvl="0" w:tplc="2CE0F33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850EA"/>
    <w:multiLevelType w:val="hybridMultilevel"/>
    <w:tmpl w:val="B20E7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41E21"/>
    <w:multiLevelType w:val="hybridMultilevel"/>
    <w:tmpl w:val="326E186E"/>
    <w:lvl w:ilvl="0" w:tplc="B50E6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6E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54F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A42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9E4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82C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060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E21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C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2EF0B8D"/>
    <w:multiLevelType w:val="hybridMultilevel"/>
    <w:tmpl w:val="C0BEC8B4"/>
    <w:lvl w:ilvl="0" w:tplc="2CE0F33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68"/>
    <w:rsid w:val="00133E68"/>
    <w:rsid w:val="00265C23"/>
    <w:rsid w:val="003078C8"/>
    <w:rsid w:val="00317BCA"/>
    <w:rsid w:val="00402BE5"/>
    <w:rsid w:val="004B6D3F"/>
    <w:rsid w:val="00670228"/>
    <w:rsid w:val="006840C7"/>
    <w:rsid w:val="006A18B3"/>
    <w:rsid w:val="007164AB"/>
    <w:rsid w:val="00834707"/>
    <w:rsid w:val="0084649D"/>
    <w:rsid w:val="008D0466"/>
    <w:rsid w:val="00935CC3"/>
    <w:rsid w:val="009B37A6"/>
    <w:rsid w:val="00A22FF2"/>
    <w:rsid w:val="00A33D20"/>
    <w:rsid w:val="00B97165"/>
    <w:rsid w:val="00CE05E8"/>
    <w:rsid w:val="00D04A8C"/>
    <w:rsid w:val="00E435D9"/>
    <w:rsid w:val="00E67614"/>
    <w:rsid w:val="00EE5096"/>
    <w:rsid w:val="00F1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EE5096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133E68"/>
    <w:pPr>
      <w:ind w:left="720"/>
      <w:contextualSpacing/>
    </w:pPr>
  </w:style>
  <w:style w:type="table" w:styleId="TableGrid">
    <w:name w:val="Table Grid"/>
    <w:basedOn w:val="TableNormal"/>
    <w:uiPriority w:val="59"/>
    <w:rsid w:val="00A2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84649D"/>
  </w:style>
  <w:style w:type="paragraph" w:styleId="FootnoteText">
    <w:name w:val="footnote text"/>
    <w:basedOn w:val="Normal"/>
    <w:link w:val="FootnoteTextChar"/>
    <w:uiPriority w:val="99"/>
    <w:semiHidden/>
    <w:unhideWhenUsed/>
    <w:rsid w:val="00D04A8C"/>
    <w:pPr>
      <w:spacing w:after="0" w:line="240" w:lineRule="auto"/>
    </w:pPr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A8C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D04A8C"/>
    <w:rPr>
      <w:vertAlign w:val="superscript"/>
    </w:rPr>
  </w:style>
  <w:style w:type="paragraph" w:styleId="NoSpacing">
    <w:name w:val="No Spacing"/>
    <w:link w:val="NoSpacingChar"/>
    <w:uiPriority w:val="1"/>
    <w:qFormat/>
    <w:rsid w:val="00A33D20"/>
    <w:pPr>
      <w:spacing w:after="0" w:line="240" w:lineRule="auto"/>
    </w:pPr>
    <w:rPr>
      <w:rFonts w:ascii="Calibri" w:eastAsia="Times New Roman" w:hAnsi="Calibri" w:cs="Times New Roman"/>
      <w:lang w:val="fr-FR"/>
    </w:rPr>
  </w:style>
  <w:style w:type="character" w:customStyle="1" w:styleId="NoSpacingChar">
    <w:name w:val="No Spacing Char"/>
    <w:link w:val="NoSpacing"/>
    <w:uiPriority w:val="1"/>
    <w:rsid w:val="00A33D20"/>
    <w:rPr>
      <w:rFonts w:ascii="Calibri" w:eastAsia="Times New Roman" w:hAnsi="Calibri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EE5096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133E68"/>
    <w:pPr>
      <w:ind w:left="720"/>
      <w:contextualSpacing/>
    </w:pPr>
  </w:style>
  <w:style w:type="table" w:styleId="TableGrid">
    <w:name w:val="Table Grid"/>
    <w:basedOn w:val="TableNormal"/>
    <w:uiPriority w:val="59"/>
    <w:rsid w:val="00A2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84649D"/>
  </w:style>
  <w:style w:type="paragraph" w:styleId="FootnoteText">
    <w:name w:val="footnote text"/>
    <w:basedOn w:val="Normal"/>
    <w:link w:val="FootnoteTextChar"/>
    <w:uiPriority w:val="99"/>
    <w:semiHidden/>
    <w:unhideWhenUsed/>
    <w:rsid w:val="00D04A8C"/>
    <w:pPr>
      <w:spacing w:after="0" w:line="240" w:lineRule="auto"/>
    </w:pPr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A8C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D04A8C"/>
    <w:rPr>
      <w:vertAlign w:val="superscript"/>
    </w:rPr>
  </w:style>
  <w:style w:type="paragraph" w:styleId="NoSpacing">
    <w:name w:val="No Spacing"/>
    <w:link w:val="NoSpacingChar"/>
    <w:uiPriority w:val="1"/>
    <w:qFormat/>
    <w:rsid w:val="00A33D20"/>
    <w:pPr>
      <w:spacing w:after="0" w:line="240" w:lineRule="auto"/>
    </w:pPr>
    <w:rPr>
      <w:rFonts w:ascii="Calibri" w:eastAsia="Times New Roman" w:hAnsi="Calibri" w:cs="Times New Roman"/>
      <w:lang w:val="fr-FR"/>
    </w:rPr>
  </w:style>
  <w:style w:type="character" w:customStyle="1" w:styleId="NoSpacingChar">
    <w:name w:val="No Spacing Char"/>
    <w:link w:val="NoSpacing"/>
    <w:uiPriority w:val="1"/>
    <w:rsid w:val="00A33D20"/>
    <w:rPr>
      <w:rFonts w:ascii="Calibri" w:eastAsia="Times New Roman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3483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01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Nguenang Guy Merlin</dc:creator>
  <cp:lastModifiedBy>Nguenang Guy Merlin </cp:lastModifiedBy>
  <cp:revision>7</cp:revision>
  <dcterms:created xsi:type="dcterms:W3CDTF">2018-02-22T05:44:00Z</dcterms:created>
  <dcterms:modified xsi:type="dcterms:W3CDTF">2018-02-22T09:34:00Z</dcterms:modified>
</cp:coreProperties>
</file>