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C36" w:rsidRPr="004F148A" w:rsidRDefault="004E7C36" w:rsidP="00992BFA">
      <w:pPr>
        <w:tabs>
          <w:tab w:val="left" w:pos="8998"/>
        </w:tabs>
        <w:ind w:left="2160"/>
        <w:contextualSpacing/>
        <w:rPr>
          <w:rFonts w:eastAsiaTheme="minorHAnsi"/>
          <w:b/>
          <w:sz w:val="36"/>
          <w:szCs w:val="36"/>
          <w:lang w:eastAsia="en-US"/>
        </w:rPr>
      </w:pPr>
      <w:r w:rsidRPr="004F148A">
        <w:rPr>
          <w:rFonts w:eastAsiaTheme="minorHAnsi"/>
          <w:b/>
          <w:noProof/>
          <w:color w:val="0070C0"/>
          <w:sz w:val="36"/>
          <w:szCs w:val="36"/>
        </w:rPr>
        <w:drawing>
          <wp:anchor distT="0" distB="0" distL="114300" distR="114300" simplePos="0" relativeHeight="251658240" behindDoc="0" locked="0" layoutInCell="1" allowOverlap="1">
            <wp:simplePos x="0" y="0"/>
            <wp:positionH relativeFrom="column">
              <wp:posOffset>5080</wp:posOffset>
            </wp:positionH>
            <wp:positionV relativeFrom="paragraph">
              <wp:posOffset>7951</wp:posOffset>
            </wp:positionV>
            <wp:extent cx="895350" cy="590550"/>
            <wp:effectExtent l="0" t="0" r="0" b="0"/>
            <wp:wrapNone/>
            <wp:docPr id="6" name="Picture 6" descr="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D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590550"/>
                    </a:xfrm>
                    <a:prstGeom prst="rect">
                      <a:avLst/>
                    </a:prstGeom>
                    <a:noFill/>
                  </pic:spPr>
                </pic:pic>
              </a:graphicData>
            </a:graphic>
          </wp:anchor>
        </w:drawing>
      </w:r>
      <w:r w:rsidRPr="004F148A">
        <w:rPr>
          <w:rFonts w:eastAsiaTheme="minorHAnsi"/>
          <w:b/>
          <w:color w:val="0070C0"/>
          <w:sz w:val="36"/>
          <w:szCs w:val="36"/>
          <w:lang w:eastAsia="en-US"/>
        </w:rPr>
        <w:t>Fonds National REDD+ de la RDC</w:t>
      </w:r>
      <w:r w:rsidR="00554D4F">
        <w:rPr>
          <w:rFonts w:eastAsiaTheme="minorHAnsi"/>
          <w:b/>
          <w:color w:val="0070C0"/>
          <w:sz w:val="36"/>
          <w:szCs w:val="36"/>
          <w:lang w:eastAsia="en-US"/>
        </w:rPr>
        <w:t xml:space="preserve"> : </w:t>
      </w:r>
      <w:r w:rsidR="00554D4F" w:rsidRPr="00554D4F">
        <w:rPr>
          <w:rFonts w:eastAsiaTheme="minorHAnsi"/>
          <w:b/>
          <w:color w:val="0070C0"/>
          <w:sz w:val="36"/>
          <w:szCs w:val="36"/>
          <w:lang w:eastAsia="en-US"/>
        </w:rPr>
        <w:t>Document de Programme REDD+</w:t>
      </w:r>
    </w:p>
    <w:p w:rsidR="004E7C36" w:rsidRPr="004F148A" w:rsidRDefault="004E7C36" w:rsidP="00515CAA">
      <w:pPr>
        <w:ind w:left="2127"/>
        <w:contextualSpacing/>
        <w:rPr>
          <w:sz w:val="24"/>
          <w:szCs w:val="24"/>
        </w:rPr>
      </w:pPr>
      <w:r w:rsidRPr="004F148A">
        <w:rPr>
          <w:rFonts w:eastAsiaTheme="minorHAnsi"/>
          <w:lang w:eastAsia="en-US"/>
        </w:rPr>
        <w:t xml:space="preserve">Vers une mobilisation de la finance climat pour le développement </w:t>
      </w:r>
      <w:r w:rsidR="00515CAA">
        <w:rPr>
          <w:rFonts w:eastAsiaTheme="minorHAnsi"/>
          <w:lang w:eastAsia="en-US"/>
        </w:rPr>
        <w:t xml:space="preserve">durable   </w:t>
      </w:r>
      <w:r w:rsidRPr="004F148A">
        <w:rPr>
          <w:rFonts w:eastAsiaTheme="minorHAnsi"/>
          <w:lang w:eastAsia="en-US"/>
        </w:rPr>
        <w:t>de la RDC</w:t>
      </w:r>
    </w:p>
    <w:p w:rsidR="00515CAA" w:rsidRDefault="00515CAA" w:rsidP="004E7C36">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eastAsiaTheme="minorHAnsi"/>
          <w:b/>
          <w:sz w:val="28"/>
          <w:lang w:eastAsia="en-US"/>
        </w:rPr>
      </w:pPr>
    </w:p>
    <w:p w:rsidR="00E057A3" w:rsidRDefault="00E057A3" w:rsidP="004E7C36">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eastAsiaTheme="minorHAnsi"/>
          <w:b/>
          <w:sz w:val="28"/>
          <w:lang w:eastAsia="en-US"/>
        </w:rPr>
      </w:pPr>
    </w:p>
    <w:p w:rsidR="00E057A3" w:rsidRDefault="00515CAA" w:rsidP="00554D4F">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eastAsiaTheme="minorHAnsi"/>
          <w:b/>
          <w:sz w:val="28"/>
          <w:lang w:eastAsia="en-US"/>
        </w:rPr>
      </w:pPr>
      <w:r>
        <w:rPr>
          <w:rFonts w:eastAsiaTheme="minorHAnsi"/>
          <w:b/>
          <w:sz w:val="28"/>
          <w:lang w:eastAsia="en-US"/>
        </w:rPr>
        <w:t>Document de P</w:t>
      </w:r>
      <w:r w:rsidR="004E7C36" w:rsidRPr="004F148A">
        <w:rPr>
          <w:rFonts w:eastAsiaTheme="minorHAnsi"/>
          <w:b/>
          <w:sz w:val="28"/>
          <w:lang w:eastAsia="en-US"/>
        </w:rPr>
        <w:t>rogramme</w:t>
      </w:r>
      <w:r w:rsidR="004E7C36">
        <w:rPr>
          <w:rFonts w:eastAsiaTheme="minorHAnsi"/>
          <w:b/>
          <w:sz w:val="28"/>
          <w:lang w:eastAsia="en-US"/>
        </w:rPr>
        <w:t xml:space="preserve"> REDD+</w:t>
      </w:r>
      <w:r w:rsidR="004E7C36" w:rsidRPr="004F148A">
        <w:rPr>
          <w:rFonts w:eastAsiaTheme="minorHAnsi"/>
          <w:sz w:val="28"/>
          <w:vertAlign w:val="superscript"/>
          <w:lang w:eastAsia="en-US"/>
        </w:rPr>
        <w:footnoteReference w:id="1"/>
      </w:r>
      <w:r w:rsidR="004E7C36" w:rsidRPr="004F148A">
        <w:rPr>
          <w:rFonts w:eastAsiaTheme="minorHAnsi"/>
          <w:b/>
          <w:sz w:val="28"/>
          <w:lang w:eastAsia="en-US"/>
        </w:rPr>
        <w:t xml:space="preserve"> </w:t>
      </w:r>
    </w:p>
    <w:p w:rsidR="004E7C36" w:rsidRPr="00554D4F" w:rsidRDefault="00554D4F" w:rsidP="00554D4F">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eastAsiaTheme="minorHAnsi"/>
          <w:b/>
          <w:sz w:val="28"/>
          <w:lang w:eastAsia="en-US"/>
        </w:rPr>
      </w:pPr>
      <w:r>
        <w:rPr>
          <w:rFonts w:eastAsiaTheme="minorHAnsi"/>
          <w:b/>
          <w:sz w:val="32"/>
          <w:lang w:eastAsia="en-US"/>
        </w:rPr>
        <w:tab/>
      </w:r>
    </w:p>
    <w:p w:rsidR="00554D4F" w:rsidRPr="00401544" w:rsidRDefault="00554D4F" w:rsidP="00B277C0">
      <w:pPr>
        <w:pStyle w:val="Heading1"/>
        <w:ind w:left="360"/>
      </w:pPr>
      <w:bookmarkStart w:id="0" w:name="_Toc469036920"/>
      <w:r w:rsidRPr="00401544">
        <w:t>Page de couverture et page(s) de signature</w:t>
      </w:r>
      <w:bookmarkEnd w:id="0"/>
    </w:p>
    <w:p w:rsidR="00554D4F" w:rsidRPr="00554D4F" w:rsidRDefault="00554D4F" w:rsidP="00554D4F">
      <w:pPr>
        <w:rPr>
          <w:lang w:eastAsia="en-US"/>
        </w:rPr>
      </w:pPr>
    </w:p>
    <w:tbl>
      <w:tblPr>
        <w:tblW w:w="9877" w:type="dxa"/>
        <w:tblInd w:w="-72" w:type="dxa"/>
        <w:tblLayout w:type="fixed"/>
        <w:tblLook w:val="01E0" w:firstRow="1" w:lastRow="1" w:firstColumn="1" w:lastColumn="1" w:noHBand="0" w:noVBand="0"/>
      </w:tblPr>
      <w:tblGrid>
        <w:gridCol w:w="4320"/>
        <w:gridCol w:w="540"/>
        <w:gridCol w:w="5017"/>
      </w:tblGrid>
      <w:tr w:rsidR="004E7C36" w:rsidRPr="004E7C36" w:rsidTr="00ED144B">
        <w:trPr>
          <w:trHeight w:val="206"/>
        </w:trPr>
        <w:tc>
          <w:tcPr>
            <w:tcW w:w="4320" w:type="dxa"/>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spacing w:before="60" w:after="60" w:line="240" w:lineRule="auto"/>
              <w:contextualSpacing/>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Organisation(s) Participante(s)</w:t>
            </w:r>
            <w:r w:rsidRPr="004E7C36">
              <w:rPr>
                <w:rFonts w:eastAsia="Times New Roman" w:cs="Times New Roman"/>
                <w:b/>
                <w:bCs/>
                <w:snapToGrid w:val="0"/>
                <w:color w:val="000000"/>
                <w:kern w:val="32"/>
                <w:sz w:val="20"/>
                <w:szCs w:val="20"/>
                <w:lang w:eastAsia="en-US"/>
              </w:rPr>
              <w:t xml:space="preserve"> </w:t>
            </w:r>
          </w:p>
        </w:tc>
        <w:tc>
          <w:tcPr>
            <w:tcW w:w="540" w:type="dxa"/>
            <w:vMerge w:val="restart"/>
            <w:tcBorders>
              <w:left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c>
          <w:tcPr>
            <w:tcW w:w="5017" w:type="dxa"/>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spacing w:before="60" w:after="60" w:line="240" w:lineRule="auto"/>
              <w:contextualSpacing/>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Objectif Spécifique du Fonds</w:t>
            </w:r>
          </w:p>
        </w:tc>
      </w:tr>
      <w:tr w:rsidR="004E7C36" w:rsidRPr="004E7C36" w:rsidTr="00ED144B">
        <w:trPr>
          <w:trHeight w:val="495"/>
        </w:trPr>
        <w:tc>
          <w:tcPr>
            <w:tcW w:w="4320" w:type="dxa"/>
            <w:tcBorders>
              <w:top w:val="single" w:sz="4" w:space="0" w:color="auto"/>
              <w:left w:val="single" w:sz="4" w:space="0" w:color="auto"/>
              <w:bottom w:val="single" w:sz="4" w:space="0" w:color="auto"/>
              <w:right w:val="single" w:sz="4" w:space="0" w:color="auto"/>
            </w:tcBorders>
          </w:tcPr>
          <w:p w:rsidR="004E7C36" w:rsidRPr="00DB53AD" w:rsidRDefault="00DB53AD" w:rsidP="00DB53AD">
            <w:pPr>
              <w:widowControl w:val="0"/>
              <w:spacing w:after="0" w:line="240" w:lineRule="auto"/>
              <w:contextualSpacing/>
              <w:jc w:val="both"/>
              <w:rPr>
                <w:rFonts w:eastAsia="Times New Roman" w:cs="Times New Roman"/>
                <w:snapToGrid w:val="0"/>
                <w:sz w:val="20"/>
                <w:szCs w:val="20"/>
                <w:lang w:eastAsia="en-US"/>
              </w:rPr>
            </w:pPr>
            <w:r>
              <w:rPr>
                <w:rFonts w:eastAsia="Times New Roman" w:cs="Times New Roman"/>
                <w:snapToGrid w:val="0"/>
                <w:sz w:val="20"/>
                <w:szCs w:val="20"/>
                <w:lang w:eastAsia="en-US"/>
              </w:rPr>
              <w:t>Banque mondiale</w:t>
            </w:r>
          </w:p>
        </w:tc>
        <w:tc>
          <w:tcPr>
            <w:tcW w:w="540" w:type="dxa"/>
            <w:vMerge/>
            <w:tcBorders>
              <w:left w:val="single" w:sz="4" w:space="0" w:color="auto"/>
              <w:right w:val="single" w:sz="4" w:space="0" w:color="auto"/>
            </w:tcBorders>
          </w:tcPr>
          <w:p w:rsidR="004E7C36" w:rsidRPr="004E7C36" w:rsidRDefault="004E7C36" w:rsidP="00F95290">
            <w:pPr>
              <w:widowControl w:val="0"/>
              <w:spacing w:after="0" w:line="240" w:lineRule="auto"/>
              <w:contextualSpacing/>
              <w:jc w:val="both"/>
              <w:rPr>
                <w:rFonts w:eastAsia="Times New Roman" w:cs="Times New Roman"/>
                <w:snapToGrid w:val="0"/>
                <w:sz w:val="20"/>
                <w:szCs w:val="20"/>
                <w:lang w:eastAsia="en-US"/>
              </w:rPr>
            </w:pPr>
          </w:p>
        </w:tc>
        <w:tc>
          <w:tcPr>
            <w:tcW w:w="5017" w:type="dxa"/>
            <w:tcBorders>
              <w:top w:val="single" w:sz="4" w:space="0" w:color="auto"/>
              <w:left w:val="single" w:sz="4" w:space="0" w:color="auto"/>
              <w:bottom w:val="single" w:sz="4" w:space="0" w:color="auto"/>
              <w:right w:val="single" w:sz="4" w:space="0" w:color="auto"/>
            </w:tcBorders>
          </w:tcPr>
          <w:p w:rsidR="004E7C36" w:rsidRPr="004E7C36" w:rsidRDefault="007D031B" w:rsidP="00F95290">
            <w:pPr>
              <w:widowControl w:val="0"/>
              <w:spacing w:after="0" w:line="240" w:lineRule="auto"/>
              <w:contextualSpacing/>
              <w:jc w:val="both"/>
              <w:rPr>
                <w:rFonts w:eastAsia="Times New Roman" w:cs="Times New Roman"/>
                <w:snapToGrid w:val="0"/>
                <w:sz w:val="20"/>
                <w:szCs w:val="20"/>
                <w:lang w:eastAsia="en-US"/>
              </w:rPr>
            </w:pPr>
            <w:r>
              <w:rPr>
                <w:rFonts w:eastAsia="Times New Roman" w:cs="Times New Roman"/>
                <w:snapToGrid w:val="0"/>
                <w:sz w:val="20"/>
                <w:szCs w:val="20"/>
                <w:lang w:eastAsia="en-US"/>
              </w:rPr>
              <w:t>Pro</w:t>
            </w:r>
            <w:r w:rsidR="00E05508">
              <w:rPr>
                <w:rFonts w:eastAsia="Times New Roman" w:cs="Times New Roman"/>
                <w:snapToGrid w:val="0"/>
                <w:sz w:val="20"/>
                <w:szCs w:val="20"/>
                <w:lang w:eastAsia="en-US"/>
              </w:rPr>
              <w:t>gramme</w:t>
            </w:r>
            <w:r>
              <w:rPr>
                <w:rFonts w:eastAsia="Times New Roman" w:cs="Times New Roman"/>
                <w:snapToGrid w:val="0"/>
                <w:sz w:val="20"/>
                <w:szCs w:val="20"/>
                <w:lang w:eastAsia="en-US"/>
              </w:rPr>
              <w:t>s Intégrés REDD+</w:t>
            </w:r>
          </w:p>
        </w:tc>
      </w:tr>
    </w:tbl>
    <w:p w:rsidR="004E7C36" w:rsidRPr="004E7C36" w:rsidRDefault="004E7C36" w:rsidP="004E7C36">
      <w:pPr>
        <w:spacing w:after="0"/>
        <w:contextualSpacing/>
        <w:rPr>
          <w:rFonts w:eastAsiaTheme="minorHAnsi"/>
          <w:sz w:val="20"/>
          <w:szCs w:val="20"/>
          <w:lang w:eastAsia="en-US"/>
        </w:rPr>
      </w:pPr>
    </w:p>
    <w:tbl>
      <w:tblPr>
        <w:tblW w:w="9877" w:type="dxa"/>
        <w:tblInd w:w="-72" w:type="dxa"/>
        <w:tblLayout w:type="fixed"/>
        <w:tblLook w:val="01E0" w:firstRow="1" w:lastRow="1" w:firstColumn="1" w:lastColumn="1" w:noHBand="0" w:noVBand="0"/>
      </w:tblPr>
      <w:tblGrid>
        <w:gridCol w:w="1620"/>
        <w:gridCol w:w="2700"/>
        <w:gridCol w:w="540"/>
        <w:gridCol w:w="2137"/>
        <w:gridCol w:w="540"/>
        <w:gridCol w:w="2340"/>
      </w:tblGrid>
      <w:tr w:rsidR="004E7C36" w:rsidRPr="004E7C36" w:rsidTr="00ED144B">
        <w:trPr>
          <w:trHeight w:val="476"/>
        </w:trPr>
        <w:tc>
          <w:tcPr>
            <w:tcW w:w="4320" w:type="dxa"/>
            <w:gridSpan w:val="2"/>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A91E3C" w:rsidP="00F95290">
            <w:pPr>
              <w:spacing w:before="60" w:after="60" w:line="240" w:lineRule="auto"/>
              <w:contextualSpacing/>
              <w:rPr>
                <w:rFonts w:eastAsia="Times New Roman" w:cs="Times New Roman"/>
                <w:b/>
                <w:bCs/>
                <w:i/>
                <w:iCs/>
                <w:snapToGrid w:val="0"/>
                <w:kern w:val="32"/>
                <w:sz w:val="20"/>
                <w:szCs w:val="20"/>
                <w:lang w:eastAsia="en-US"/>
              </w:rPr>
            </w:pPr>
            <w:r>
              <w:rPr>
                <w:rFonts w:eastAsia="Times New Roman" w:cs="Times New Roman"/>
                <w:b/>
                <w:bCs/>
                <w:snapToGrid w:val="0"/>
                <w:kern w:val="32"/>
                <w:sz w:val="20"/>
                <w:szCs w:val="20"/>
                <w:lang w:eastAsia="en-US"/>
              </w:rPr>
              <w:t>Chef</w:t>
            </w:r>
            <w:r w:rsidR="00F901C1">
              <w:rPr>
                <w:rFonts w:eastAsia="Times New Roman" w:cs="Times New Roman"/>
                <w:b/>
                <w:bCs/>
                <w:snapToGrid w:val="0"/>
                <w:kern w:val="32"/>
                <w:sz w:val="20"/>
                <w:szCs w:val="20"/>
                <w:lang w:eastAsia="en-US"/>
              </w:rPr>
              <w:t xml:space="preserve"> de P</w:t>
            </w:r>
            <w:r>
              <w:rPr>
                <w:rFonts w:eastAsia="Times New Roman" w:cs="Times New Roman"/>
                <w:b/>
                <w:bCs/>
                <w:snapToGrid w:val="0"/>
                <w:kern w:val="32"/>
                <w:sz w:val="20"/>
                <w:szCs w:val="20"/>
                <w:lang w:eastAsia="en-US"/>
              </w:rPr>
              <w:t>rojets</w:t>
            </w:r>
            <w:r w:rsidR="004E7C36" w:rsidRPr="004E7C36">
              <w:rPr>
                <w:rFonts w:eastAsia="Times New Roman" w:cs="Times New Roman"/>
                <w:b/>
                <w:bCs/>
                <w:snapToGrid w:val="0"/>
                <w:kern w:val="32"/>
                <w:sz w:val="20"/>
                <w:szCs w:val="20"/>
                <w:lang w:eastAsia="en-US"/>
              </w:rPr>
              <w:t> :</w:t>
            </w:r>
          </w:p>
        </w:tc>
        <w:tc>
          <w:tcPr>
            <w:tcW w:w="540" w:type="dxa"/>
            <w:vMerge w:val="restart"/>
            <w:tcBorders>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c>
          <w:tcPr>
            <w:tcW w:w="5017" w:type="dxa"/>
            <w:gridSpan w:val="3"/>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spacing w:before="60" w:after="60" w:line="240" w:lineRule="auto"/>
              <w:contextualSpacing/>
              <w:rPr>
                <w:rFonts w:eastAsia="Times New Roman" w:cs="Times New Roman"/>
                <w:b/>
                <w:bCs/>
                <w:i/>
                <w:iCs/>
                <w:snapToGrid w:val="0"/>
                <w:kern w:val="32"/>
                <w:sz w:val="20"/>
                <w:szCs w:val="20"/>
                <w:lang w:eastAsia="en-US"/>
              </w:rPr>
            </w:pPr>
            <w:r w:rsidRPr="004E7C36">
              <w:rPr>
                <w:rFonts w:eastAsia="Times New Roman" w:cs="Times New Roman"/>
                <w:b/>
                <w:bCs/>
                <w:iCs/>
                <w:snapToGrid w:val="0"/>
                <w:kern w:val="32"/>
                <w:sz w:val="20"/>
                <w:szCs w:val="20"/>
                <w:lang w:eastAsia="en-US"/>
              </w:rPr>
              <w:t>Chef(s) de file gouvernemental (le cas échéant) :</w:t>
            </w:r>
          </w:p>
        </w:tc>
      </w:tr>
      <w:tr w:rsidR="00DB53AD" w:rsidRPr="004E7C36" w:rsidTr="00ED144B">
        <w:trPr>
          <w:trHeight w:val="476"/>
        </w:trPr>
        <w:tc>
          <w:tcPr>
            <w:tcW w:w="4320" w:type="dxa"/>
            <w:gridSpan w:val="2"/>
            <w:tcBorders>
              <w:top w:val="single" w:sz="4" w:space="0" w:color="auto"/>
              <w:left w:val="single" w:sz="4" w:space="0" w:color="auto"/>
              <w:right w:val="single" w:sz="4" w:space="0" w:color="auto"/>
            </w:tcBorders>
            <w:shd w:val="clear" w:color="auto" w:fill="auto"/>
          </w:tcPr>
          <w:p w:rsidR="00DB53AD" w:rsidRPr="004E7C36" w:rsidRDefault="00DB53AD" w:rsidP="00B5304D">
            <w:pPr>
              <w:spacing w:after="0" w:line="240" w:lineRule="auto"/>
              <w:contextualSpacing/>
              <w:jc w:val="right"/>
              <w:rPr>
                <w:rFonts w:eastAsia="Times New Roman" w:cs="Times New Roman"/>
                <w:b/>
                <w:bCs/>
                <w:snapToGrid w:val="0"/>
                <w:kern w:val="32"/>
                <w:sz w:val="20"/>
                <w:szCs w:val="20"/>
                <w:lang w:eastAsia="en-US"/>
              </w:rPr>
            </w:pPr>
            <w:r w:rsidRPr="004E7C36">
              <w:rPr>
                <w:rFonts w:eastAsia="Times New Roman" w:cs="Times New Roman"/>
                <w:b/>
                <w:bCs/>
                <w:iCs/>
                <w:snapToGrid w:val="0"/>
                <w:sz w:val="20"/>
                <w:szCs w:val="20"/>
                <w:lang w:eastAsia="en-US"/>
              </w:rPr>
              <w:t>Nom :</w:t>
            </w:r>
            <w:r>
              <w:rPr>
                <w:rFonts w:eastAsia="Times New Roman" w:cs="Times New Roman"/>
                <w:b/>
                <w:bCs/>
                <w:iCs/>
                <w:snapToGrid w:val="0"/>
                <w:sz w:val="20"/>
                <w:szCs w:val="20"/>
                <w:lang w:eastAsia="en-US"/>
              </w:rPr>
              <w:t xml:space="preserve"> </w:t>
            </w:r>
            <w:r w:rsidR="00B5304D">
              <w:rPr>
                <w:rFonts w:eastAsia="Times New Roman" w:cs="Times New Roman"/>
                <w:b/>
                <w:bCs/>
                <w:iCs/>
                <w:snapToGrid w:val="0"/>
                <w:sz w:val="20"/>
                <w:szCs w:val="20"/>
                <w:lang w:eastAsia="en-US"/>
              </w:rPr>
              <w:t xml:space="preserve">                                              </w:t>
            </w:r>
            <w:r w:rsidRPr="002826EC">
              <w:rPr>
                <w:rFonts w:eastAsia="Times New Roman" w:cs="Times New Roman"/>
                <w:bCs/>
                <w:iCs/>
                <w:snapToGrid w:val="0"/>
                <w:sz w:val="20"/>
                <w:szCs w:val="20"/>
                <w:lang w:eastAsia="en-US"/>
              </w:rPr>
              <w:t>Laurent V</w:t>
            </w:r>
            <w:r w:rsidR="00B5304D">
              <w:rPr>
                <w:rFonts w:eastAsia="Times New Roman" w:cs="Times New Roman"/>
                <w:bCs/>
                <w:iCs/>
                <w:snapToGrid w:val="0"/>
                <w:sz w:val="20"/>
                <w:szCs w:val="20"/>
                <w:lang w:eastAsia="en-US"/>
              </w:rPr>
              <w:t>aliergue</w:t>
            </w:r>
          </w:p>
        </w:tc>
        <w:tc>
          <w:tcPr>
            <w:tcW w:w="540" w:type="dxa"/>
            <w:vMerge/>
            <w:tcBorders>
              <w:top w:val="single" w:sz="4" w:space="0" w:color="auto"/>
              <w:left w:val="single" w:sz="4" w:space="0" w:color="auto"/>
              <w:right w:val="single" w:sz="4" w:space="0" w:color="auto"/>
            </w:tcBorders>
            <w:shd w:val="clear" w:color="auto" w:fill="auto"/>
          </w:tcPr>
          <w:p w:rsidR="00DB53AD" w:rsidRPr="004E7C36" w:rsidRDefault="00DB53AD" w:rsidP="00F95290">
            <w:pPr>
              <w:spacing w:after="0" w:line="240" w:lineRule="auto"/>
              <w:contextualSpacing/>
              <w:rPr>
                <w:rFonts w:eastAsia="Times New Roman" w:cs="Times New Roman"/>
                <w:b/>
                <w:bCs/>
                <w:snapToGrid w:val="0"/>
                <w:kern w:val="32"/>
                <w:sz w:val="20"/>
                <w:szCs w:val="20"/>
                <w:lang w:eastAsia="en-US"/>
              </w:rPr>
            </w:pPr>
          </w:p>
        </w:tc>
        <w:tc>
          <w:tcPr>
            <w:tcW w:w="2677" w:type="dxa"/>
            <w:gridSpan w:val="2"/>
            <w:tcBorders>
              <w:top w:val="single" w:sz="4" w:space="0" w:color="auto"/>
              <w:left w:val="single" w:sz="4" w:space="0" w:color="auto"/>
            </w:tcBorders>
            <w:shd w:val="clear" w:color="auto" w:fill="auto"/>
          </w:tcPr>
          <w:p w:rsidR="00DB53AD" w:rsidRPr="004E7C36" w:rsidRDefault="00DB53AD" w:rsidP="00790C26">
            <w:pPr>
              <w:spacing w:after="0" w:line="240" w:lineRule="auto"/>
              <w:contextualSpacing/>
              <w:rPr>
                <w:rFonts w:eastAsia="Times New Roman" w:cs="Times New Roman"/>
                <w:b/>
                <w:bCs/>
                <w:iCs/>
                <w:snapToGrid w:val="0"/>
                <w:sz w:val="20"/>
                <w:szCs w:val="20"/>
                <w:lang w:eastAsia="en-US"/>
              </w:rPr>
            </w:pPr>
            <w:r w:rsidRPr="004E7C36">
              <w:rPr>
                <w:rFonts w:eastAsia="Times New Roman" w:cs="Times New Roman"/>
                <w:b/>
                <w:bCs/>
                <w:iCs/>
                <w:snapToGrid w:val="0"/>
                <w:sz w:val="20"/>
                <w:szCs w:val="20"/>
                <w:lang w:eastAsia="en-US"/>
              </w:rPr>
              <w:t>Nom :</w:t>
            </w:r>
            <w:r w:rsidR="00790C26">
              <w:rPr>
                <w:rFonts w:eastAsia="Times New Roman" w:cs="Times New Roman"/>
                <w:b/>
                <w:bCs/>
                <w:iCs/>
                <w:snapToGrid w:val="0"/>
                <w:sz w:val="20"/>
                <w:szCs w:val="20"/>
                <w:lang w:eastAsia="en-US"/>
              </w:rPr>
              <w:t xml:space="preserve"> </w:t>
            </w:r>
          </w:p>
        </w:tc>
        <w:tc>
          <w:tcPr>
            <w:tcW w:w="2340" w:type="dxa"/>
            <w:tcBorders>
              <w:top w:val="single" w:sz="4" w:space="0" w:color="auto"/>
              <w:left w:val="nil"/>
              <w:right w:val="single" w:sz="4" w:space="0" w:color="auto"/>
            </w:tcBorders>
            <w:shd w:val="clear" w:color="auto" w:fill="auto"/>
          </w:tcPr>
          <w:p w:rsidR="00DB53AD" w:rsidRPr="00790C26" w:rsidRDefault="00790C26" w:rsidP="00BA7EC4">
            <w:pPr>
              <w:spacing w:after="0" w:line="240" w:lineRule="auto"/>
              <w:contextualSpacing/>
              <w:jc w:val="right"/>
              <w:rPr>
                <w:rFonts w:eastAsia="Times New Roman" w:cs="Times New Roman"/>
                <w:bCs/>
                <w:iCs/>
                <w:snapToGrid w:val="0"/>
                <w:kern w:val="32"/>
                <w:sz w:val="20"/>
                <w:szCs w:val="20"/>
                <w:lang w:eastAsia="en-US"/>
              </w:rPr>
            </w:pPr>
            <w:r>
              <w:rPr>
                <w:rFonts w:eastAsia="Times New Roman" w:cs="Times New Roman"/>
                <w:bCs/>
                <w:iCs/>
                <w:snapToGrid w:val="0"/>
                <w:kern w:val="32"/>
                <w:sz w:val="20"/>
                <w:szCs w:val="20"/>
                <w:lang w:eastAsia="en-US"/>
              </w:rPr>
              <w:t>Clé</w:t>
            </w:r>
            <w:r w:rsidRPr="00790C26">
              <w:rPr>
                <w:rFonts w:eastAsia="Times New Roman" w:cs="Times New Roman"/>
                <w:bCs/>
                <w:iCs/>
                <w:snapToGrid w:val="0"/>
                <w:kern w:val="32"/>
                <w:sz w:val="20"/>
                <w:szCs w:val="20"/>
                <w:lang w:eastAsia="en-US"/>
              </w:rPr>
              <w:t>ment Vangu</w:t>
            </w:r>
            <w:r w:rsidR="00BA7EC4">
              <w:rPr>
                <w:rFonts w:eastAsia="Times New Roman" w:cs="Times New Roman"/>
                <w:bCs/>
                <w:iCs/>
                <w:snapToGrid w:val="0"/>
                <w:kern w:val="32"/>
                <w:sz w:val="20"/>
                <w:szCs w:val="20"/>
                <w:lang w:eastAsia="en-US"/>
              </w:rPr>
              <w:t>-Lutete</w:t>
            </w:r>
          </w:p>
        </w:tc>
      </w:tr>
      <w:tr w:rsidR="004E7C36" w:rsidRPr="004E7C36" w:rsidTr="00ED144B">
        <w:trPr>
          <w:trHeight w:val="476"/>
        </w:trPr>
        <w:tc>
          <w:tcPr>
            <w:tcW w:w="1620" w:type="dxa"/>
            <w:tcBorders>
              <w:left w:val="single" w:sz="4" w:space="0" w:color="auto"/>
            </w:tcBorders>
            <w:shd w:val="clear" w:color="auto" w:fill="auto"/>
          </w:tcPr>
          <w:p w:rsidR="004E7C36" w:rsidRPr="004E7C36" w:rsidRDefault="004E7C36" w:rsidP="00F95290">
            <w:pPr>
              <w:spacing w:after="0" w:line="240" w:lineRule="auto"/>
              <w:ind w:right="-108"/>
              <w:contextualSpacing/>
              <w:rPr>
                <w:rFonts w:eastAsia="Times New Roman" w:cs="Times New Roman"/>
                <w:b/>
                <w:bCs/>
                <w:iCs/>
                <w:snapToGrid w:val="0"/>
                <w:sz w:val="20"/>
                <w:szCs w:val="20"/>
                <w:lang w:eastAsia="en-US"/>
              </w:rPr>
            </w:pPr>
            <w:r w:rsidRPr="004E7C36">
              <w:rPr>
                <w:rFonts w:eastAsia="Times New Roman" w:cs="Times New Roman"/>
                <w:b/>
                <w:bCs/>
                <w:iCs/>
                <w:snapToGrid w:val="0"/>
                <w:sz w:val="20"/>
                <w:szCs w:val="20"/>
                <w:lang w:eastAsia="en-US"/>
              </w:rPr>
              <w:t>Téléphone :</w:t>
            </w:r>
          </w:p>
        </w:tc>
        <w:tc>
          <w:tcPr>
            <w:tcW w:w="2700" w:type="dxa"/>
            <w:tcBorders>
              <w:left w:val="nil"/>
              <w:right w:val="single" w:sz="4" w:space="0" w:color="auto"/>
            </w:tcBorders>
            <w:shd w:val="clear" w:color="auto" w:fill="auto"/>
          </w:tcPr>
          <w:p w:rsidR="004E7C36" w:rsidRPr="00B5304D" w:rsidRDefault="00B5304D" w:rsidP="00B5304D">
            <w:pPr>
              <w:spacing w:after="0" w:line="240" w:lineRule="auto"/>
              <w:contextualSpacing/>
              <w:jc w:val="right"/>
              <w:rPr>
                <w:rFonts w:eastAsia="Times New Roman" w:cs="Times New Roman"/>
                <w:bCs/>
                <w:snapToGrid w:val="0"/>
                <w:kern w:val="32"/>
                <w:sz w:val="20"/>
                <w:szCs w:val="20"/>
                <w:lang w:eastAsia="en-US"/>
              </w:rPr>
            </w:pPr>
            <w:r w:rsidRPr="00B5304D">
              <w:rPr>
                <w:rFonts w:eastAsia="Times New Roman" w:cs="Times New Roman"/>
                <w:bCs/>
                <w:snapToGrid w:val="0"/>
                <w:kern w:val="32"/>
                <w:sz w:val="20"/>
                <w:szCs w:val="20"/>
                <w:lang w:eastAsia="en-US"/>
              </w:rPr>
              <w:t>+33 1 40 69 30 73</w:t>
            </w:r>
          </w:p>
        </w:tc>
        <w:tc>
          <w:tcPr>
            <w:tcW w:w="540" w:type="dxa"/>
            <w:vMerge/>
            <w:tcBorders>
              <w:left w:val="single" w:sz="4" w:space="0" w:color="auto"/>
              <w:right w:val="single" w:sz="4" w:space="0" w:color="auto"/>
            </w:tcBorders>
            <w:shd w:val="clear" w:color="auto" w:fill="auto"/>
          </w:tcPr>
          <w:p w:rsidR="004E7C36" w:rsidRPr="004E7C36" w:rsidRDefault="004E7C36" w:rsidP="00F95290">
            <w:pPr>
              <w:spacing w:after="0" w:line="240" w:lineRule="auto"/>
              <w:contextualSpacing/>
              <w:rPr>
                <w:rFonts w:eastAsia="Times New Roman" w:cs="Times New Roman"/>
                <w:b/>
                <w:bCs/>
                <w:snapToGrid w:val="0"/>
                <w:kern w:val="32"/>
                <w:sz w:val="20"/>
                <w:szCs w:val="20"/>
                <w:lang w:eastAsia="en-US"/>
              </w:rPr>
            </w:pPr>
          </w:p>
        </w:tc>
        <w:tc>
          <w:tcPr>
            <w:tcW w:w="2677" w:type="dxa"/>
            <w:gridSpan w:val="2"/>
            <w:tcBorders>
              <w:left w:val="single" w:sz="4" w:space="0" w:color="auto"/>
            </w:tcBorders>
            <w:shd w:val="clear" w:color="auto" w:fill="auto"/>
          </w:tcPr>
          <w:p w:rsidR="004E7C36" w:rsidRPr="004E7C36" w:rsidRDefault="004E7C36" w:rsidP="00F95290">
            <w:pPr>
              <w:spacing w:after="0" w:line="240" w:lineRule="auto"/>
              <w:ind w:right="-108"/>
              <w:contextualSpacing/>
              <w:rPr>
                <w:rFonts w:eastAsia="Times New Roman" w:cs="Times New Roman"/>
                <w:b/>
                <w:bCs/>
                <w:iCs/>
                <w:snapToGrid w:val="0"/>
                <w:sz w:val="20"/>
                <w:szCs w:val="20"/>
                <w:lang w:eastAsia="en-US"/>
              </w:rPr>
            </w:pPr>
            <w:r w:rsidRPr="004E7C36">
              <w:rPr>
                <w:rFonts w:eastAsia="Times New Roman" w:cs="Times New Roman"/>
                <w:b/>
                <w:bCs/>
                <w:iCs/>
                <w:snapToGrid w:val="0"/>
                <w:sz w:val="20"/>
                <w:szCs w:val="20"/>
                <w:lang w:eastAsia="en-US"/>
              </w:rPr>
              <w:t>Téléphone :</w:t>
            </w:r>
          </w:p>
        </w:tc>
        <w:tc>
          <w:tcPr>
            <w:tcW w:w="2340" w:type="dxa"/>
            <w:tcBorders>
              <w:left w:val="nil"/>
              <w:right w:val="single" w:sz="4" w:space="0" w:color="auto"/>
            </w:tcBorders>
            <w:shd w:val="clear" w:color="auto" w:fill="auto"/>
          </w:tcPr>
          <w:p w:rsidR="004E7C36" w:rsidRPr="00BA7EC4" w:rsidRDefault="00BA7EC4" w:rsidP="00BA7EC4">
            <w:pPr>
              <w:spacing w:after="0" w:line="240" w:lineRule="auto"/>
              <w:contextualSpacing/>
              <w:jc w:val="right"/>
              <w:rPr>
                <w:rFonts w:eastAsia="Times New Roman" w:cs="Times New Roman"/>
                <w:bCs/>
                <w:iCs/>
                <w:snapToGrid w:val="0"/>
                <w:kern w:val="32"/>
                <w:sz w:val="20"/>
                <w:szCs w:val="20"/>
                <w:lang w:eastAsia="en-US"/>
              </w:rPr>
            </w:pPr>
            <w:r w:rsidRPr="00BA7EC4">
              <w:rPr>
                <w:rFonts w:eastAsia="Times New Roman" w:cs="Times New Roman"/>
                <w:bCs/>
                <w:iCs/>
                <w:snapToGrid w:val="0"/>
                <w:kern w:val="32"/>
                <w:sz w:val="20"/>
                <w:szCs w:val="20"/>
                <w:lang w:eastAsia="en-US"/>
              </w:rPr>
              <w:t>+243 818 843 278</w:t>
            </w:r>
          </w:p>
        </w:tc>
      </w:tr>
      <w:tr w:rsidR="004E7C36" w:rsidRPr="004E7C36" w:rsidTr="00ED144B">
        <w:trPr>
          <w:trHeight w:val="476"/>
        </w:trPr>
        <w:tc>
          <w:tcPr>
            <w:tcW w:w="1620" w:type="dxa"/>
            <w:tcBorders>
              <w:left w:val="single" w:sz="4" w:space="0" w:color="auto"/>
              <w:bottom w:val="single" w:sz="4" w:space="0" w:color="auto"/>
            </w:tcBorders>
            <w:shd w:val="clear" w:color="auto" w:fill="auto"/>
          </w:tcPr>
          <w:p w:rsidR="004E7C36" w:rsidRPr="004E7C36" w:rsidRDefault="004E7C36" w:rsidP="00F95290">
            <w:pPr>
              <w:spacing w:after="0" w:line="240" w:lineRule="auto"/>
              <w:contextualSpacing/>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E-mail :</w:t>
            </w:r>
          </w:p>
        </w:tc>
        <w:tc>
          <w:tcPr>
            <w:tcW w:w="2700" w:type="dxa"/>
            <w:tcBorders>
              <w:left w:val="nil"/>
              <w:bottom w:val="single" w:sz="4" w:space="0" w:color="auto"/>
              <w:right w:val="single" w:sz="4" w:space="0" w:color="auto"/>
            </w:tcBorders>
            <w:shd w:val="clear" w:color="auto" w:fill="auto"/>
          </w:tcPr>
          <w:p w:rsidR="004E7C36" w:rsidRPr="00B5304D" w:rsidRDefault="00B5304D" w:rsidP="00B5304D">
            <w:pPr>
              <w:spacing w:after="0" w:line="240" w:lineRule="auto"/>
              <w:contextualSpacing/>
              <w:jc w:val="right"/>
              <w:rPr>
                <w:rFonts w:eastAsia="Times New Roman" w:cs="Times New Roman"/>
                <w:bCs/>
                <w:snapToGrid w:val="0"/>
                <w:kern w:val="32"/>
                <w:sz w:val="20"/>
                <w:szCs w:val="20"/>
                <w:lang w:eastAsia="en-US"/>
              </w:rPr>
            </w:pPr>
            <w:r w:rsidRPr="00B5304D">
              <w:rPr>
                <w:rFonts w:eastAsia="Times New Roman" w:cs="Times New Roman"/>
                <w:bCs/>
                <w:snapToGrid w:val="0"/>
                <w:kern w:val="32"/>
                <w:sz w:val="20"/>
                <w:szCs w:val="20"/>
                <w:lang w:eastAsia="en-US"/>
              </w:rPr>
              <w:t>lvaliergue@worldbank.org</w:t>
            </w:r>
          </w:p>
        </w:tc>
        <w:tc>
          <w:tcPr>
            <w:tcW w:w="540" w:type="dxa"/>
            <w:vMerge/>
            <w:tcBorders>
              <w:left w:val="single" w:sz="4" w:space="0" w:color="auto"/>
              <w:right w:val="single" w:sz="4" w:space="0" w:color="auto"/>
            </w:tcBorders>
            <w:shd w:val="clear" w:color="auto" w:fill="auto"/>
          </w:tcPr>
          <w:p w:rsidR="004E7C36" w:rsidRPr="004E7C36" w:rsidRDefault="004E7C36" w:rsidP="00F95290">
            <w:pPr>
              <w:spacing w:after="0" w:line="240" w:lineRule="auto"/>
              <w:contextualSpacing/>
              <w:rPr>
                <w:rFonts w:eastAsia="Times New Roman" w:cs="Times New Roman"/>
                <w:b/>
                <w:bCs/>
                <w:snapToGrid w:val="0"/>
                <w:kern w:val="32"/>
                <w:sz w:val="20"/>
                <w:szCs w:val="20"/>
                <w:lang w:eastAsia="en-US"/>
              </w:rPr>
            </w:pPr>
          </w:p>
        </w:tc>
        <w:tc>
          <w:tcPr>
            <w:tcW w:w="2137" w:type="dxa"/>
            <w:tcBorders>
              <w:left w:val="single" w:sz="4" w:space="0" w:color="auto"/>
              <w:bottom w:val="single" w:sz="4" w:space="0" w:color="auto"/>
            </w:tcBorders>
            <w:shd w:val="clear" w:color="auto" w:fill="auto"/>
          </w:tcPr>
          <w:p w:rsidR="004E7C36" w:rsidRPr="004E7C36" w:rsidRDefault="004E7C36" w:rsidP="00F95290">
            <w:pPr>
              <w:spacing w:after="0" w:line="240" w:lineRule="auto"/>
              <w:contextualSpacing/>
              <w:rPr>
                <w:rFonts w:eastAsia="Times New Roman" w:cs="Times New Roman"/>
                <w:b/>
                <w:bCs/>
                <w:iCs/>
                <w:snapToGrid w:val="0"/>
                <w:sz w:val="20"/>
                <w:szCs w:val="20"/>
                <w:lang w:eastAsia="en-US"/>
              </w:rPr>
            </w:pPr>
            <w:r w:rsidRPr="004E7C36">
              <w:rPr>
                <w:rFonts w:eastAsia="Times New Roman" w:cs="Times New Roman"/>
                <w:b/>
                <w:bCs/>
                <w:iCs/>
                <w:snapToGrid w:val="0"/>
                <w:sz w:val="20"/>
                <w:szCs w:val="20"/>
                <w:lang w:eastAsia="en-US"/>
              </w:rPr>
              <w:t>E-mail :</w:t>
            </w:r>
          </w:p>
        </w:tc>
        <w:tc>
          <w:tcPr>
            <w:tcW w:w="2880" w:type="dxa"/>
            <w:gridSpan w:val="2"/>
            <w:tcBorders>
              <w:left w:val="nil"/>
              <w:bottom w:val="single" w:sz="4" w:space="0" w:color="auto"/>
              <w:right w:val="single" w:sz="4" w:space="0" w:color="auto"/>
            </w:tcBorders>
            <w:shd w:val="clear" w:color="auto" w:fill="auto"/>
          </w:tcPr>
          <w:p w:rsidR="004E7C36" w:rsidRPr="00790C26" w:rsidRDefault="00790C26" w:rsidP="00790C26">
            <w:pPr>
              <w:spacing w:after="0" w:line="240" w:lineRule="auto"/>
              <w:contextualSpacing/>
              <w:jc w:val="right"/>
              <w:rPr>
                <w:rFonts w:eastAsia="Times New Roman" w:cs="Times New Roman"/>
                <w:bCs/>
                <w:iCs/>
                <w:snapToGrid w:val="0"/>
                <w:kern w:val="32"/>
                <w:sz w:val="20"/>
                <w:szCs w:val="20"/>
                <w:lang w:eastAsia="en-US"/>
              </w:rPr>
            </w:pPr>
            <w:r w:rsidRPr="00790C26">
              <w:rPr>
                <w:rFonts w:eastAsia="Times New Roman" w:cs="Times New Roman"/>
                <w:bCs/>
                <w:iCs/>
                <w:snapToGrid w:val="0"/>
                <w:kern w:val="32"/>
                <w:sz w:val="20"/>
                <w:szCs w:val="20"/>
                <w:lang w:eastAsia="en-US"/>
              </w:rPr>
              <w:t>vangulutete@gmail.com</w:t>
            </w:r>
          </w:p>
        </w:tc>
      </w:tr>
    </w:tbl>
    <w:p w:rsidR="004E7C36" w:rsidRDefault="004E7C36" w:rsidP="004E7C36">
      <w:pPr>
        <w:spacing w:after="0"/>
        <w:contextualSpacing/>
        <w:rPr>
          <w:rFonts w:eastAsiaTheme="minorHAnsi"/>
          <w:sz w:val="20"/>
          <w:szCs w:val="20"/>
          <w:lang w:eastAsia="en-US"/>
        </w:rPr>
      </w:pPr>
    </w:p>
    <w:p w:rsidR="00D33E12" w:rsidRPr="004E7C36" w:rsidRDefault="00D33E12" w:rsidP="004E7C36">
      <w:pPr>
        <w:spacing w:after="0"/>
        <w:contextualSpacing/>
        <w:rPr>
          <w:rFonts w:eastAsiaTheme="minorHAnsi"/>
          <w:sz w:val="20"/>
          <w:szCs w:val="20"/>
          <w:lang w:eastAsia="en-US"/>
        </w:rPr>
      </w:pPr>
    </w:p>
    <w:tbl>
      <w:tblPr>
        <w:tblW w:w="9877" w:type="dxa"/>
        <w:tblInd w:w="-72" w:type="dxa"/>
        <w:tblLayout w:type="fixed"/>
        <w:tblLook w:val="01E0" w:firstRow="1" w:lastRow="1" w:firstColumn="1" w:lastColumn="1" w:noHBand="0" w:noVBand="0"/>
      </w:tblPr>
      <w:tblGrid>
        <w:gridCol w:w="4320"/>
        <w:gridCol w:w="540"/>
        <w:gridCol w:w="5017"/>
      </w:tblGrid>
      <w:tr w:rsidR="004E7C36" w:rsidRPr="004E7C36" w:rsidTr="00ED144B">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spacing w:before="60" w:after="60" w:line="240" w:lineRule="auto"/>
              <w:contextualSpacing/>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Titre du programme REDD+ :</w:t>
            </w:r>
          </w:p>
        </w:tc>
        <w:tc>
          <w:tcPr>
            <w:tcW w:w="540" w:type="dxa"/>
            <w:vMerge w:val="restart"/>
            <w:tcBorders>
              <w:left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c>
          <w:tcPr>
            <w:tcW w:w="5017" w:type="dxa"/>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spacing w:before="60" w:after="60" w:line="240" w:lineRule="auto"/>
              <w:contextualSpacing/>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Numéro du programme :</w:t>
            </w:r>
          </w:p>
        </w:tc>
      </w:tr>
      <w:tr w:rsidR="004E7C36" w:rsidRPr="004E7C36" w:rsidTr="00ED144B">
        <w:trPr>
          <w:trHeight w:val="386"/>
        </w:trPr>
        <w:tc>
          <w:tcPr>
            <w:tcW w:w="4320" w:type="dxa"/>
            <w:tcBorders>
              <w:top w:val="single" w:sz="4" w:space="0" w:color="auto"/>
              <w:left w:val="single" w:sz="4" w:space="0" w:color="auto"/>
              <w:bottom w:val="single" w:sz="4" w:space="0" w:color="auto"/>
              <w:right w:val="single" w:sz="4" w:space="0" w:color="auto"/>
            </w:tcBorders>
            <w:shd w:val="clear" w:color="auto" w:fill="auto"/>
          </w:tcPr>
          <w:p w:rsidR="004E7C36" w:rsidRPr="00992BFA" w:rsidRDefault="00DB53AD" w:rsidP="00DB53AD">
            <w:pPr>
              <w:widowControl w:val="0"/>
              <w:spacing w:after="0" w:line="240" w:lineRule="auto"/>
              <w:contextualSpacing/>
              <w:jc w:val="both"/>
              <w:rPr>
                <w:rFonts w:eastAsia="Times New Roman" w:cs="Times New Roman"/>
                <w:snapToGrid w:val="0"/>
                <w:sz w:val="20"/>
                <w:szCs w:val="20"/>
                <w:lang w:eastAsia="en-US"/>
              </w:rPr>
            </w:pPr>
            <w:r w:rsidRPr="00992BFA">
              <w:rPr>
                <w:sz w:val="20"/>
                <w:szCs w:val="20"/>
              </w:rPr>
              <w:t xml:space="preserve">Programme </w:t>
            </w:r>
            <w:r w:rsidR="00B5304D" w:rsidRPr="00992BFA">
              <w:rPr>
                <w:sz w:val="20"/>
                <w:szCs w:val="20"/>
              </w:rPr>
              <w:t>Intégré</w:t>
            </w:r>
            <w:r w:rsidR="00B5304D">
              <w:rPr>
                <w:sz w:val="20"/>
                <w:szCs w:val="20"/>
              </w:rPr>
              <w:t xml:space="preserve"> REDD+ du Mai-</w:t>
            </w:r>
            <w:r w:rsidRPr="00992BFA">
              <w:rPr>
                <w:sz w:val="20"/>
                <w:szCs w:val="20"/>
              </w:rPr>
              <w:t>Ndombe</w:t>
            </w:r>
            <w:r w:rsidR="008A7A60">
              <w:rPr>
                <w:sz w:val="20"/>
                <w:szCs w:val="20"/>
              </w:rPr>
              <w:t xml:space="preserve"> (PIREDD Mai-Ndombe)</w:t>
            </w:r>
          </w:p>
        </w:tc>
        <w:tc>
          <w:tcPr>
            <w:tcW w:w="540" w:type="dxa"/>
            <w:vMerge/>
            <w:tcBorders>
              <w:left w:val="single" w:sz="4" w:space="0" w:color="auto"/>
              <w:right w:val="single" w:sz="4" w:space="0" w:color="auto"/>
            </w:tcBorders>
          </w:tcPr>
          <w:p w:rsidR="004E7C36" w:rsidRPr="004E7C36" w:rsidRDefault="004E7C36" w:rsidP="00F95290">
            <w:pPr>
              <w:widowControl w:val="0"/>
              <w:spacing w:after="0" w:line="240" w:lineRule="auto"/>
              <w:contextualSpacing/>
              <w:jc w:val="both"/>
              <w:rPr>
                <w:rFonts w:eastAsia="Times New Roman" w:cs="Times New Roman"/>
                <w:snapToGrid w:val="0"/>
                <w:sz w:val="20"/>
                <w:szCs w:val="20"/>
                <w:lang w:eastAsia="en-US"/>
              </w:rPr>
            </w:pPr>
          </w:p>
        </w:tc>
        <w:tc>
          <w:tcPr>
            <w:tcW w:w="5017" w:type="dxa"/>
            <w:tcBorders>
              <w:top w:val="single" w:sz="4" w:space="0" w:color="auto"/>
              <w:left w:val="single" w:sz="4" w:space="0" w:color="auto"/>
              <w:bottom w:val="single" w:sz="4" w:space="0" w:color="auto"/>
              <w:right w:val="single" w:sz="4" w:space="0" w:color="auto"/>
            </w:tcBorders>
          </w:tcPr>
          <w:p w:rsidR="004E7C36" w:rsidRPr="004E7C36" w:rsidRDefault="004E7C36" w:rsidP="00F95290">
            <w:pPr>
              <w:widowControl w:val="0"/>
              <w:spacing w:after="0" w:line="240" w:lineRule="auto"/>
              <w:contextualSpacing/>
              <w:jc w:val="both"/>
              <w:rPr>
                <w:rFonts w:eastAsia="Times New Roman" w:cs="Times New Roman"/>
                <w:snapToGrid w:val="0"/>
                <w:sz w:val="20"/>
                <w:szCs w:val="20"/>
                <w:lang w:eastAsia="en-US"/>
              </w:rPr>
            </w:pPr>
          </w:p>
        </w:tc>
      </w:tr>
    </w:tbl>
    <w:p w:rsidR="004E7C36" w:rsidRDefault="004E7C36" w:rsidP="004E7C36">
      <w:pPr>
        <w:widowControl w:val="0"/>
        <w:spacing w:after="0" w:line="240" w:lineRule="auto"/>
        <w:contextualSpacing/>
        <w:jc w:val="both"/>
        <w:rPr>
          <w:rFonts w:ascii="Times New Roman" w:eastAsia="Times New Roman" w:hAnsi="Times New Roman" w:cs="Times New Roman"/>
          <w:snapToGrid w:val="0"/>
          <w:sz w:val="20"/>
          <w:szCs w:val="20"/>
          <w:lang w:eastAsia="en-US"/>
        </w:rPr>
      </w:pPr>
    </w:p>
    <w:p w:rsidR="00D33E12" w:rsidRPr="004E7C36" w:rsidRDefault="00D33E12" w:rsidP="004E7C36">
      <w:pPr>
        <w:widowControl w:val="0"/>
        <w:spacing w:after="0" w:line="240" w:lineRule="auto"/>
        <w:contextualSpacing/>
        <w:jc w:val="both"/>
        <w:rPr>
          <w:rFonts w:ascii="Times New Roman" w:eastAsia="Times New Roman" w:hAnsi="Times New Roman" w:cs="Times New Roman"/>
          <w:snapToGrid w:val="0"/>
          <w:sz w:val="20"/>
          <w:szCs w:val="20"/>
          <w:lang w:eastAsia="en-US"/>
        </w:rPr>
      </w:pPr>
    </w:p>
    <w:tbl>
      <w:tblPr>
        <w:tblW w:w="502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395"/>
        <w:gridCol w:w="552"/>
        <w:gridCol w:w="4211"/>
        <w:gridCol w:w="944"/>
      </w:tblGrid>
      <w:tr w:rsidR="004E7C36" w:rsidRPr="004E7C36" w:rsidTr="00E057A3">
        <w:trPr>
          <w:trHeight w:val="440"/>
        </w:trPr>
        <w:tc>
          <w:tcPr>
            <w:tcW w:w="21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E7C36" w:rsidRPr="004E7C36" w:rsidRDefault="004E7C36" w:rsidP="00F95290">
            <w:pPr>
              <w:spacing w:before="60" w:after="60" w:line="240" w:lineRule="auto"/>
              <w:contextualSpacing/>
              <w:jc w:val="center"/>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Coûts du programme :</w:t>
            </w:r>
          </w:p>
        </w:tc>
        <w:tc>
          <w:tcPr>
            <w:tcW w:w="273" w:type="pct"/>
            <w:tcBorders>
              <w:top w:val="nil"/>
              <w:left w:val="single" w:sz="4" w:space="0" w:color="auto"/>
              <w:bottom w:val="nil"/>
              <w:right w:val="single" w:sz="4" w:space="0" w:color="auto"/>
            </w:tcBorders>
            <w:shd w:val="clear" w:color="auto" w:fill="FFFFFF" w:themeFill="background1"/>
          </w:tcPr>
          <w:p w:rsidR="004E7C36" w:rsidRPr="004E7C36" w:rsidRDefault="004E7C36" w:rsidP="00F95290">
            <w:pPr>
              <w:spacing w:before="60" w:after="60" w:line="240" w:lineRule="auto"/>
              <w:contextualSpacing/>
              <w:jc w:val="center"/>
              <w:rPr>
                <w:rFonts w:eastAsia="Times New Roman" w:cs="Times New Roman"/>
                <w:b/>
                <w:bCs/>
                <w:snapToGrid w:val="0"/>
                <w:kern w:val="32"/>
                <w:sz w:val="20"/>
                <w:szCs w:val="20"/>
                <w:lang w:eastAsia="en-US"/>
              </w:rPr>
            </w:pPr>
          </w:p>
        </w:tc>
        <w:tc>
          <w:tcPr>
            <w:tcW w:w="25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E7C36" w:rsidRPr="004E7C36" w:rsidRDefault="004E7C36" w:rsidP="00F95290">
            <w:pPr>
              <w:spacing w:before="60" w:after="60" w:line="240" w:lineRule="auto"/>
              <w:contextualSpacing/>
              <w:jc w:val="center"/>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Lieu du programme :</w:t>
            </w:r>
          </w:p>
        </w:tc>
      </w:tr>
      <w:tr w:rsidR="00CF2020" w:rsidRPr="004E7C36" w:rsidTr="00E057A3">
        <w:trPr>
          <w:trHeight w:val="215"/>
        </w:trPr>
        <w:tc>
          <w:tcPr>
            <w:tcW w:w="2176" w:type="pct"/>
            <w:tcBorders>
              <w:top w:val="single" w:sz="4" w:space="0" w:color="auto"/>
              <w:left w:val="single" w:sz="4" w:space="0" w:color="auto"/>
              <w:bottom w:val="nil"/>
              <w:right w:val="single" w:sz="4" w:space="0" w:color="auto"/>
            </w:tcBorders>
            <w:shd w:val="clear" w:color="auto" w:fill="FFFFFF" w:themeFill="background1"/>
          </w:tcPr>
          <w:p w:rsidR="00CF2020" w:rsidRPr="004E7C36" w:rsidRDefault="00CF2020" w:rsidP="00CF2020">
            <w:pPr>
              <w:widowControl w:val="0"/>
              <w:spacing w:before="120" w:after="120" w:line="240" w:lineRule="auto"/>
              <w:contextualSpacing/>
              <w:jc w:val="both"/>
              <w:rPr>
                <w:rFonts w:eastAsia="Times New Roman" w:cs="Times New Roman"/>
                <w:snapToGrid w:val="0"/>
                <w:sz w:val="20"/>
                <w:szCs w:val="20"/>
                <w:lang w:eastAsia="en-US"/>
              </w:rPr>
            </w:pPr>
            <w:r w:rsidRPr="004E7C36">
              <w:rPr>
                <w:rFonts w:eastAsia="Times New Roman" w:cs="Times New Roman"/>
                <w:b/>
                <w:bCs/>
                <w:iCs/>
                <w:snapToGrid w:val="0"/>
                <w:sz w:val="20"/>
                <w:szCs w:val="20"/>
                <w:lang w:eastAsia="en-US"/>
              </w:rPr>
              <w:t>Fonds </w:t>
            </w:r>
            <w:r w:rsidR="00B5304D">
              <w:rPr>
                <w:rFonts w:eastAsia="Times New Roman" w:cs="Times New Roman"/>
                <w:b/>
                <w:bCs/>
                <w:iCs/>
                <w:snapToGrid w:val="0"/>
                <w:sz w:val="20"/>
                <w:szCs w:val="20"/>
                <w:lang w:eastAsia="en-US"/>
              </w:rPr>
              <w:t xml:space="preserve">: </w:t>
            </w:r>
            <w:r w:rsidR="00B5304D" w:rsidRPr="004E7C36">
              <w:rPr>
                <w:rFonts w:eastAsia="Times New Roman" w:cs="Times New Roman"/>
                <w:b/>
                <w:bCs/>
                <w:iCs/>
                <w:snapToGrid w:val="0"/>
                <w:sz w:val="20"/>
                <w:szCs w:val="20"/>
                <w:lang w:eastAsia="en-US"/>
              </w:rPr>
              <w:t>30</w:t>
            </w:r>
            <w:r w:rsidR="00B5304D">
              <w:rPr>
                <w:rFonts w:eastAsia="Times New Roman" w:cs="Times New Roman"/>
                <w:b/>
                <w:bCs/>
                <w:iCs/>
                <w:snapToGrid w:val="0"/>
                <w:sz w:val="20"/>
                <w:szCs w:val="20"/>
                <w:lang w:eastAsia="en-US"/>
              </w:rPr>
              <w:t>.0</w:t>
            </w:r>
            <w:r w:rsidR="00B5304D" w:rsidRPr="004E7C36">
              <w:rPr>
                <w:rFonts w:eastAsia="Times New Roman" w:cs="Times New Roman"/>
                <w:b/>
                <w:bCs/>
                <w:iCs/>
                <w:snapToGrid w:val="0"/>
                <w:sz w:val="20"/>
                <w:szCs w:val="20"/>
                <w:lang w:eastAsia="en-US"/>
              </w:rPr>
              <w:t>M</w:t>
            </w:r>
          </w:p>
        </w:tc>
        <w:tc>
          <w:tcPr>
            <w:tcW w:w="273" w:type="pct"/>
            <w:tcBorders>
              <w:top w:val="nil"/>
              <w:left w:val="single" w:sz="4" w:space="0" w:color="auto"/>
              <w:bottom w:val="nil"/>
              <w:right w:val="single" w:sz="4" w:space="0" w:color="auto"/>
            </w:tcBorders>
            <w:shd w:val="clear" w:color="auto" w:fill="FFFFFF" w:themeFill="background1"/>
          </w:tcPr>
          <w:p w:rsidR="00CF2020" w:rsidRPr="004E7C36" w:rsidRDefault="00CF2020" w:rsidP="00F95290">
            <w:pPr>
              <w:widowControl w:val="0"/>
              <w:spacing w:before="120" w:after="120" w:line="240" w:lineRule="auto"/>
              <w:contextualSpacing/>
              <w:jc w:val="both"/>
              <w:rPr>
                <w:rFonts w:eastAsia="Times New Roman" w:cs="Times New Roman"/>
                <w:snapToGrid w:val="0"/>
                <w:sz w:val="20"/>
                <w:szCs w:val="20"/>
                <w:lang w:eastAsia="en-US"/>
              </w:rPr>
            </w:pPr>
          </w:p>
        </w:tc>
        <w:tc>
          <w:tcPr>
            <w:tcW w:w="2084" w:type="pct"/>
            <w:tcBorders>
              <w:top w:val="single" w:sz="4" w:space="0" w:color="auto"/>
              <w:left w:val="single" w:sz="4" w:space="0" w:color="auto"/>
              <w:bottom w:val="nil"/>
              <w:right w:val="nil"/>
            </w:tcBorders>
            <w:shd w:val="clear" w:color="auto" w:fill="FFFFFF" w:themeFill="background1"/>
          </w:tcPr>
          <w:p w:rsidR="00CF2020" w:rsidRPr="004E7C36" w:rsidRDefault="00CF2020" w:rsidP="00F95290">
            <w:pPr>
              <w:widowControl w:val="0"/>
              <w:spacing w:before="120" w:after="120" w:line="240" w:lineRule="auto"/>
              <w:contextualSpacing/>
              <w:jc w:val="both"/>
              <w:rPr>
                <w:rFonts w:eastAsia="Times New Roman" w:cs="Times New Roman"/>
                <w:b/>
                <w:snapToGrid w:val="0"/>
                <w:sz w:val="20"/>
                <w:szCs w:val="20"/>
                <w:lang w:eastAsia="en-US"/>
              </w:rPr>
            </w:pPr>
            <w:r w:rsidRPr="004E7C36">
              <w:rPr>
                <w:rFonts w:eastAsia="Times New Roman" w:cs="Times New Roman"/>
                <w:b/>
                <w:snapToGrid w:val="0"/>
                <w:sz w:val="20"/>
                <w:szCs w:val="20"/>
                <w:lang w:eastAsia="en-US"/>
              </w:rPr>
              <w:t>Province :</w:t>
            </w:r>
            <w:r>
              <w:rPr>
                <w:rFonts w:eastAsia="Times New Roman" w:cs="Times New Roman"/>
                <w:b/>
                <w:snapToGrid w:val="0"/>
                <w:sz w:val="20"/>
                <w:szCs w:val="20"/>
                <w:lang w:eastAsia="en-US"/>
              </w:rPr>
              <w:t xml:space="preserve"> </w:t>
            </w:r>
            <w:r w:rsidR="00B5304D">
              <w:rPr>
                <w:rFonts w:eastAsia="Times New Roman" w:cs="Times New Roman"/>
                <w:snapToGrid w:val="0"/>
                <w:sz w:val="20"/>
                <w:szCs w:val="20"/>
                <w:lang w:eastAsia="en-US"/>
              </w:rPr>
              <w:t>Mai-</w:t>
            </w:r>
            <w:r w:rsidRPr="00DB53AD">
              <w:rPr>
                <w:rFonts w:eastAsia="Times New Roman" w:cs="Times New Roman"/>
                <w:snapToGrid w:val="0"/>
                <w:sz w:val="20"/>
                <w:szCs w:val="20"/>
                <w:lang w:eastAsia="en-US"/>
              </w:rPr>
              <w:t>Ndombe</w:t>
            </w:r>
          </w:p>
        </w:tc>
        <w:tc>
          <w:tcPr>
            <w:tcW w:w="467" w:type="pct"/>
            <w:tcBorders>
              <w:top w:val="single" w:sz="4" w:space="0" w:color="auto"/>
              <w:left w:val="nil"/>
              <w:bottom w:val="nil"/>
              <w:right w:val="single" w:sz="4" w:space="0" w:color="auto"/>
            </w:tcBorders>
            <w:shd w:val="clear" w:color="auto" w:fill="FFFFFF" w:themeFill="background1"/>
          </w:tcPr>
          <w:p w:rsidR="00CF2020" w:rsidRPr="004E7C36" w:rsidRDefault="00CF2020" w:rsidP="00F95290">
            <w:pPr>
              <w:widowControl w:val="0"/>
              <w:spacing w:before="120" w:after="120" w:line="240" w:lineRule="auto"/>
              <w:contextualSpacing/>
              <w:jc w:val="both"/>
              <w:rPr>
                <w:rFonts w:eastAsia="Times New Roman" w:cs="Times New Roman"/>
                <w:snapToGrid w:val="0"/>
                <w:sz w:val="20"/>
                <w:szCs w:val="20"/>
                <w:lang w:eastAsia="en-US"/>
              </w:rPr>
            </w:pPr>
          </w:p>
        </w:tc>
      </w:tr>
      <w:tr w:rsidR="00CF2020" w:rsidRPr="004E7C36" w:rsidTr="00E057A3">
        <w:trPr>
          <w:trHeight w:val="350"/>
        </w:trPr>
        <w:tc>
          <w:tcPr>
            <w:tcW w:w="2176" w:type="pct"/>
            <w:tcBorders>
              <w:top w:val="nil"/>
              <w:left w:val="single" w:sz="4" w:space="0" w:color="auto"/>
              <w:bottom w:val="nil"/>
              <w:right w:val="single" w:sz="4" w:space="0" w:color="auto"/>
            </w:tcBorders>
            <w:shd w:val="clear" w:color="auto" w:fill="FFFFFF" w:themeFill="background1"/>
          </w:tcPr>
          <w:p w:rsidR="00CF2020" w:rsidRPr="004E7C36" w:rsidRDefault="00CF2020" w:rsidP="00F95290">
            <w:pPr>
              <w:widowControl w:val="0"/>
              <w:spacing w:before="120" w:after="120" w:line="240" w:lineRule="auto"/>
              <w:contextualSpacing/>
              <w:jc w:val="both"/>
              <w:rPr>
                <w:rFonts w:eastAsia="Times New Roman" w:cs="Times New Roman"/>
                <w:snapToGrid w:val="0"/>
                <w:sz w:val="20"/>
                <w:szCs w:val="20"/>
                <w:lang w:eastAsia="en-US"/>
              </w:rPr>
            </w:pPr>
            <w:r w:rsidRPr="004E7C36">
              <w:rPr>
                <w:rFonts w:eastAsia="Times New Roman" w:cs="Times New Roman"/>
                <w:b/>
                <w:bCs/>
                <w:iCs/>
                <w:snapToGrid w:val="0"/>
                <w:sz w:val="20"/>
                <w:szCs w:val="20"/>
                <w:lang w:eastAsia="en-US"/>
              </w:rPr>
              <w:t>Autre :</w:t>
            </w:r>
            <w:r w:rsidR="00B5304D">
              <w:rPr>
                <w:rFonts w:eastAsia="Times New Roman" w:cs="Times New Roman"/>
                <w:b/>
                <w:bCs/>
                <w:iCs/>
                <w:snapToGrid w:val="0"/>
                <w:sz w:val="20"/>
                <w:szCs w:val="20"/>
                <w:lang w:eastAsia="en-US"/>
              </w:rPr>
              <w:t xml:space="preserve"> 14.2</w:t>
            </w:r>
            <w:r>
              <w:rPr>
                <w:rFonts w:eastAsia="Times New Roman" w:cs="Times New Roman"/>
                <w:b/>
                <w:bCs/>
                <w:iCs/>
                <w:snapToGrid w:val="0"/>
                <w:sz w:val="20"/>
                <w:szCs w:val="20"/>
                <w:lang w:eastAsia="en-US"/>
              </w:rPr>
              <w:t>M (FIP) et 4</w:t>
            </w:r>
            <w:r w:rsidR="00B5304D">
              <w:rPr>
                <w:rFonts w:eastAsia="Times New Roman" w:cs="Times New Roman"/>
                <w:b/>
                <w:bCs/>
                <w:iCs/>
                <w:snapToGrid w:val="0"/>
                <w:sz w:val="20"/>
                <w:szCs w:val="20"/>
                <w:lang w:eastAsia="en-US"/>
              </w:rPr>
              <w:t>.0</w:t>
            </w:r>
            <w:r>
              <w:rPr>
                <w:rFonts w:eastAsia="Times New Roman" w:cs="Times New Roman"/>
                <w:b/>
                <w:bCs/>
                <w:iCs/>
                <w:snapToGrid w:val="0"/>
                <w:sz w:val="20"/>
                <w:szCs w:val="20"/>
                <w:lang w:eastAsia="en-US"/>
              </w:rPr>
              <w:t>M (GEF)</w:t>
            </w:r>
          </w:p>
        </w:tc>
        <w:tc>
          <w:tcPr>
            <w:tcW w:w="273" w:type="pct"/>
            <w:tcBorders>
              <w:top w:val="nil"/>
              <w:left w:val="single" w:sz="4" w:space="0" w:color="auto"/>
              <w:bottom w:val="nil"/>
              <w:right w:val="single" w:sz="4" w:space="0" w:color="auto"/>
            </w:tcBorders>
            <w:shd w:val="clear" w:color="auto" w:fill="FFFFFF" w:themeFill="background1"/>
          </w:tcPr>
          <w:p w:rsidR="00CF2020" w:rsidRPr="004E7C36" w:rsidRDefault="00CF2020" w:rsidP="00F95290">
            <w:pPr>
              <w:widowControl w:val="0"/>
              <w:spacing w:before="120" w:after="120" w:line="240" w:lineRule="auto"/>
              <w:contextualSpacing/>
              <w:jc w:val="both"/>
              <w:rPr>
                <w:rFonts w:eastAsia="Times New Roman" w:cs="Times New Roman"/>
                <w:snapToGrid w:val="0"/>
                <w:sz w:val="20"/>
                <w:szCs w:val="20"/>
                <w:lang w:eastAsia="en-US"/>
              </w:rPr>
            </w:pPr>
          </w:p>
        </w:tc>
        <w:tc>
          <w:tcPr>
            <w:tcW w:w="2084" w:type="pct"/>
            <w:tcBorders>
              <w:top w:val="nil"/>
              <w:left w:val="single" w:sz="4" w:space="0" w:color="auto"/>
              <w:bottom w:val="nil"/>
              <w:right w:val="nil"/>
            </w:tcBorders>
            <w:shd w:val="clear" w:color="auto" w:fill="FFFFFF" w:themeFill="background1"/>
          </w:tcPr>
          <w:p w:rsidR="00CF2020" w:rsidRPr="004E7C36" w:rsidRDefault="00CF2020" w:rsidP="00F95290">
            <w:pPr>
              <w:widowControl w:val="0"/>
              <w:spacing w:before="120" w:after="120" w:line="240" w:lineRule="auto"/>
              <w:contextualSpacing/>
              <w:jc w:val="both"/>
              <w:rPr>
                <w:rFonts w:eastAsia="Times New Roman" w:cs="Times New Roman"/>
                <w:b/>
                <w:snapToGrid w:val="0"/>
                <w:sz w:val="20"/>
                <w:szCs w:val="20"/>
                <w:lang w:eastAsia="en-US"/>
              </w:rPr>
            </w:pPr>
            <w:r w:rsidRPr="004E7C36">
              <w:rPr>
                <w:rFonts w:eastAsia="Times New Roman" w:cs="Times New Roman"/>
                <w:b/>
                <w:snapToGrid w:val="0"/>
                <w:sz w:val="20"/>
                <w:szCs w:val="20"/>
                <w:lang w:eastAsia="en-US"/>
              </w:rPr>
              <w:t>District(s):</w:t>
            </w:r>
            <w:r w:rsidR="00B5304D">
              <w:rPr>
                <w:rFonts w:eastAsia="Times New Roman" w:cs="Times New Roman"/>
                <w:b/>
                <w:snapToGrid w:val="0"/>
                <w:sz w:val="20"/>
                <w:szCs w:val="20"/>
                <w:lang w:eastAsia="en-US"/>
              </w:rPr>
              <w:t xml:space="preserve"> </w:t>
            </w:r>
            <w:r w:rsidR="00B5304D">
              <w:rPr>
                <w:rFonts w:eastAsia="Times New Roman" w:cs="Times New Roman"/>
                <w:snapToGrid w:val="0"/>
                <w:sz w:val="20"/>
                <w:szCs w:val="20"/>
                <w:lang w:eastAsia="en-US"/>
              </w:rPr>
              <w:t>Mai-</w:t>
            </w:r>
            <w:r w:rsidRPr="00CF2020">
              <w:rPr>
                <w:rFonts w:eastAsia="Times New Roman" w:cs="Times New Roman"/>
                <w:snapToGrid w:val="0"/>
                <w:sz w:val="20"/>
                <w:szCs w:val="20"/>
                <w:lang w:eastAsia="en-US"/>
              </w:rPr>
              <w:t>Ndombe </w:t>
            </w:r>
            <w:r w:rsidR="00B5304D">
              <w:rPr>
                <w:rFonts w:eastAsia="Times New Roman" w:cs="Times New Roman"/>
                <w:snapToGrid w:val="0"/>
                <w:sz w:val="20"/>
                <w:szCs w:val="20"/>
                <w:lang w:eastAsia="en-US"/>
              </w:rPr>
              <w:t>et Plateau</w:t>
            </w:r>
          </w:p>
        </w:tc>
        <w:tc>
          <w:tcPr>
            <w:tcW w:w="467" w:type="pct"/>
            <w:tcBorders>
              <w:top w:val="nil"/>
              <w:left w:val="nil"/>
              <w:bottom w:val="nil"/>
              <w:right w:val="single" w:sz="4" w:space="0" w:color="auto"/>
            </w:tcBorders>
            <w:shd w:val="clear" w:color="auto" w:fill="FFFFFF" w:themeFill="background1"/>
          </w:tcPr>
          <w:p w:rsidR="00CF2020" w:rsidRPr="004E7C36" w:rsidRDefault="00CF2020" w:rsidP="00F95290">
            <w:pPr>
              <w:widowControl w:val="0"/>
              <w:spacing w:before="120" w:after="120" w:line="240" w:lineRule="auto"/>
              <w:contextualSpacing/>
              <w:jc w:val="both"/>
              <w:rPr>
                <w:rFonts w:eastAsia="Times New Roman" w:cs="Times New Roman"/>
                <w:snapToGrid w:val="0"/>
                <w:sz w:val="20"/>
                <w:szCs w:val="20"/>
                <w:lang w:eastAsia="en-US"/>
              </w:rPr>
            </w:pPr>
          </w:p>
        </w:tc>
      </w:tr>
      <w:tr w:rsidR="00CF2020" w:rsidRPr="004E7C36" w:rsidTr="00E057A3">
        <w:trPr>
          <w:trHeight w:val="350"/>
        </w:trPr>
        <w:tc>
          <w:tcPr>
            <w:tcW w:w="2176" w:type="pct"/>
            <w:tcBorders>
              <w:top w:val="nil"/>
              <w:left w:val="single" w:sz="4" w:space="0" w:color="auto"/>
              <w:bottom w:val="nil"/>
              <w:right w:val="single" w:sz="4" w:space="0" w:color="auto"/>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snapToGrid w:val="0"/>
                <w:sz w:val="20"/>
                <w:szCs w:val="20"/>
                <w:lang w:eastAsia="en-US"/>
              </w:rPr>
            </w:pPr>
            <w:r w:rsidRPr="004E7C36">
              <w:rPr>
                <w:rFonts w:eastAsia="Times New Roman" w:cs="Times New Roman"/>
                <w:b/>
                <w:bCs/>
                <w:iCs/>
                <w:snapToGrid w:val="0"/>
                <w:sz w:val="20"/>
                <w:szCs w:val="20"/>
                <w:lang w:eastAsia="en-US"/>
              </w:rPr>
              <w:t>TOTAL (USD) :</w:t>
            </w:r>
            <w:r w:rsidR="00B5304D">
              <w:rPr>
                <w:rFonts w:eastAsia="Times New Roman" w:cs="Times New Roman"/>
                <w:b/>
                <w:bCs/>
                <w:iCs/>
                <w:snapToGrid w:val="0"/>
                <w:sz w:val="20"/>
                <w:szCs w:val="20"/>
                <w:lang w:eastAsia="en-US"/>
              </w:rPr>
              <w:t xml:space="preserve"> 48.2</w:t>
            </w:r>
            <w:r>
              <w:rPr>
                <w:rFonts w:eastAsia="Times New Roman" w:cs="Times New Roman"/>
                <w:b/>
                <w:bCs/>
                <w:iCs/>
                <w:snapToGrid w:val="0"/>
                <w:sz w:val="20"/>
                <w:szCs w:val="20"/>
                <w:lang w:eastAsia="en-US"/>
              </w:rPr>
              <w:t>M</w:t>
            </w:r>
          </w:p>
        </w:tc>
        <w:tc>
          <w:tcPr>
            <w:tcW w:w="273" w:type="pct"/>
            <w:tcBorders>
              <w:top w:val="nil"/>
              <w:left w:val="single" w:sz="4" w:space="0" w:color="auto"/>
              <w:bottom w:val="nil"/>
              <w:right w:val="single" w:sz="4" w:space="0" w:color="auto"/>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snapToGrid w:val="0"/>
                <w:sz w:val="20"/>
                <w:szCs w:val="20"/>
                <w:lang w:eastAsia="en-US"/>
              </w:rPr>
            </w:pPr>
          </w:p>
        </w:tc>
        <w:tc>
          <w:tcPr>
            <w:tcW w:w="2084" w:type="pct"/>
            <w:tcBorders>
              <w:top w:val="nil"/>
              <w:left w:val="single" w:sz="4" w:space="0" w:color="auto"/>
              <w:bottom w:val="nil"/>
              <w:right w:val="nil"/>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b/>
                <w:snapToGrid w:val="0"/>
                <w:sz w:val="20"/>
                <w:szCs w:val="20"/>
                <w:lang w:eastAsia="en-US"/>
              </w:rPr>
            </w:pPr>
            <w:r w:rsidRPr="004E7C36">
              <w:rPr>
                <w:rFonts w:eastAsia="Times New Roman" w:cs="Times New Roman"/>
                <w:b/>
                <w:snapToGrid w:val="0"/>
                <w:sz w:val="20"/>
                <w:szCs w:val="20"/>
                <w:lang w:eastAsia="en-US"/>
              </w:rPr>
              <w:t>Chefferie(s):</w:t>
            </w:r>
            <w:r w:rsidR="00B5304D">
              <w:rPr>
                <w:rFonts w:eastAsia="Times New Roman" w:cs="Times New Roman"/>
                <w:b/>
                <w:snapToGrid w:val="0"/>
                <w:sz w:val="20"/>
                <w:szCs w:val="20"/>
                <w:lang w:eastAsia="en-US"/>
              </w:rPr>
              <w:t xml:space="preserve"> </w:t>
            </w:r>
            <w:r w:rsidR="00B5304D" w:rsidRPr="00B5304D">
              <w:rPr>
                <w:rFonts w:eastAsia="Times New Roman" w:cs="Times New Roman"/>
                <w:snapToGrid w:val="0"/>
                <w:sz w:val="20"/>
                <w:szCs w:val="20"/>
                <w:lang w:eastAsia="en-US"/>
              </w:rPr>
              <w:t>toutes</w:t>
            </w:r>
          </w:p>
        </w:tc>
        <w:tc>
          <w:tcPr>
            <w:tcW w:w="467" w:type="pct"/>
            <w:tcBorders>
              <w:top w:val="nil"/>
              <w:left w:val="nil"/>
              <w:bottom w:val="nil"/>
              <w:right w:val="single" w:sz="4" w:space="0" w:color="auto"/>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snapToGrid w:val="0"/>
                <w:sz w:val="20"/>
                <w:szCs w:val="20"/>
                <w:lang w:eastAsia="en-US"/>
              </w:rPr>
            </w:pPr>
          </w:p>
        </w:tc>
      </w:tr>
      <w:tr w:rsidR="00CF2020" w:rsidRPr="004E7C36" w:rsidTr="00E057A3">
        <w:trPr>
          <w:trHeight w:val="350"/>
        </w:trPr>
        <w:tc>
          <w:tcPr>
            <w:tcW w:w="2176" w:type="pct"/>
            <w:tcBorders>
              <w:top w:val="nil"/>
              <w:left w:val="single" w:sz="4" w:space="0" w:color="auto"/>
              <w:bottom w:val="single" w:sz="4" w:space="0" w:color="auto"/>
              <w:right w:val="single" w:sz="4" w:space="0" w:color="auto"/>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snapToGrid w:val="0"/>
                <w:sz w:val="20"/>
                <w:szCs w:val="20"/>
                <w:lang w:eastAsia="en-US"/>
              </w:rPr>
            </w:pPr>
          </w:p>
        </w:tc>
        <w:tc>
          <w:tcPr>
            <w:tcW w:w="273" w:type="pct"/>
            <w:tcBorders>
              <w:top w:val="nil"/>
              <w:left w:val="single" w:sz="4" w:space="0" w:color="auto"/>
              <w:bottom w:val="nil"/>
              <w:right w:val="single" w:sz="4" w:space="0" w:color="auto"/>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snapToGrid w:val="0"/>
                <w:sz w:val="20"/>
                <w:szCs w:val="20"/>
                <w:lang w:eastAsia="en-US"/>
              </w:rPr>
            </w:pPr>
          </w:p>
        </w:tc>
        <w:tc>
          <w:tcPr>
            <w:tcW w:w="2084" w:type="pct"/>
            <w:tcBorders>
              <w:top w:val="nil"/>
              <w:left w:val="single" w:sz="4" w:space="0" w:color="auto"/>
              <w:bottom w:val="single" w:sz="4" w:space="0" w:color="auto"/>
              <w:right w:val="nil"/>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b/>
                <w:snapToGrid w:val="0"/>
                <w:sz w:val="20"/>
                <w:szCs w:val="20"/>
                <w:lang w:eastAsia="en-US"/>
              </w:rPr>
            </w:pPr>
          </w:p>
        </w:tc>
        <w:tc>
          <w:tcPr>
            <w:tcW w:w="467" w:type="pct"/>
            <w:tcBorders>
              <w:top w:val="nil"/>
              <w:left w:val="nil"/>
              <w:bottom w:val="single" w:sz="4" w:space="0" w:color="auto"/>
              <w:right w:val="single" w:sz="4" w:space="0" w:color="auto"/>
            </w:tcBorders>
            <w:shd w:val="clear" w:color="auto" w:fill="FFFFFF" w:themeFill="background1"/>
          </w:tcPr>
          <w:p w:rsidR="00CF2020" w:rsidRPr="004E7C36" w:rsidRDefault="00CF2020" w:rsidP="00F95290">
            <w:pPr>
              <w:widowControl w:val="0"/>
              <w:spacing w:after="0" w:line="240" w:lineRule="auto"/>
              <w:contextualSpacing/>
              <w:jc w:val="both"/>
              <w:rPr>
                <w:rFonts w:eastAsia="Times New Roman" w:cs="Times New Roman"/>
                <w:snapToGrid w:val="0"/>
                <w:sz w:val="20"/>
                <w:szCs w:val="20"/>
                <w:lang w:eastAsia="en-US"/>
              </w:rPr>
            </w:pPr>
          </w:p>
        </w:tc>
      </w:tr>
    </w:tbl>
    <w:p w:rsidR="00E057A3" w:rsidRDefault="00E057A3" w:rsidP="004E7C36">
      <w:pPr>
        <w:spacing w:after="0"/>
        <w:contextualSpacing/>
        <w:rPr>
          <w:rFonts w:eastAsiaTheme="minorHAnsi"/>
          <w:sz w:val="20"/>
          <w:szCs w:val="20"/>
          <w:lang w:eastAsia="en-US"/>
        </w:rPr>
      </w:pPr>
    </w:p>
    <w:p w:rsidR="00D33E12" w:rsidRPr="004E7C36" w:rsidRDefault="00D33E12" w:rsidP="004E7C36">
      <w:pPr>
        <w:spacing w:after="0"/>
        <w:contextualSpacing/>
        <w:rPr>
          <w:rFonts w:eastAsiaTheme="minorHAnsi"/>
          <w:sz w:val="20"/>
          <w:szCs w:val="20"/>
          <w:lang w:eastAsia="en-US"/>
        </w:rPr>
      </w:pPr>
    </w:p>
    <w:tbl>
      <w:tblPr>
        <w:tblW w:w="5038"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4"/>
        <w:gridCol w:w="1964"/>
        <w:gridCol w:w="553"/>
        <w:gridCol w:w="5153"/>
      </w:tblGrid>
      <w:tr w:rsidR="004E7C36" w:rsidRPr="004E7C36" w:rsidTr="00E057A3">
        <w:trPr>
          <w:trHeight w:val="440"/>
        </w:trPr>
        <w:tc>
          <w:tcPr>
            <w:tcW w:w="2182" w:type="pct"/>
            <w:gridSpan w:val="2"/>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spacing w:before="60" w:after="60" w:line="240" w:lineRule="auto"/>
              <w:contextualSpacing/>
              <w:jc w:val="center"/>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Organisations Participantes :</w:t>
            </w:r>
          </w:p>
        </w:tc>
        <w:tc>
          <w:tcPr>
            <w:tcW w:w="273" w:type="pct"/>
            <w:tcBorders>
              <w:top w:val="nil"/>
              <w:left w:val="single" w:sz="4" w:space="0" w:color="auto"/>
              <w:bottom w:val="nil"/>
              <w:right w:val="single" w:sz="4" w:space="0" w:color="auto"/>
            </w:tcBorders>
            <w:shd w:val="clear" w:color="auto" w:fill="FFFFFF" w:themeFill="background1"/>
          </w:tcPr>
          <w:p w:rsidR="004E7C36" w:rsidRPr="004E7C36" w:rsidRDefault="004E7C36" w:rsidP="00F95290">
            <w:pPr>
              <w:spacing w:before="60" w:after="60" w:line="240" w:lineRule="auto"/>
              <w:contextualSpacing/>
              <w:jc w:val="center"/>
              <w:rPr>
                <w:rFonts w:eastAsia="Times New Roman" w:cs="Times New Roman"/>
                <w:b/>
                <w:bCs/>
                <w:snapToGrid w:val="0"/>
                <w:kern w:val="32"/>
                <w:sz w:val="20"/>
                <w:szCs w:val="20"/>
                <w:lang w:eastAsia="en-US"/>
              </w:rPr>
            </w:pPr>
          </w:p>
        </w:tc>
        <w:tc>
          <w:tcPr>
            <w:tcW w:w="2545" w:type="pct"/>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spacing w:before="60" w:after="60" w:line="240" w:lineRule="auto"/>
              <w:contextualSpacing/>
              <w:jc w:val="center"/>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Durée du programme :</w:t>
            </w:r>
          </w:p>
        </w:tc>
      </w:tr>
      <w:tr w:rsidR="002826EC" w:rsidRPr="004E7C36" w:rsidTr="00E057A3">
        <w:trPr>
          <w:trHeight w:val="215"/>
        </w:trPr>
        <w:tc>
          <w:tcPr>
            <w:tcW w:w="2182" w:type="pct"/>
            <w:gridSpan w:val="2"/>
            <w:tcBorders>
              <w:top w:val="single" w:sz="4" w:space="0" w:color="auto"/>
              <w:left w:val="single" w:sz="4" w:space="0" w:color="auto"/>
              <w:bottom w:val="nil"/>
              <w:right w:val="single" w:sz="4" w:space="0" w:color="auto"/>
            </w:tcBorders>
            <w:shd w:val="clear" w:color="auto" w:fill="FFFFFF" w:themeFill="background1"/>
          </w:tcPr>
          <w:p w:rsidR="002826EC" w:rsidRDefault="00A5055A" w:rsidP="00CF2020">
            <w:pPr>
              <w:widowControl w:val="0"/>
              <w:spacing w:before="120" w:after="120" w:line="240" w:lineRule="auto"/>
              <w:contextualSpacing/>
              <w:jc w:val="both"/>
              <w:rPr>
                <w:rFonts w:eastAsia="Times New Roman" w:cs="Times New Roman"/>
                <w:snapToGrid w:val="0"/>
                <w:sz w:val="20"/>
                <w:szCs w:val="20"/>
                <w:lang w:eastAsia="en-US"/>
              </w:rPr>
            </w:pPr>
            <w:r>
              <w:rPr>
                <w:rFonts w:eastAsia="Times New Roman" w:cs="Times New Roman"/>
                <w:snapToGrid w:val="0"/>
                <w:sz w:val="20"/>
                <w:szCs w:val="20"/>
                <w:lang w:eastAsia="en-US"/>
              </w:rPr>
              <w:t>Une Agence Locale d’ Exécution sera sélectionnée par voie</w:t>
            </w:r>
            <w:r w:rsidR="00790C26">
              <w:rPr>
                <w:rFonts w:eastAsia="Times New Roman" w:cs="Times New Roman"/>
                <w:snapToGrid w:val="0"/>
                <w:sz w:val="20"/>
                <w:szCs w:val="20"/>
                <w:lang w:eastAsia="en-US"/>
              </w:rPr>
              <w:t xml:space="preserve"> d’appel d’offres</w:t>
            </w:r>
          </w:p>
          <w:p w:rsidR="00A5055A" w:rsidRPr="004E7C36" w:rsidRDefault="00A5055A" w:rsidP="00CF2020">
            <w:pPr>
              <w:widowControl w:val="0"/>
              <w:spacing w:before="120" w:after="120" w:line="240" w:lineRule="auto"/>
              <w:contextualSpacing/>
              <w:jc w:val="both"/>
              <w:rPr>
                <w:rFonts w:eastAsia="Times New Roman" w:cs="Times New Roman"/>
                <w:snapToGrid w:val="0"/>
                <w:sz w:val="20"/>
                <w:szCs w:val="20"/>
                <w:lang w:eastAsia="en-US"/>
              </w:rPr>
            </w:pPr>
            <w:r>
              <w:rPr>
                <w:rFonts w:eastAsia="Times New Roman" w:cs="Times New Roman"/>
                <w:snapToGrid w:val="0"/>
                <w:sz w:val="20"/>
                <w:szCs w:val="20"/>
                <w:lang w:eastAsia="en-US"/>
              </w:rPr>
              <w:t>UC-PIF</w:t>
            </w:r>
          </w:p>
        </w:tc>
        <w:tc>
          <w:tcPr>
            <w:tcW w:w="273" w:type="pct"/>
            <w:tcBorders>
              <w:top w:val="nil"/>
              <w:left w:val="single" w:sz="4" w:space="0" w:color="auto"/>
              <w:bottom w:val="nil"/>
              <w:right w:val="single" w:sz="4" w:space="0" w:color="auto"/>
            </w:tcBorders>
          </w:tcPr>
          <w:p w:rsidR="002826EC" w:rsidRPr="004E7C36" w:rsidRDefault="002826EC" w:rsidP="00F95290">
            <w:pPr>
              <w:widowControl w:val="0"/>
              <w:spacing w:before="120" w:after="120" w:line="240" w:lineRule="auto"/>
              <w:contextualSpacing/>
              <w:jc w:val="both"/>
              <w:rPr>
                <w:rFonts w:eastAsia="Times New Roman" w:cs="Times New Roman"/>
                <w:snapToGrid w:val="0"/>
                <w:sz w:val="20"/>
                <w:szCs w:val="20"/>
                <w:lang w:eastAsia="en-US"/>
              </w:rPr>
            </w:pPr>
          </w:p>
        </w:tc>
        <w:tc>
          <w:tcPr>
            <w:tcW w:w="2545" w:type="pct"/>
            <w:tcBorders>
              <w:top w:val="single" w:sz="4" w:space="0" w:color="auto"/>
              <w:left w:val="single" w:sz="4" w:space="0" w:color="auto"/>
              <w:bottom w:val="nil"/>
              <w:right w:val="single" w:sz="4" w:space="0" w:color="auto"/>
            </w:tcBorders>
            <w:shd w:val="clear" w:color="auto" w:fill="auto"/>
          </w:tcPr>
          <w:p w:rsidR="002826EC" w:rsidRPr="004E7C36" w:rsidRDefault="002826EC" w:rsidP="00F95290">
            <w:pPr>
              <w:widowControl w:val="0"/>
              <w:spacing w:after="0" w:line="240" w:lineRule="auto"/>
              <w:contextualSpacing/>
              <w:jc w:val="both"/>
              <w:rPr>
                <w:rFonts w:eastAsia="Times New Roman" w:cs="Times New Roman"/>
                <w:snapToGrid w:val="0"/>
                <w:sz w:val="20"/>
                <w:szCs w:val="20"/>
                <w:lang w:eastAsia="en-US"/>
              </w:rPr>
            </w:pPr>
            <w:r>
              <w:rPr>
                <w:rFonts w:eastAsia="Times New Roman" w:cs="Times New Roman"/>
                <w:snapToGrid w:val="0"/>
                <w:sz w:val="20"/>
                <w:szCs w:val="20"/>
                <w:lang w:eastAsia="en-US"/>
              </w:rPr>
              <w:t xml:space="preserve">Durée totale (en mois) : </w:t>
            </w:r>
            <w:r w:rsidR="00B5304D">
              <w:rPr>
                <w:rFonts w:eastAsia="Times New Roman" w:cs="Times New Roman"/>
                <w:snapToGrid w:val="0"/>
                <w:sz w:val="20"/>
                <w:szCs w:val="20"/>
                <w:lang w:eastAsia="en-US"/>
              </w:rPr>
              <w:t>60 mois</w:t>
            </w:r>
          </w:p>
          <w:p w:rsidR="002826EC" w:rsidRPr="004E7C36" w:rsidRDefault="002826EC" w:rsidP="00F95290">
            <w:pPr>
              <w:widowControl w:val="0"/>
              <w:spacing w:before="120" w:after="120" w:line="240" w:lineRule="auto"/>
              <w:contextualSpacing/>
              <w:jc w:val="both"/>
              <w:rPr>
                <w:rFonts w:eastAsia="Times New Roman" w:cs="Times New Roman"/>
                <w:snapToGrid w:val="0"/>
                <w:sz w:val="20"/>
                <w:szCs w:val="20"/>
                <w:lang w:eastAsia="en-US"/>
              </w:rPr>
            </w:pPr>
          </w:p>
        </w:tc>
      </w:tr>
      <w:tr w:rsidR="00916657" w:rsidRPr="004E7C36" w:rsidTr="00E057A3">
        <w:trPr>
          <w:trHeight w:val="350"/>
        </w:trPr>
        <w:tc>
          <w:tcPr>
            <w:tcW w:w="1212" w:type="pct"/>
            <w:tcBorders>
              <w:top w:val="nil"/>
              <w:left w:val="single" w:sz="4" w:space="0" w:color="auto"/>
              <w:bottom w:val="single" w:sz="4" w:space="0" w:color="auto"/>
              <w:right w:val="nil"/>
            </w:tcBorders>
            <w:shd w:val="clear" w:color="auto" w:fill="FFFFFF" w:themeFill="background1"/>
          </w:tcPr>
          <w:p w:rsidR="00916657" w:rsidRPr="004E7C36" w:rsidRDefault="00916657" w:rsidP="00F95290">
            <w:pPr>
              <w:spacing w:before="120" w:after="120" w:line="240" w:lineRule="auto"/>
              <w:contextualSpacing/>
              <w:rPr>
                <w:rFonts w:eastAsia="Times New Roman" w:cs="Times New Roman"/>
                <w:b/>
                <w:bCs/>
                <w:iCs/>
                <w:snapToGrid w:val="0"/>
                <w:sz w:val="20"/>
                <w:szCs w:val="20"/>
                <w:lang w:eastAsia="en-US"/>
              </w:rPr>
            </w:pPr>
          </w:p>
        </w:tc>
        <w:tc>
          <w:tcPr>
            <w:tcW w:w="970" w:type="pct"/>
            <w:tcBorders>
              <w:top w:val="nil"/>
              <w:left w:val="nil"/>
              <w:bottom w:val="single" w:sz="4" w:space="0" w:color="auto"/>
              <w:right w:val="single" w:sz="4" w:space="0" w:color="auto"/>
            </w:tcBorders>
            <w:shd w:val="clear" w:color="auto" w:fill="FFFFFF" w:themeFill="background1"/>
          </w:tcPr>
          <w:p w:rsidR="00916657" w:rsidRPr="004E7C36" w:rsidRDefault="00916657" w:rsidP="00F95290">
            <w:pPr>
              <w:widowControl w:val="0"/>
              <w:spacing w:before="120" w:after="120" w:line="240" w:lineRule="auto"/>
              <w:contextualSpacing/>
              <w:jc w:val="both"/>
              <w:rPr>
                <w:rFonts w:eastAsia="Times New Roman" w:cs="Times New Roman"/>
                <w:snapToGrid w:val="0"/>
                <w:sz w:val="20"/>
                <w:szCs w:val="20"/>
                <w:lang w:eastAsia="en-US"/>
              </w:rPr>
            </w:pPr>
          </w:p>
        </w:tc>
        <w:tc>
          <w:tcPr>
            <w:tcW w:w="273" w:type="pct"/>
            <w:tcBorders>
              <w:top w:val="nil"/>
              <w:left w:val="single" w:sz="4" w:space="0" w:color="auto"/>
              <w:bottom w:val="nil"/>
              <w:right w:val="single" w:sz="4" w:space="0" w:color="auto"/>
            </w:tcBorders>
          </w:tcPr>
          <w:p w:rsidR="00916657" w:rsidRPr="004E7C36" w:rsidRDefault="00916657" w:rsidP="00F95290">
            <w:pPr>
              <w:widowControl w:val="0"/>
              <w:spacing w:before="120" w:after="120" w:line="240" w:lineRule="auto"/>
              <w:contextualSpacing/>
              <w:jc w:val="both"/>
              <w:rPr>
                <w:rFonts w:eastAsia="Times New Roman" w:cs="Times New Roman"/>
                <w:snapToGrid w:val="0"/>
                <w:sz w:val="20"/>
                <w:szCs w:val="20"/>
                <w:lang w:eastAsia="en-US"/>
              </w:rPr>
            </w:pPr>
          </w:p>
        </w:tc>
        <w:tc>
          <w:tcPr>
            <w:tcW w:w="2545" w:type="pct"/>
            <w:tcBorders>
              <w:top w:val="nil"/>
              <w:left w:val="single" w:sz="4" w:space="0" w:color="auto"/>
              <w:bottom w:val="single" w:sz="4" w:space="0" w:color="auto"/>
              <w:right w:val="single" w:sz="4" w:space="0" w:color="auto"/>
            </w:tcBorders>
            <w:shd w:val="clear" w:color="auto" w:fill="auto"/>
          </w:tcPr>
          <w:p w:rsidR="00916657" w:rsidRDefault="00916657" w:rsidP="00F95290">
            <w:pPr>
              <w:widowControl w:val="0"/>
              <w:spacing w:before="120" w:after="120" w:line="240" w:lineRule="auto"/>
              <w:contextualSpacing/>
              <w:jc w:val="both"/>
              <w:rPr>
                <w:rFonts w:eastAsia="Times New Roman" w:cs="Times New Roman"/>
                <w:snapToGrid w:val="0"/>
                <w:sz w:val="20"/>
                <w:szCs w:val="20"/>
                <w:lang w:eastAsia="en-US"/>
              </w:rPr>
            </w:pPr>
            <w:r w:rsidRPr="004E7C36">
              <w:rPr>
                <w:rFonts w:eastAsia="Times New Roman" w:cs="Times New Roman"/>
                <w:snapToGrid w:val="0"/>
                <w:sz w:val="20"/>
                <w:szCs w:val="20"/>
                <w:lang w:eastAsia="en-US"/>
              </w:rPr>
              <w:t>Date de commencement prévue</w:t>
            </w:r>
            <w:r w:rsidRPr="004E7C36">
              <w:rPr>
                <w:rFonts w:eastAsiaTheme="majorEastAsia" w:cs="Times New Roman"/>
                <w:snapToGrid w:val="0"/>
                <w:sz w:val="20"/>
                <w:szCs w:val="20"/>
                <w:vertAlign w:val="superscript"/>
                <w:lang w:eastAsia="en-US"/>
              </w:rPr>
              <w:footnoteReference w:id="2"/>
            </w:r>
            <w:r w:rsidRPr="004E7C36">
              <w:rPr>
                <w:rFonts w:eastAsia="Times New Roman" w:cs="Times New Roman"/>
                <w:snapToGrid w:val="0"/>
                <w:sz w:val="20"/>
                <w:szCs w:val="20"/>
                <w:lang w:eastAsia="en-US"/>
              </w:rPr>
              <w:t> :</w:t>
            </w:r>
            <w:r>
              <w:rPr>
                <w:rFonts w:eastAsia="Times New Roman" w:cs="Times New Roman"/>
                <w:snapToGrid w:val="0"/>
                <w:sz w:val="20"/>
                <w:szCs w:val="20"/>
                <w:lang w:eastAsia="en-US"/>
              </w:rPr>
              <w:t xml:space="preserve"> </w:t>
            </w:r>
            <w:r w:rsidR="00B5304D">
              <w:rPr>
                <w:rFonts w:eastAsia="Times New Roman" w:cs="Times New Roman"/>
                <w:snapToGrid w:val="0"/>
                <w:sz w:val="20"/>
                <w:szCs w:val="20"/>
                <w:lang w:eastAsia="en-US"/>
              </w:rPr>
              <w:t>01 janvier</w:t>
            </w:r>
            <w:r w:rsidRPr="002826EC">
              <w:rPr>
                <w:rFonts w:eastAsia="Times New Roman" w:cs="Times New Roman"/>
                <w:snapToGrid w:val="0"/>
                <w:sz w:val="20"/>
                <w:szCs w:val="20"/>
                <w:lang w:eastAsia="en-US"/>
              </w:rPr>
              <w:t xml:space="preserve"> 2017</w:t>
            </w:r>
          </w:p>
          <w:p w:rsidR="00E057A3" w:rsidRPr="004E7C36" w:rsidRDefault="00E057A3" w:rsidP="00F95290">
            <w:pPr>
              <w:widowControl w:val="0"/>
              <w:spacing w:before="120" w:after="120" w:line="240" w:lineRule="auto"/>
              <w:contextualSpacing/>
              <w:jc w:val="both"/>
              <w:rPr>
                <w:rFonts w:eastAsia="Times New Roman" w:cs="Times New Roman"/>
                <w:snapToGrid w:val="0"/>
                <w:sz w:val="20"/>
                <w:szCs w:val="20"/>
                <w:lang w:eastAsia="en-US"/>
              </w:rPr>
            </w:pPr>
          </w:p>
        </w:tc>
      </w:tr>
      <w:tr w:rsidR="004E7C36" w:rsidRPr="004E7C36" w:rsidTr="00ED144B">
        <w:tc>
          <w:tcPr>
            <w:tcW w:w="5000" w:type="pct"/>
            <w:gridSpan w:val="4"/>
            <w:shd w:val="clear" w:color="auto" w:fill="F3F3F3"/>
          </w:tcPr>
          <w:p w:rsidR="00B9427E" w:rsidRPr="00B9427E" w:rsidRDefault="00B9427E" w:rsidP="00B9427E">
            <w:pPr>
              <w:widowControl w:val="0"/>
              <w:spacing w:after="0" w:line="240" w:lineRule="auto"/>
              <w:contextualSpacing/>
              <w:jc w:val="both"/>
              <w:rPr>
                <w:rFonts w:eastAsia="Times New Roman" w:cs="Times New Roman"/>
                <w:snapToGrid w:val="0"/>
                <w:sz w:val="20"/>
                <w:szCs w:val="20"/>
                <w:lang w:eastAsia="en-US"/>
              </w:rPr>
            </w:pPr>
            <w:r w:rsidRPr="00B9427E">
              <w:rPr>
                <w:rFonts w:eastAsia="Times New Roman" w:cs="Times New Roman"/>
                <w:snapToGrid w:val="0"/>
                <w:sz w:val="20"/>
                <w:szCs w:val="20"/>
                <w:lang w:eastAsia="en-US"/>
              </w:rPr>
              <w:lastRenderedPageBreak/>
              <w:t xml:space="preserve">Le Projet Intégré REDD+ du </w:t>
            </w:r>
            <w:r>
              <w:rPr>
                <w:rFonts w:eastAsia="Times New Roman" w:cs="Times New Roman"/>
                <w:snapToGrid w:val="0"/>
                <w:sz w:val="20"/>
                <w:szCs w:val="20"/>
                <w:lang w:eastAsia="en-US"/>
              </w:rPr>
              <w:t xml:space="preserve">Mai-Ndombe </w:t>
            </w:r>
            <w:r w:rsidRPr="00B9427E">
              <w:rPr>
                <w:rFonts w:eastAsia="Times New Roman" w:cs="Times New Roman"/>
                <w:snapToGrid w:val="0"/>
                <w:sz w:val="20"/>
                <w:szCs w:val="20"/>
                <w:lang w:eastAsia="en-US"/>
              </w:rPr>
              <w:t>prévoit la réduction globale des émissions de gaz à effet de serre sur l’ensemble d’une juridic</w:t>
            </w:r>
            <w:r>
              <w:rPr>
                <w:rFonts w:eastAsia="Times New Roman" w:cs="Times New Roman"/>
                <w:snapToGrid w:val="0"/>
                <w:sz w:val="20"/>
                <w:szCs w:val="20"/>
                <w:lang w:eastAsia="en-US"/>
              </w:rPr>
              <w:t>tion, ici le district du Mai-Ndombe</w:t>
            </w:r>
            <w:r w:rsidRPr="00B9427E">
              <w:rPr>
                <w:rFonts w:eastAsia="Times New Roman" w:cs="Times New Roman"/>
                <w:snapToGrid w:val="0"/>
                <w:sz w:val="20"/>
                <w:szCs w:val="20"/>
                <w:lang w:eastAsia="en-US"/>
              </w:rPr>
              <w:t>, dont la superficie est de 99 641 km2</w:t>
            </w:r>
            <w:r>
              <w:rPr>
                <w:rFonts w:eastAsia="Times New Roman" w:cs="Times New Roman"/>
                <w:snapToGrid w:val="0"/>
                <w:sz w:val="20"/>
                <w:szCs w:val="20"/>
                <w:lang w:eastAsia="en-US"/>
              </w:rPr>
              <w:t xml:space="preserve"> avec un taux de boisement de plus de 90%. Pour ce faire, le Projet travaillera sur trois secteurs distincts</w:t>
            </w:r>
            <w:r w:rsidRPr="00B9427E">
              <w:rPr>
                <w:rFonts w:eastAsia="Times New Roman" w:cs="Times New Roman"/>
                <w:snapToGrid w:val="0"/>
                <w:sz w:val="20"/>
                <w:szCs w:val="20"/>
                <w:lang w:eastAsia="en-US"/>
              </w:rPr>
              <w:t xml:space="preserve"> : l’agriculture, l’environnement et le développement rural (organisation communautaire, infrastructures et équipement). La stratégie du projet est de renforcer les capacités aux différents niveaux de la gestion des territoires (terroirs coutumiers, comités locaux de développement, entités territoriales décentralisées) pour qu’y soient formulés des </w:t>
            </w:r>
            <w:r w:rsidR="004348B5">
              <w:rPr>
                <w:rFonts w:eastAsia="Times New Roman" w:cs="Times New Roman"/>
                <w:snapToGrid w:val="0"/>
                <w:sz w:val="20"/>
                <w:szCs w:val="20"/>
                <w:lang w:eastAsia="en-US"/>
              </w:rPr>
              <w:t>plans de gestion des ressources naturelles</w:t>
            </w:r>
            <w:r w:rsidRPr="00B9427E">
              <w:rPr>
                <w:rFonts w:eastAsia="Times New Roman" w:cs="Times New Roman"/>
                <w:snapToGrid w:val="0"/>
                <w:sz w:val="20"/>
                <w:szCs w:val="20"/>
                <w:lang w:eastAsia="en-US"/>
              </w:rPr>
              <w:t xml:space="preserve">  qui combinent : </w:t>
            </w:r>
          </w:p>
          <w:p w:rsidR="00B9427E" w:rsidRPr="00B9427E" w:rsidRDefault="00B9427E" w:rsidP="00B9427E">
            <w:pPr>
              <w:widowControl w:val="0"/>
              <w:spacing w:after="0" w:line="240" w:lineRule="auto"/>
              <w:contextualSpacing/>
              <w:jc w:val="both"/>
              <w:rPr>
                <w:rFonts w:eastAsia="Times New Roman" w:cs="Times New Roman"/>
                <w:snapToGrid w:val="0"/>
                <w:sz w:val="20"/>
                <w:szCs w:val="20"/>
                <w:lang w:eastAsia="en-US"/>
              </w:rPr>
            </w:pPr>
            <w:r w:rsidRPr="00B9427E">
              <w:rPr>
                <w:rFonts w:eastAsia="Times New Roman" w:cs="Times New Roman"/>
                <w:snapToGrid w:val="0"/>
                <w:sz w:val="20"/>
                <w:szCs w:val="20"/>
                <w:lang w:eastAsia="en-US"/>
              </w:rPr>
              <w:t>a.</w:t>
            </w:r>
            <w:r w:rsidRPr="00B9427E">
              <w:rPr>
                <w:rFonts w:eastAsia="Times New Roman" w:cs="Times New Roman"/>
                <w:snapToGrid w:val="0"/>
                <w:sz w:val="20"/>
                <w:szCs w:val="20"/>
                <w:lang w:eastAsia="en-US"/>
              </w:rPr>
              <w:tab/>
              <w:t>la protection des espaces forestiers dont les stocks de carbone sont les plus élevés,</w:t>
            </w:r>
          </w:p>
          <w:p w:rsidR="00B9427E" w:rsidRPr="00B9427E" w:rsidRDefault="00B9427E" w:rsidP="00B9427E">
            <w:pPr>
              <w:widowControl w:val="0"/>
              <w:spacing w:after="0" w:line="240" w:lineRule="auto"/>
              <w:contextualSpacing/>
              <w:jc w:val="both"/>
              <w:rPr>
                <w:rFonts w:eastAsia="Times New Roman" w:cs="Times New Roman"/>
                <w:snapToGrid w:val="0"/>
                <w:sz w:val="20"/>
                <w:szCs w:val="20"/>
                <w:lang w:eastAsia="en-US"/>
              </w:rPr>
            </w:pPr>
            <w:r w:rsidRPr="00B9427E">
              <w:rPr>
                <w:rFonts w:eastAsia="Times New Roman" w:cs="Times New Roman"/>
                <w:snapToGrid w:val="0"/>
                <w:sz w:val="20"/>
                <w:szCs w:val="20"/>
                <w:lang w:eastAsia="en-US"/>
              </w:rPr>
              <w:t>b.</w:t>
            </w:r>
            <w:r w:rsidRPr="00B9427E">
              <w:rPr>
                <w:rFonts w:eastAsia="Times New Roman" w:cs="Times New Roman"/>
                <w:snapToGrid w:val="0"/>
                <w:sz w:val="20"/>
                <w:szCs w:val="20"/>
                <w:lang w:eastAsia="en-US"/>
              </w:rPr>
              <w:tab/>
              <w:t>la mise en défens des savanes pour favoriser la régénération naturelle assistée et les cultures vivrières ou pérennes adaptées,</w:t>
            </w:r>
          </w:p>
          <w:p w:rsidR="00B9427E" w:rsidRPr="00B9427E" w:rsidRDefault="00B9427E" w:rsidP="00B9427E">
            <w:pPr>
              <w:widowControl w:val="0"/>
              <w:spacing w:after="0" w:line="240" w:lineRule="auto"/>
              <w:contextualSpacing/>
              <w:jc w:val="both"/>
              <w:rPr>
                <w:rFonts w:eastAsia="Times New Roman" w:cs="Times New Roman"/>
                <w:snapToGrid w:val="0"/>
                <w:sz w:val="20"/>
                <w:szCs w:val="20"/>
                <w:lang w:eastAsia="en-US"/>
              </w:rPr>
            </w:pPr>
            <w:r w:rsidRPr="00B9427E">
              <w:rPr>
                <w:rFonts w:eastAsia="Times New Roman" w:cs="Times New Roman"/>
                <w:snapToGrid w:val="0"/>
                <w:sz w:val="20"/>
                <w:szCs w:val="20"/>
                <w:lang w:eastAsia="en-US"/>
              </w:rPr>
              <w:t>c.</w:t>
            </w:r>
            <w:r w:rsidRPr="00B9427E">
              <w:rPr>
                <w:rFonts w:eastAsia="Times New Roman" w:cs="Times New Roman"/>
                <w:snapToGrid w:val="0"/>
                <w:sz w:val="20"/>
                <w:szCs w:val="20"/>
                <w:lang w:eastAsia="en-US"/>
              </w:rPr>
              <w:tab/>
              <w:t>l’amélioration des performances des cultures vivrières à cycle court sur jachère forestière, notamment par le renouvellement du matériel végétal et la gestion améliorée de la jachère,</w:t>
            </w:r>
          </w:p>
          <w:p w:rsidR="00B9427E" w:rsidRPr="00B9427E" w:rsidRDefault="00B9427E" w:rsidP="00B9427E">
            <w:pPr>
              <w:widowControl w:val="0"/>
              <w:spacing w:after="0" w:line="240" w:lineRule="auto"/>
              <w:contextualSpacing/>
              <w:jc w:val="both"/>
              <w:rPr>
                <w:rFonts w:eastAsia="Times New Roman" w:cs="Times New Roman"/>
                <w:snapToGrid w:val="0"/>
                <w:sz w:val="20"/>
                <w:szCs w:val="20"/>
                <w:lang w:eastAsia="en-US"/>
              </w:rPr>
            </w:pPr>
            <w:r w:rsidRPr="00B9427E">
              <w:rPr>
                <w:rFonts w:eastAsia="Times New Roman" w:cs="Times New Roman"/>
                <w:snapToGrid w:val="0"/>
                <w:sz w:val="20"/>
                <w:szCs w:val="20"/>
                <w:lang w:eastAsia="en-US"/>
              </w:rPr>
              <w:t>d.</w:t>
            </w:r>
            <w:r w:rsidRPr="00B9427E">
              <w:rPr>
                <w:rFonts w:eastAsia="Times New Roman" w:cs="Times New Roman"/>
                <w:snapToGrid w:val="0"/>
                <w:sz w:val="20"/>
                <w:szCs w:val="20"/>
                <w:lang w:eastAsia="en-US"/>
              </w:rPr>
              <w:tab/>
              <w:t>le développement des cultures pérennes permettant de fixer davantage la part des superficies agricoles génératrices de revenus monétaires,</w:t>
            </w:r>
          </w:p>
          <w:p w:rsidR="00B9427E" w:rsidRPr="00B9427E" w:rsidRDefault="00B9427E" w:rsidP="00B9427E">
            <w:pPr>
              <w:widowControl w:val="0"/>
              <w:spacing w:after="0" w:line="240" w:lineRule="auto"/>
              <w:contextualSpacing/>
              <w:jc w:val="both"/>
              <w:rPr>
                <w:rFonts w:eastAsia="Times New Roman" w:cs="Times New Roman"/>
                <w:snapToGrid w:val="0"/>
                <w:sz w:val="20"/>
                <w:szCs w:val="20"/>
                <w:lang w:eastAsia="en-US"/>
              </w:rPr>
            </w:pPr>
            <w:r w:rsidRPr="00B9427E">
              <w:rPr>
                <w:rFonts w:eastAsia="Times New Roman" w:cs="Times New Roman"/>
                <w:snapToGrid w:val="0"/>
                <w:sz w:val="20"/>
                <w:szCs w:val="20"/>
                <w:lang w:eastAsia="en-US"/>
              </w:rPr>
              <w:t>e.</w:t>
            </w:r>
            <w:r w:rsidRPr="00B9427E">
              <w:rPr>
                <w:rFonts w:eastAsia="Times New Roman" w:cs="Times New Roman"/>
                <w:snapToGrid w:val="0"/>
                <w:sz w:val="20"/>
                <w:szCs w:val="20"/>
                <w:lang w:eastAsia="en-US"/>
              </w:rPr>
              <w:tab/>
              <w:t>la diversification des cultures et des activités agricoles comme la pisciculture ou l’apiculture,</w:t>
            </w:r>
          </w:p>
          <w:p w:rsidR="004E7C36" w:rsidRDefault="00B9427E" w:rsidP="00B9427E">
            <w:pPr>
              <w:widowControl w:val="0"/>
              <w:spacing w:after="0" w:line="240" w:lineRule="auto"/>
              <w:contextualSpacing/>
              <w:jc w:val="both"/>
              <w:rPr>
                <w:rFonts w:eastAsia="Times New Roman" w:cs="Times New Roman"/>
                <w:snapToGrid w:val="0"/>
                <w:sz w:val="20"/>
                <w:szCs w:val="20"/>
                <w:lang w:eastAsia="en-US"/>
              </w:rPr>
            </w:pPr>
            <w:r w:rsidRPr="00B9427E">
              <w:rPr>
                <w:rFonts w:eastAsia="Times New Roman" w:cs="Times New Roman"/>
                <w:snapToGrid w:val="0"/>
                <w:sz w:val="20"/>
                <w:szCs w:val="20"/>
                <w:lang w:eastAsia="en-US"/>
              </w:rPr>
              <w:t>f.</w:t>
            </w:r>
            <w:r w:rsidRPr="00B9427E">
              <w:rPr>
                <w:rFonts w:eastAsia="Times New Roman" w:cs="Times New Roman"/>
                <w:snapToGrid w:val="0"/>
                <w:sz w:val="20"/>
                <w:szCs w:val="20"/>
                <w:lang w:eastAsia="en-US"/>
              </w:rPr>
              <w:tab/>
              <w:t>le développement d’infrastructures vitales (ponts, routes, équipements de transformation) permettant de maximiser les revenus commerciaux en diminuant les coûts de transport et en ajoutant de la valeur aux produits par leur transformation.</w:t>
            </w:r>
          </w:p>
          <w:p w:rsidR="004348B5" w:rsidRPr="004E7C36" w:rsidRDefault="00A33FD1" w:rsidP="004348B5">
            <w:pPr>
              <w:widowControl w:val="0"/>
              <w:spacing w:after="0" w:line="240" w:lineRule="auto"/>
              <w:contextualSpacing/>
              <w:jc w:val="both"/>
              <w:rPr>
                <w:rFonts w:eastAsia="Times New Roman" w:cs="Times New Roman"/>
                <w:b/>
                <w:snapToGrid w:val="0"/>
                <w:sz w:val="20"/>
                <w:szCs w:val="20"/>
                <w:lang w:eastAsia="en-US"/>
              </w:rPr>
            </w:pPr>
            <w:r>
              <w:rPr>
                <w:rFonts w:eastAsia="Times New Roman" w:cs="Times New Roman"/>
                <w:snapToGrid w:val="0"/>
                <w:sz w:val="20"/>
                <w:szCs w:val="20"/>
                <w:lang w:eastAsia="en-US"/>
              </w:rPr>
              <w:t>L</w:t>
            </w:r>
            <w:r w:rsidR="004348B5">
              <w:rPr>
                <w:rFonts w:eastAsia="Times New Roman" w:cs="Times New Roman"/>
                <w:snapToGrid w:val="0"/>
                <w:sz w:val="20"/>
                <w:szCs w:val="20"/>
                <w:lang w:eastAsia="en-US"/>
              </w:rPr>
              <w:t>e projet veillera</w:t>
            </w:r>
            <w:r>
              <w:rPr>
                <w:rFonts w:eastAsia="Times New Roman" w:cs="Times New Roman"/>
                <w:snapToGrid w:val="0"/>
                <w:sz w:val="20"/>
                <w:szCs w:val="20"/>
                <w:lang w:eastAsia="en-US"/>
              </w:rPr>
              <w:t xml:space="preserve"> en sus</w:t>
            </w:r>
            <w:r w:rsidR="004348B5">
              <w:rPr>
                <w:rFonts w:eastAsia="Times New Roman" w:cs="Times New Roman"/>
                <w:snapToGrid w:val="0"/>
                <w:sz w:val="20"/>
                <w:szCs w:val="20"/>
                <w:lang w:eastAsia="en-US"/>
              </w:rPr>
              <w:t xml:space="preserve"> à l’amélioration des conditions de vie des plus vulnérables, et s’attachera à promouvoir des </w:t>
            </w:r>
            <w:r>
              <w:rPr>
                <w:rFonts w:eastAsia="Times New Roman" w:cs="Times New Roman"/>
                <w:snapToGrid w:val="0"/>
                <w:sz w:val="20"/>
                <w:szCs w:val="20"/>
                <w:lang w:eastAsia="en-US"/>
              </w:rPr>
              <w:t>méthodes modernes</w:t>
            </w:r>
            <w:r w:rsidR="004348B5">
              <w:rPr>
                <w:rFonts w:eastAsia="Times New Roman" w:cs="Times New Roman"/>
                <w:snapToGrid w:val="0"/>
                <w:sz w:val="20"/>
                <w:szCs w:val="20"/>
                <w:lang w:eastAsia="en-US"/>
              </w:rPr>
              <w:t xml:space="preserve"> de planification </w:t>
            </w:r>
            <w:r>
              <w:rPr>
                <w:rFonts w:eastAsia="Times New Roman" w:cs="Times New Roman"/>
                <w:snapToGrid w:val="0"/>
                <w:sz w:val="20"/>
                <w:szCs w:val="20"/>
                <w:lang w:eastAsia="en-US"/>
              </w:rPr>
              <w:t>familiale dans le respect de la culture locale.</w:t>
            </w:r>
          </w:p>
        </w:tc>
      </w:tr>
    </w:tbl>
    <w:p w:rsidR="004E7C36" w:rsidRDefault="004E7C36" w:rsidP="004E7C36">
      <w:pPr>
        <w:keepNext/>
        <w:keepLines/>
        <w:ind w:right="113"/>
        <w:contextualSpacing/>
        <w:jc w:val="center"/>
        <w:rPr>
          <w:b/>
          <w:sz w:val="20"/>
          <w:szCs w:val="20"/>
        </w:rPr>
      </w:pPr>
    </w:p>
    <w:p w:rsidR="007D031B" w:rsidRPr="004E7C36" w:rsidRDefault="007D031B" w:rsidP="004E7C36">
      <w:pPr>
        <w:keepNext/>
        <w:keepLines/>
        <w:ind w:right="113"/>
        <w:contextualSpacing/>
        <w:jc w:val="center"/>
        <w:rPr>
          <w:b/>
          <w:sz w:val="20"/>
          <w:szCs w:val="20"/>
        </w:rPr>
      </w:pPr>
    </w:p>
    <w:tbl>
      <w:tblPr>
        <w:tblW w:w="9990" w:type="dxa"/>
        <w:tblInd w:w="-1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20"/>
        <w:gridCol w:w="4770"/>
      </w:tblGrid>
      <w:tr w:rsidR="004E7C36" w:rsidRPr="004E7C36" w:rsidTr="00ED144B">
        <w:trPr>
          <w:trHeight w:val="116"/>
        </w:trPr>
        <w:tc>
          <w:tcPr>
            <w:tcW w:w="9990" w:type="dxa"/>
            <w:gridSpan w:val="2"/>
            <w:tcBorders>
              <w:top w:val="single" w:sz="4" w:space="0" w:color="auto"/>
              <w:bottom w:val="single" w:sz="4" w:space="0" w:color="auto"/>
            </w:tcBorders>
            <w:shd w:val="clear" w:color="auto" w:fill="F3F3F3"/>
          </w:tcPr>
          <w:p w:rsidR="004E7C36" w:rsidRPr="004E7C36" w:rsidRDefault="004E7C36" w:rsidP="00F95290">
            <w:pPr>
              <w:spacing w:before="60" w:after="60" w:line="240" w:lineRule="auto"/>
              <w:contextualSpacing/>
              <w:jc w:val="center"/>
              <w:rPr>
                <w:rFonts w:eastAsia="Times New Roman" w:cs="Times New Roman"/>
                <w:b/>
                <w:bCs/>
                <w:snapToGrid w:val="0"/>
                <w:kern w:val="32"/>
                <w:sz w:val="20"/>
                <w:szCs w:val="20"/>
                <w:lang w:eastAsia="en-US"/>
              </w:rPr>
            </w:pPr>
            <w:r w:rsidRPr="004E7C36">
              <w:rPr>
                <w:rFonts w:eastAsia="Times New Roman" w:cs="Times New Roman"/>
                <w:b/>
                <w:bCs/>
                <w:snapToGrid w:val="0"/>
                <w:kern w:val="32"/>
                <w:sz w:val="20"/>
                <w:szCs w:val="20"/>
                <w:lang w:eastAsia="en-US"/>
              </w:rPr>
              <w:t>Dates d’examen &amp; d’approbation</w:t>
            </w:r>
          </w:p>
        </w:tc>
      </w:tr>
      <w:tr w:rsidR="004E7C36" w:rsidRPr="004E7C36" w:rsidTr="00E057A3">
        <w:trPr>
          <w:trHeight w:val="225"/>
        </w:trPr>
        <w:tc>
          <w:tcPr>
            <w:tcW w:w="5220" w:type="dxa"/>
            <w:tcBorders>
              <w:top w:val="single" w:sz="4" w:space="0" w:color="auto"/>
              <w:bottom w:val="nil"/>
              <w:right w:val="single" w:sz="4" w:space="0" w:color="auto"/>
            </w:tcBorders>
            <w:shd w:val="clear" w:color="auto" w:fill="F3F3F3"/>
          </w:tcPr>
          <w:p w:rsidR="004E7C36" w:rsidRPr="004E7C36" w:rsidRDefault="004E7C36" w:rsidP="00F95290">
            <w:pPr>
              <w:spacing w:after="0" w:line="240" w:lineRule="auto"/>
              <w:contextualSpacing/>
              <w:rPr>
                <w:rFonts w:eastAsia="Times New Roman" w:cs="Times New Roman"/>
                <w:b/>
                <w:bCs/>
                <w:iCs/>
                <w:snapToGrid w:val="0"/>
                <w:sz w:val="20"/>
                <w:szCs w:val="20"/>
                <w:lang w:eastAsia="en-US"/>
              </w:rPr>
            </w:pPr>
            <w:r w:rsidRPr="004E7C36">
              <w:rPr>
                <w:rFonts w:eastAsia="Times New Roman" w:cs="Times New Roman"/>
                <w:b/>
                <w:bCs/>
                <w:iCs/>
                <w:snapToGrid w:val="0"/>
                <w:sz w:val="20"/>
                <w:szCs w:val="20"/>
                <w:lang w:eastAsia="en-US"/>
              </w:rPr>
              <w:t>Soumission au Secrétariat Exécutif</w:t>
            </w:r>
          </w:p>
        </w:tc>
        <w:tc>
          <w:tcPr>
            <w:tcW w:w="4770" w:type="dxa"/>
            <w:tcBorders>
              <w:top w:val="single" w:sz="4" w:space="0" w:color="auto"/>
              <w:left w:val="single" w:sz="4" w:space="0" w:color="auto"/>
            </w:tcBorders>
          </w:tcPr>
          <w:p w:rsidR="004E7C36" w:rsidRPr="004E7C36" w:rsidRDefault="004E7C36" w:rsidP="00F95290">
            <w:pPr>
              <w:widowControl w:val="0"/>
              <w:spacing w:after="0" w:line="240" w:lineRule="auto"/>
              <w:contextualSpacing/>
              <w:jc w:val="both"/>
              <w:rPr>
                <w:rFonts w:eastAsia="Times New Roman" w:cs="Times New Roman"/>
                <w:snapToGrid w:val="0"/>
                <w:sz w:val="20"/>
                <w:szCs w:val="20"/>
                <w:lang w:eastAsia="en-US"/>
              </w:rPr>
            </w:pPr>
            <w:r w:rsidRPr="004E7C36">
              <w:rPr>
                <w:rFonts w:eastAsia="Times New Roman" w:cs="Times New Roman"/>
                <w:snapToGrid w:val="0"/>
                <w:sz w:val="20"/>
                <w:szCs w:val="20"/>
                <w:lang w:eastAsia="en-US"/>
              </w:rPr>
              <w:t>Date :</w:t>
            </w:r>
          </w:p>
        </w:tc>
      </w:tr>
      <w:tr w:rsidR="004E7C36" w:rsidRPr="004E7C36" w:rsidTr="00E057A3">
        <w:trPr>
          <w:trHeight w:val="207"/>
        </w:trPr>
        <w:tc>
          <w:tcPr>
            <w:tcW w:w="5220" w:type="dxa"/>
            <w:tcBorders>
              <w:top w:val="nil"/>
              <w:bottom w:val="nil"/>
              <w:right w:val="single" w:sz="4" w:space="0" w:color="auto"/>
            </w:tcBorders>
            <w:shd w:val="clear" w:color="auto" w:fill="F3F3F3"/>
          </w:tcPr>
          <w:p w:rsidR="004E7C36" w:rsidRPr="004E7C36" w:rsidRDefault="004E7C36" w:rsidP="00F95290">
            <w:pPr>
              <w:spacing w:after="0" w:line="240" w:lineRule="auto"/>
              <w:contextualSpacing/>
              <w:rPr>
                <w:rFonts w:eastAsia="Times New Roman" w:cs="Times New Roman"/>
                <w:b/>
                <w:bCs/>
                <w:iCs/>
                <w:snapToGrid w:val="0"/>
                <w:sz w:val="20"/>
                <w:szCs w:val="20"/>
                <w:lang w:eastAsia="en-US"/>
              </w:rPr>
            </w:pPr>
            <w:r w:rsidRPr="004E7C36">
              <w:rPr>
                <w:rFonts w:eastAsia="Times New Roman" w:cs="Times New Roman"/>
                <w:b/>
                <w:bCs/>
                <w:iCs/>
                <w:snapToGrid w:val="0"/>
                <w:sz w:val="20"/>
                <w:szCs w:val="20"/>
                <w:lang w:eastAsia="en-US"/>
              </w:rPr>
              <w:t>Examen du Comité Technique</w:t>
            </w:r>
          </w:p>
        </w:tc>
        <w:tc>
          <w:tcPr>
            <w:tcW w:w="4770" w:type="dxa"/>
            <w:tcBorders>
              <w:left w:val="single" w:sz="4" w:space="0" w:color="auto"/>
            </w:tcBorders>
          </w:tcPr>
          <w:p w:rsidR="004E7C36" w:rsidRPr="004E7C36" w:rsidRDefault="004E7C36" w:rsidP="00F95290">
            <w:pPr>
              <w:widowControl w:val="0"/>
              <w:spacing w:after="0" w:line="240" w:lineRule="auto"/>
              <w:contextualSpacing/>
              <w:jc w:val="both"/>
              <w:rPr>
                <w:rFonts w:eastAsia="Times New Roman" w:cs="Times New Roman"/>
                <w:snapToGrid w:val="0"/>
                <w:sz w:val="20"/>
                <w:szCs w:val="20"/>
                <w:lang w:eastAsia="en-US"/>
              </w:rPr>
            </w:pPr>
            <w:r w:rsidRPr="004E7C36">
              <w:rPr>
                <w:rFonts w:eastAsia="Times New Roman" w:cs="Times New Roman"/>
                <w:snapToGrid w:val="0"/>
                <w:sz w:val="20"/>
                <w:szCs w:val="20"/>
                <w:lang w:eastAsia="en-US"/>
              </w:rPr>
              <w:t>Date :</w:t>
            </w:r>
          </w:p>
        </w:tc>
      </w:tr>
      <w:tr w:rsidR="004E7C36" w:rsidRPr="004E7C36" w:rsidTr="00E057A3">
        <w:trPr>
          <w:trHeight w:val="288"/>
        </w:trPr>
        <w:tc>
          <w:tcPr>
            <w:tcW w:w="5220" w:type="dxa"/>
            <w:tcBorders>
              <w:top w:val="nil"/>
              <w:bottom w:val="single" w:sz="4" w:space="0" w:color="auto"/>
              <w:right w:val="single" w:sz="4" w:space="0" w:color="auto"/>
            </w:tcBorders>
            <w:shd w:val="clear" w:color="auto" w:fill="F3F3F3"/>
          </w:tcPr>
          <w:p w:rsidR="004E7C36" w:rsidRPr="004E7C36" w:rsidRDefault="004E7C36" w:rsidP="00F95290">
            <w:pPr>
              <w:spacing w:after="0" w:line="240" w:lineRule="auto"/>
              <w:contextualSpacing/>
              <w:rPr>
                <w:rFonts w:eastAsia="Times New Roman" w:cs="Times New Roman"/>
                <w:b/>
                <w:bCs/>
                <w:iCs/>
                <w:snapToGrid w:val="0"/>
                <w:sz w:val="20"/>
                <w:szCs w:val="20"/>
                <w:lang w:eastAsia="en-US"/>
              </w:rPr>
            </w:pPr>
            <w:r w:rsidRPr="004E7C36">
              <w:rPr>
                <w:rFonts w:eastAsia="Times New Roman" w:cs="Times New Roman"/>
                <w:b/>
                <w:bCs/>
                <w:iCs/>
                <w:snapToGrid w:val="0"/>
                <w:sz w:val="20"/>
                <w:szCs w:val="20"/>
                <w:lang w:eastAsia="en-US"/>
              </w:rPr>
              <w:t xml:space="preserve">Approbation du Comité de Pilotage </w:t>
            </w:r>
          </w:p>
        </w:tc>
        <w:tc>
          <w:tcPr>
            <w:tcW w:w="4770" w:type="dxa"/>
            <w:tcBorders>
              <w:left w:val="single" w:sz="4" w:space="0" w:color="auto"/>
            </w:tcBorders>
          </w:tcPr>
          <w:p w:rsidR="004E7C36" w:rsidRPr="004E7C36" w:rsidRDefault="004E7C36" w:rsidP="00F95290">
            <w:pPr>
              <w:widowControl w:val="0"/>
              <w:spacing w:after="0" w:line="240" w:lineRule="auto"/>
              <w:contextualSpacing/>
              <w:jc w:val="both"/>
              <w:rPr>
                <w:rFonts w:eastAsia="Times New Roman" w:cs="Times New Roman"/>
                <w:snapToGrid w:val="0"/>
                <w:sz w:val="20"/>
                <w:szCs w:val="20"/>
                <w:lang w:eastAsia="en-US"/>
              </w:rPr>
            </w:pPr>
            <w:r w:rsidRPr="004E7C36">
              <w:rPr>
                <w:rFonts w:eastAsia="Times New Roman" w:cs="Times New Roman"/>
                <w:snapToGrid w:val="0"/>
                <w:sz w:val="20"/>
                <w:szCs w:val="20"/>
                <w:lang w:eastAsia="en-US"/>
              </w:rPr>
              <w:t>Date :</w:t>
            </w:r>
          </w:p>
        </w:tc>
      </w:tr>
    </w:tbl>
    <w:p w:rsidR="004E7C36" w:rsidRPr="004E7C36" w:rsidRDefault="004E7C36" w:rsidP="004E7C36">
      <w:pPr>
        <w:keepNext/>
        <w:keepLines/>
        <w:ind w:right="113"/>
        <w:contextualSpacing/>
        <w:jc w:val="center"/>
        <w:rPr>
          <w:b/>
          <w:sz w:val="20"/>
          <w:szCs w:val="20"/>
        </w:rPr>
      </w:pPr>
    </w:p>
    <w:p w:rsidR="004E7C36" w:rsidRPr="004E7C36" w:rsidRDefault="004E7C36" w:rsidP="004E7C36">
      <w:pPr>
        <w:keepNext/>
        <w:keepLines/>
        <w:ind w:right="113"/>
        <w:contextualSpacing/>
        <w:jc w:val="center"/>
        <w:rPr>
          <w:b/>
          <w:sz w:val="20"/>
          <w:szCs w:val="20"/>
        </w:rPr>
      </w:pPr>
      <w:r w:rsidRPr="004E7C36">
        <w:rPr>
          <w:b/>
          <w:sz w:val="20"/>
          <w:szCs w:val="20"/>
        </w:rPr>
        <w:t>Signatu</w:t>
      </w:r>
      <w:r w:rsidR="00697D28">
        <w:rPr>
          <w:b/>
          <w:sz w:val="20"/>
          <w:szCs w:val="20"/>
        </w:rPr>
        <w:t xml:space="preserve">re </w:t>
      </w:r>
      <w:r w:rsidR="002A0EA9">
        <w:rPr>
          <w:b/>
          <w:sz w:val="20"/>
          <w:szCs w:val="20"/>
        </w:rPr>
        <w:t>du Gouvernement</w:t>
      </w:r>
      <w:r w:rsidR="00697D28">
        <w:rPr>
          <w:b/>
          <w:sz w:val="20"/>
          <w:szCs w:val="20"/>
        </w:rPr>
        <w:t xml:space="preserve">  Provincial</w:t>
      </w:r>
      <w:r w:rsidRPr="004E7C36">
        <w:rPr>
          <w:b/>
          <w:sz w:val="20"/>
          <w:szCs w:val="20"/>
        </w:rPr>
        <w:t xml:space="preserve"> dans le cas d’un Programme REDD+ intégré </w:t>
      </w:r>
    </w:p>
    <w:tbl>
      <w:tblPr>
        <w:tblW w:w="508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4580"/>
        <w:gridCol w:w="4872"/>
      </w:tblGrid>
      <w:tr w:rsidR="004E7C36" w:rsidRPr="004E7C36" w:rsidTr="00ED144B">
        <w:trPr>
          <w:trHeight w:val="395"/>
        </w:trPr>
        <w:tc>
          <w:tcPr>
            <w:tcW w:w="373" w:type="pct"/>
            <w:tcBorders>
              <w:top w:val="single" w:sz="4" w:space="0" w:color="auto"/>
              <w:left w:val="single" w:sz="4" w:space="0" w:color="auto"/>
              <w:bottom w:val="nil"/>
              <w:right w:val="single" w:sz="4" w:space="0" w:color="auto"/>
            </w:tcBorders>
            <w:shd w:val="clear" w:color="auto" w:fill="F3F3F3"/>
          </w:tcPr>
          <w:p w:rsidR="004E7C36" w:rsidRPr="004E7C36" w:rsidRDefault="004E7C36" w:rsidP="00F95290">
            <w:pPr>
              <w:contextualSpacing/>
              <w:jc w:val="center"/>
              <w:rPr>
                <w:b/>
                <w:sz w:val="20"/>
                <w:szCs w:val="20"/>
              </w:rPr>
            </w:pPr>
            <w:r w:rsidRPr="004E7C36">
              <w:rPr>
                <w:b/>
                <w:sz w:val="20"/>
                <w:szCs w:val="20"/>
              </w:rPr>
              <w:t>I.</w:t>
            </w:r>
          </w:p>
        </w:tc>
        <w:tc>
          <w:tcPr>
            <w:tcW w:w="2242" w:type="pct"/>
            <w:tcBorders>
              <w:top w:val="single" w:sz="4" w:space="0" w:color="auto"/>
              <w:left w:val="single" w:sz="4" w:space="0" w:color="auto"/>
              <w:bottom w:val="nil"/>
              <w:right w:val="single" w:sz="4" w:space="0" w:color="auto"/>
            </w:tcBorders>
            <w:shd w:val="clear" w:color="auto" w:fill="F3F3F3"/>
          </w:tcPr>
          <w:p w:rsidR="004E7C36" w:rsidRPr="004E7C36" w:rsidRDefault="004E7C36" w:rsidP="00F95290">
            <w:pPr>
              <w:contextualSpacing/>
              <w:rPr>
                <w:b/>
                <w:sz w:val="20"/>
                <w:szCs w:val="20"/>
              </w:rPr>
            </w:pPr>
            <w:r w:rsidRPr="004E7C36">
              <w:rPr>
                <w:b/>
                <w:sz w:val="20"/>
                <w:szCs w:val="20"/>
              </w:rPr>
              <w:t xml:space="preserve">Nom du représentant                    </w:t>
            </w:r>
          </w:p>
        </w:tc>
        <w:tc>
          <w:tcPr>
            <w:tcW w:w="2385"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sz w:val="20"/>
                <w:szCs w:val="20"/>
              </w:rPr>
            </w:pPr>
          </w:p>
        </w:tc>
      </w:tr>
      <w:tr w:rsidR="004E7C36" w:rsidRPr="004E7C36" w:rsidTr="00ED144B">
        <w:trPr>
          <w:trHeight w:val="350"/>
        </w:trPr>
        <w:tc>
          <w:tcPr>
            <w:tcW w:w="373" w:type="pct"/>
            <w:tcBorders>
              <w:top w:val="nil"/>
              <w:left w:val="single" w:sz="4" w:space="0" w:color="auto"/>
              <w:bottom w:val="single" w:sz="4" w:space="0" w:color="auto"/>
              <w:right w:val="single" w:sz="4" w:space="0" w:color="auto"/>
            </w:tcBorders>
            <w:shd w:val="clear" w:color="auto" w:fill="F3F3F3"/>
          </w:tcPr>
          <w:p w:rsidR="004E7C36" w:rsidRPr="004E7C36" w:rsidRDefault="004E7C36" w:rsidP="00F95290">
            <w:pPr>
              <w:contextualSpacing/>
              <w:jc w:val="center"/>
              <w:rPr>
                <w:b/>
                <w:sz w:val="20"/>
                <w:szCs w:val="20"/>
              </w:rPr>
            </w:pPr>
          </w:p>
        </w:tc>
        <w:tc>
          <w:tcPr>
            <w:tcW w:w="2242" w:type="pct"/>
            <w:tcBorders>
              <w:top w:val="nil"/>
              <w:left w:val="single" w:sz="4" w:space="0" w:color="auto"/>
              <w:bottom w:val="single" w:sz="4" w:space="0" w:color="auto"/>
              <w:right w:val="single" w:sz="4" w:space="0" w:color="auto"/>
            </w:tcBorders>
            <w:shd w:val="clear" w:color="auto" w:fill="F3F3F3"/>
          </w:tcPr>
          <w:p w:rsidR="004E7C36" w:rsidRPr="004E7C36" w:rsidRDefault="004E7C36" w:rsidP="00F95290">
            <w:pPr>
              <w:contextualSpacing/>
              <w:rPr>
                <w:b/>
                <w:sz w:val="20"/>
                <w:szCs w:val="20"/>
              </w:rPr>
            </w:pPr>
            <w:r w:rsidRPr="004E7C36">
              <w:rPr>
                <w:b/>
                <w:sz w:val="20"/>
                <w:szCs w:val="20"/>
              </w:rPr>
              <w:t>Signature</w:t>
            </w:r>
          </w:p>
        </w:tc>
        <w:tc>
          <w:tcPr>
            <w:tcW w:w="2385"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sz w:val="20"/>
                <w:szCs w:val="20"/>
              </w:rPr>
            </w:pPr>
          </w:p>
        </w:tc>
      </w:tr>
    </w:tbl>
    <w:p w:rsidR="004E7C36" w:rsidRPr="004E7C36" w:rsidRDefault="004E7C36" w:rsidP="004E7C36">
      <w:pPr>
        <w:contextualSpacing/>
        <w:rPr>
          <w:rFonts w:eastAsiaTheme="minorHAnsi"/>
          <w:sz w:val="20"/>
          <w:szCs w:val="20"/>
          <w:highlight w:val="yellow"/>
          <w:lang w:eastAsia="en-US"/>
        </w:rPr>
      </w:pPr>
    </w:p>
    <w:p w:rsidR="004E7C36" w:rsidRPr="004E7C36" w:rsidRDefault="004E7C36" w:rsidP="004E7C36">
      <w:pPr>
        <w:keepNext/>
        <w:keepLines/>
        <w:ind w:right="113"/>
        <w:contextualSpacing/>
        <w:jc w:val="center"/>
        <w:rPr>
          <w:rFonts w:eastAsiaTheme="minorHAnsi"/>
          <w:b/>
          <w:sz w:val="20"/>
          <w:szCs w:val="20"/>
          <w:lang w:eastAsia="en-US"/>
        </w:rPr>
      </w:pPr>
      <w:r w:rsidRPr="004E7C36">
        <w:rPr>
          <w:rFonts w:eastAsiaTheme="minorHAnsi"/>
          <w:b/>
          <w:sz w:val="20"/>
          <w:szCs w:val="20"/>
          <w:lang w:eastAsia="en-US"/>
        </w:rPr>
        <w:t>Signatures des Organisations Participantes et du Président du Comité de Pilotage</w:t>
      </w:r>
    </w:p>
    <w:tbl>
      <w:tblPr>
        <w:tblW w:w="508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577"/>
        <w:gridCol w:w="4874"/>
      </w:tblGrid>
      <w:tr w:rsidR="004E7C36" w:rsidRPr="004E7C36" w:rsidTr="00ED144B">
        <w:trPr>
          <w:trHeight w:val="395"/>
        </w:trPr>
        <w:tc>
          <w:tcPr>
            <w:tcW w:w="373" w:type="pct"/>
            <w:tcBorders>
              <w:top w:val="single" w:sz="4" w:space="0" w:color="auto"/>
              <w:left w:val="single" w:sz="4" w:space="0" w:color="auto"/>
              <w:bottom w:val="nil"/>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r w:rsidRPr="004E7C36">
              <w:rPr>
                <w:rFonts w:eastAsiaTheme="minorHAnsi"/>
                <w:b/>
                <w:sz w:val="20"/>
                <w:szCs w:val="20"/>
                <w:lang w:eastAsia="en-US"/>
              </w:rPr>
              <w:t>I.</w:t>
            </w:r>
          </w:p>
        </w:tc>
        <w:tc>
          <w:tcPr>
            <w:tcW w:w="2241" w:type="pct"/>
            <w:tcBorders>
              <w:top w:val="single" w:sz="4" w:space="0" w:color="auto"/>
              <w:left w:val="single" w:sz="4" w:space="0" w:color="auto"/>
              <w:bottom w:val="nil"/>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 xml:space="preserve">Nom du représentant                    </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350"/>
        </w:trPr>
        <w:tc>
          <w:tcPr>
            <w:tcW w:w="373"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Signature</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287"/>
        </w:trPr>
        <w:tc>
          <w:tcPr>
            <w:tcW w:w="373"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 xml:space="preserve">Nom de l’Organisation Participante     </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143"/>
        </w:trPr>
        <w:tc>
          <w:tcPr>
            <w:tcW w:w="373" w:type="pct"/>
            <w:tcBorders>
              <w:top w:val="nil"/>
              <w:left w:val="single" w:sz="4" w:space="0" w:color="auto"/>
              <w:bottom w:val="single" w:sz="4" w:space="0" w:color="auto"/>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nil"/>
              <w:left w:val="single" w:sz="4" w:space="0" w:color="auto"/>
              <w:bottom w:val="single" w:sz="4" w:space="0" w:color="auto"/>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Date</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143"/>
        </w:trPr>
        <w:tc>
          <w:tcPr>
            <w:tcW w:w="373" w:type="pct"/>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350"/>
        </w:trPr>
        <w:tc>
          <w:tcPr>
            <w:tcW w:w="373" w:type="pct"/>
            <w:tcBorders>
              <w:top w:val="single" w:sz="4" w:space="0" w:color="auto"/>
              <w:left w:val="single" w:sz="4" w:space="0" w:color="auto"/>
              <w:bottom w:val="nil"/>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r w:rsidRPr="004E7C36">
              <w:rPr>
                <w:rFonts w:eastAsiaTheme="minorHAnsi"/>
                <w:b/>
                <w:sz w:val="20"/>
                <w:szCs w:val="20"/>
                <w:lang w:eastAsia="en-US"/>
              </w:rPr>
              <w:t>II.</w:t>
            </w:r>
          </w:p>
        </w:tc>
        <w:tc>
          <w:tcPr>
            <w:tcW w:w="2241" w:type="pct"/>
            <w:tcBorders>
              <w:top w:val="single" w:sz="4" w:space="0" w:color="auto"/>
              <w:left w:val="single" w:sz="4" w:space="0" w:color="auto"/>
              <w:bottom w:val="nil"/>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 xml:space="preserve">Nom du représentant                    </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323"/>
        </w:trPr>
        <w:tc>
          <w:tcPr>
            <w:tcW w:w="373"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Signature</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305"/>
        </w:trPr>
        <w:tc>
          <w:tcPr>
            <w:tcW w:w="373"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nil"/>
              <w:left w:val="single" w:sz="4" w:space="0" w:color="auto"/>
              <w:bottom w:val="nil"/>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 xml:space="preserve">Nom de l’Organisation Participante     </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278"/>
        </w:trPr>
        <w:tc>
          <w:tcPr>
            <w:tcW w:w="373" w:type="pct"/>
            <w:tcBorders>
              <w:top w:val="nil"/>
              <w:left w:val="single" w:sz="4" w:space="0" w:color="auto"/>
              <w:bottom w:val="single" w:sz="4" w:space="0" w:color="auto"/>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nil"/>
              <w:left w:val="single" w:sz="4" w:space="0" w:color="auto"/>
              <w:bottom w:val="single" w:sz="4" w:space="0" w:color="auto"/>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r w:rsidRPr="004E7C36">
              <w:rPr>
                <w:rFonts w:eastAsiaTheme="minorHAnsi"/>
                <w:b/>
                <w:sz w:val="20"/>
                <w:szCs w:val="20"/>
                <w:lang w:eastAsia="en-US"/>
              </w:rPr>
              <w:t>Date</w:t>
            </w: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r w:rsidR="004E7C36" w:rsidRPr="004E7C36" w:rsidTr="00ED144B">
        <w:trPr>
          <w:trHeight w:val="197"/>
        </w:trPr>
        <w:tc>
          <w:tcPr>
            <w:tcW w:w="373" w:type="pct"/>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contextualSpacing/>
              <w:jc w:val="center"/>
              <w:rPr>
                <w:rFonts w:eastAsiaTheme="minorHAnsi"/>
                <w:b/>
                <w:sz w:val="20"/>
                <w:szCs w:val="20"/>
                <w:lang w:eastAsia="en-US"/>
              </w:rPr>
            </w:pPr>
          </w:p>
        </w:tc>
        <w:tc>
          <w:tcPr>
            <w:tcW w:w="2241" w:type="pct"/>
            <w:tcBorders>
              <w:top w:val="single" w:sz="4" w:space="0" w:color="auto"/>
              <w:left w:val="single" w:sz="4" w:space="0" w:color="auto"/>
              <w:bottom w:val="single" w:sz="4" w:space="0" w:color="auto"/>
              <w:right w:val="single" w:sz="4" w:space="0" w:color="auto"/>
            </w:tcBorders>
            <w:shd w:val="clear" w:color="auto" w:fill="F3F3F3"/>
          </w:tcPr>
          <w:p w:rsidR="004E7C36" w:rsidRPr="004E7C36" w:rsidRDefault="004E7C36" w:rsidP="00F95290">
            <w:pPr>
              <w:contextualSpacing/>
              <w:rPr>
                <w:rFonts w:eastAsiaTheme="minorHAnsi"/>
                <w:b/>
                <w:sz w:val="20"/>
                <w:szCs w:val="20"/>
                <w:lang w:eastAsia="en-US"/>
              </w:rPr>
            </w:pPr>
          </w:p>
        </w:tc>
        <w:tc>
          <w:tcPr>
            <w:tcW w:w="2386" w:type="pct"/>
            <w:tcBorders>
              <w:top w:val="single" w:sz="4" w:space="0" w:color="auto"/>
              <w:left w:val="single" w:sz="4" w:space="0" w:color="auto"/>
              <w:bottom w:val="single" w:sz="4" w:space="0" w:color="auto"/>
              <w:right w:val="single" w:sz="4" w:space="0" w:color="auto"/>
            </w:tcBorders>
          </w:tcPr>
          <w:p w:rsidR="004E7C36" w:rsidRPr="004E7C36" w:rsidRDefault="004E7C36" w:rsidP="00F95290">
            <w:pPr>
              <w:contextualSpacing/>
              <w:rPr>
                <w:rFonts w:eastAsiaTheme="minorHAnsi"/>
                <w:sz w:val="20"/>
                <w:szCs w:val="20"/>
                <w:lang w:eastAsia="en-US"/>
              </w:rPr>
            </w:pPr>
          </w:p>
        </w:tc>
      </w:tr>
    </w:tbl>
    <w:p w:rsidR="004E7C36" w:rsidRDefault="004E7C36" w:rsidP="004E7C36">
      <w:pPr>
        <w:contextualSpacing/>
        <w:jc w:val="center"/>
        <w:rPr>
          <w:rFonts w:eastAsiaTheme="minorHAnsi"/>
          <w:b/>
          <w:sz w:val="20"/>
          <w:szCs w:val="20"/>
          <w:highlight w:val="yellow"/>
          <w:lang w:eastAsia="en-US"/>
        </w:rPr>
      </w:pPr>
    </w:p>
    <w:p w:rsidR="00A91E3C" w:rsidRPr="00A91E3C" w:rsidRDefault="00A91E3C" w:rsidP="004E7C36">
      <w:pPr>
        <w:contextualSpacing/>
        <w:jc w:val="center"/>
        <w:rPr>
          <w:rFonts w:eastAsiaTheme="minorHAnsi"/>
          <w:b/>
          <w:sz w:val="20"/>
          <w:szCs w:val="20"/>
          <w:lang w:eastAsia="en-US"/>
        </w:rPr>
      </w:pPr>
      <w:r w:rsidRPr="00A91E3C">
        <w:rPr>
          <w:rFonts w:eastAsiaTheme="minorHAnsi"/>
          <w:b/>
          <w:sz w:val="20"/>
          <w:szCs w:val="20"/>
          <w:lang w:eastAsia="en-US"/>
        </w:rPr>
        <w:t>Signature du Directeur des Opérations de la Banque Mondiale</w:t>
      </w:r>
    </w:p>
    <w:tbl>
      <w:tblPr>
        <w:tblW w:w="508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4580"/>
        <w:gridCol w:w="4872"/>
      </w:tblGrid>
      <w:tr w:rsidR="00A91E3C" w:rsidRPr="004E7C36" w:rsidTr="0060717C">
        <w:trPr>
          <w:trHeight w:val="395"/>
        </w:trPr>
        <w:tc>
          <w:tcPr>
            <w:tcW w:w="373" w:type="pct"/>
            <w:tcBorders>
              <w:top w:val="single" w:sz="4" w:space="0" w:color="auto"/>
              <w:left w:val="single" w:sz="4" w:space="0" w:color="auto"/>
              <w:bottom w:val="nil"/>
              <w:right w:val="single" w:sz="4" w:space="0" w:color="auto"/>
            </w:tcBorders>
            <w:shd w:val="clear" w:color="auto" w:fill="F3F3F3"/>
          </w:tcPr>
          <w:p w:rsidR="00A91E3C" w:rsidRPr="004E7C36" w:rsidRDefault="00A91E3C" w:rsidP="0060717C">
            <w:pPr>
              <w:contextualSpacing/>
              <w:jc w:val="center"/>
              <w:rPr>
                <w:b/>
                <w:sz w:val="20"/>
                <w:szCs w:val="20"/>
              </w:rPr>
            </w:pPr>
            <w:r w:rsidRPr="004E7C36">
              <w:rPr>
                <w:b/>
                <w:sz w:val="20"/>
                <w:szCs w:val="20"/>
              </w:rPr>
              <w:t>I.</w:t>
            </w:r>
          </w:p>
        </w:tc>
        <w:tc>
          <w:tcPr>
            <w:tcW w:w="2242" w:type="pct"/>
            <w:tcBorders>
              <w:top w:val="single" w:sz="4" w:space="0" w:color="auto"/>
              <w:left w:val="single" w:sz="4" w:space="0" w:color="auto"/>
              <w:bottom w:val="nil"/>
              <w:right w:val="single" w:sz="4" w:space="0" w:color="auto"/>
            </w:tcBorders>
            <w:shd w:val="clear" w:color="auto" w:fill="F3F3F3"/>
          </w:tcPr>
          <w:p w:rsidR="00A91E3C" w:rsidRPr="004E7C36" w:rsidRDefault="00A91E3C" w:rsidP="00A91E3C">
            <w:pPr>
              <w:contextualSpacing/>
              <w:rPr>
                <w:b/>
                <w:sz w:val="20"/>
                <w:szCs w:val="20"/>
              </w:rPr>
            </w:pPr>
            <w:r>
              <w:rPr>
                <w:b/>
                <w:sz w:val="20"/>
                <w:szCs w:val="20"/>
              </w:rPr>
              <w:t>Nom</w:t>
            </w:r>
            <w:r w:rsidR="0025616E">
              <w:rPr>
                <w:b/>
                <w:sz w:val="20"/>
                <w:szCs w:val="20"/>
              </w:rPr>
              <w:t> :</w:t>
            </w:r>
          </w:p>
        </w:tc>
        <w:tc>
          <w:tcPr>
            <w:tcW w:w="2385" w:type="pct"/>
            <w:tcBorders>
              <w:top w:val="single" w:sz="4" w:space="0" w:color="auto"/>
              <w:left w:val="single" w:sz="4" w:space="0" w:color="auto"/>
              <w:bottom w:val="single" w:sz="4" w:space="0" w:color="auto"/>
              <w:right w:val="single" w:sz="4" w:space="0" w:color="auto"/>
            </w:tcBorders>
          </w:tcPr>
          <w:p w:rsidR="00A91E3C" w:rsidRPr="004E7C36" w:rsidRDefault="00A91E3C" w:rsidP="0060717C">
            <w:pPr>
              <w:contextualSpacing/>
              <w:rPr>
                <w:sz w:val="20"/>
                <w:szCs w:val="20"/>
              </w:rPr>
            </w:pPr>
          </w:p>
        </w:tc>
      </w:tr>
      <w:tr w:rsidR="00A91E3C" w:rsidRPr="004E7C36" w:rsidTr="0060717C">
        <w:trPr>
          <w:trHeight w:val="350"/>
        </w:trPr>
        <w:tc>
          <w:tcPr>
            <w:tcW w:w="373" w:type="pct"/>
            <w:tcBorders>
              <w:top w:val="nil"/>
              <w:left w:val="single" w:sz="4" w:space="0" w:color="auto"/>
              <w:bottom w:val="single" w:sz="4" w:space="0" w:color="auto"/>
              <w:right w:val="single" w:sz="4" w:space="0" w:color="auto"/>
            </w:tcBorders>
            <w:shd w:val="clear" w:color="auto" w:fill="F3F3F3"/>
          </w:tcPr>
          <w:p w:rsidR="00A91E3C" w:rsidRPr="004E7C36" w:rsidRDefault="00A91E3C" w:rsidP="0060717C">
            <w:pPr>
              <w:contextualSpacing/>
              <w:jc w:val="center"/>
              <w:rPr>
                <w:b/>
                <w:sz w:val="20"/>
                <w:szCs w:val="20"/>
              </w:rPr>
            </w:pPr>
          </w:p>
        </w:tc>
        <w:tc>
          <w:tcPr>
            <w:tcW w:w="2242" w:type="pct"/>
            <w:tcBorders>
              <w:top w:val="nil"/>
              <w:left w:val="single" w:sz="4" w:space="0" w:color="auto"/>
              <w:bottom w:val="single" w:sz="4" w:space="0" w:color="auto"/>
              <w:right w:val="single" w:sz="4" w:space="0" w:color="auto"/>
            </w:tcBorders>
            <w:shd w:val="clear" w:color="auto" w:fill="F3F3F3"/>
          </w:tcPr>
          <w:p w:rsidR="00A91E3C" w:rsidRPr="004E7C36" w:rsidRDefault="00A91E3C" w:rsidP="0060717C">
            <w:pPr>
              <w:contextualSpacing/>
              <w:rPr>
                <w:b/>
                <w:sz w:val="20"/>
                <w:szCs w:val="20"/>
              </w:rPr>
            </w:pPr>
            <w:r w:rsidRPr="004E7C36">
              <w:rPr>
                <w:b/>
                <w:sz w:val="20"/>
                <w:szCs w:val="20"/>
              </w:rPr>
              <w:t>Signature</w:t>
            </w:r>
          </w:p>
        </w:tc>
        <w:tc>
          <w:tcPr>
            <w:tcW w:w="2385" w:type="pct"/>
            <w:tcBorders>
              <w:top w:val="single" w:sz="4" w:space="0" w:color="auto"/>
              <w:left w:val="single" w:sz="4" w:space="0" w:color="auto"/>
              <w:bottom w:val="single" w:sz="4" w:space="0" w:color="auto"/>
              <w:right w:val="single" w:sz="4" w:space="0" w:color="auto"/>
            </w:tcBorders>
          </w:tcPr>
          <w:p w:rsidR="00A91E3C" w:rsidRPr="004E7C36" w:rsidRDefault="00A91E3C" w:rsidP="0060717C">
            <w:pPr>
              <w:contextualSpacing/>
              <w:rPr>
                <w:sz w:val="20"/>
                <w:szCs w:val="20"/>
              </w:rPr>
            </w:pPr>
          </w:p>
        </w:tc>
      </w:tr>
    </w:tbl>
    <w:p w:rsidR="00A91E3C" w:rsidRPr="004E7C36" w:rsidRDefault="00A91E3C" w:rsidP="004E7C36">
      <w:pPr>
        <w:contextualSpacing/>
        <w:jc w:val="center"/>
        <w:rPr>
          <w:rFonts w:eastAsiaTheme="minorHAnsi"/>
          <w:b/>
          <w:sz w:val="20"/>
          <w:szCs w:val="20"/>
          <w:highlight w:val="yellow"/>
          <w:lang w:eastAsia="en-US"/>
        </w:rPr>
      </w:pPr>
    </w:p>
    <w:p w:rsidR="004E7C36" w:rsidRDefault="00A91E3C" w:rsidP="00A91E3C">
      <w:pPr>
        <w:contextualSpacing/>
        <w:jc w:val="center"/>
        <w:rPr>
          <w:rFonts w:eastAsiaTheme="minorHAnsi"/>
          <w:b/>
          <w:sz w:val="20"/>
          <w:szCs w:val="20"/>
          <w:lang w:eastAsia="en-US"/>
        </w:rPr>
      </w:pPr>
      <w:r>
        <w:rPr>
          <w:rFonts w:eastAsiaTheme="minorHAnsi"/>
          <w:b/>
          <w:sz w:val="20"/>
          <w:szCs w:val="20"/>
          <w:lang w:eastAsia="en-US"/>
        </w:rPr>
        <w:t>Signature du Ministre des Finances</w:t>
      </w:r>
    </w:p>
    <w:tbl>
      <w:tblPr>
        <w:tblW w:w="508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4580"/>
        <w:gridCol w:w="4872"/>
      </w:tblGrid>
      <w:tr w:rsidR="00A91E3C" w:rsidRPr="004E7C36" w:rsidTr="0060717C">
        <w:trPr>
          <w:trHeight w:val="395"/>
        </w:trPr>
        <w:tc>
          <w:tcPr>
            <w:tcW w:w="373" w:type="pct"/>
            <w:tcBorders>
              <w:top w:val="single" w:sz="4" w:space="0" w:color="auto"/>
              <w:left w:val="single" w:sz="4" w:space="0" w:color="auto"/>
              <w:bottom w:val="nil"/>
              <w:right w:val="single" w:sz="4" w:space="0" w:color="auto"/>
            </w:tcBorders>
            <w:shd w:val="clear" w:color="auto" w:fill="F3F3F3"/>
          </w:tcPr>
          <w:p w:rsidR="00A91E3C" w:rsidRPr="004E7C36" w:rsidRDefault="00A91E3C" w:rsidP="0060717C">
            <w:pPr>
              <w:contextualSpacing/>
              <w:jc w:val="center"/>
              <w:rPr>
                <w:b/>
                <w:sz w:val="20"/>
                <w:szCs w:val="20"/>
              </w:rPr>
            </w:pPr>
            <w:r w:rsidRPr="004E7C36">
              <w:rPr>
                <w:b/>
                <w:sz w:val="20"/>
                <w:szCs w:val="20"/>
              </w:rPr>
              <w:t>I.</w:t>
            </w:r>
          </w:p>
        </w:tc>
        <w:tc>
          <w:tcPr>
            <w:tcW w:w="2242" w:type="pct"/>
            <w:tcBorders>
              <w:top w:val="single" w:sz="4" w:space="0" w:color="auto"/>
              <w:left w:val="single" w:sz="4" w:space="0" w:color="auto"/>
              <w:bottom w:val="nil"/>
              <w:right w:val="single" w:sz="4" w:space="0" w:color="auto"/>
            </w:tcBorders>
            <w:shd w:val="clear" w:color="auto" w:fill="F3F3F3"/>
          </w:tcPr>
          <w:p w:rsidR="00A91E3C" w:rsidRPr="004E7C36" w:rsidRDefault="00A91E3C" w:rsidP="0025616E">
            <w:pPr>
              <w:contextualSpacing/>
              <w:rPr>
                <w:b/>
                <w:sz w:val="20"/>
                <w:szCs w:val="20"/>
              </w:rPr>
            </w:pPr>
            <w:r w:rsidRPr="004E7C36">
              <w:rPr>
                <w:b/>
                <w:sz w:val="20"/>
                <w:szCs w:val="20"/>
              </w:rPr>
              <w:t>Nom</w:t>
            </w:r>
            <w:r w:rsidR="0025616E">
              <w:rPr>
                <w:b/>
                <w:sz w:val="20"/>
                <w:szCs w:val="20"/>
              </w:rPr>
              <w:t> :</w:t>
            </w:r>
          </w:p>
        </w:tc>
        <w:tc>
          <w:tcPr>
            <w:tcW w:w="2385" w:type="pct"/>
            <w:tcBorders>
              <w:top w:val="single" w:sz="4" w:space="0" w:color="auto"/>
              <w:left w:val="single" w:sz="4" w:space="0" w:color="auto"/>
              <w:bottom w:val="single" w:sz="4" w:space="0" w:color="auto"/>
              <w:right w:val="single" w:sz="4" w:space="0" w:color="auto"/>
            </w:tcBorders>
          </w:tcPr>
          <w:p w:rsidR="00A91E3C" w:rsidRPr="004E7C36" w:rsidRDefault="00A91E3C" w:rsidP="0060717C">
            <w:pPr>
              <w:contextualSpacing/>
              <w:rPr>
                <w:sz w:val="20"/>
                <w:szCs w:val="20"/>
              </w:rPr>
            </w:pPr>
          </w:p>
        </w:tc>
      </w:tr>
      <w:tr w:rsidR="00A91E3C" w:rsidRPr="004E7C36" w:rsidTr="0060717C">
        <w:trPr>
          <w:trHeight w:val="350"/>
        </w:trPr>
        <w:tc>
          <w:tcPr>
            <w:tcW w:w="373" w:type="pct"/>
            <w:tcBorders>
              <w:top w:val="nil"/>
              <w:left w:val="single" w:sz="4" w:space="0" w:color="auto"/>
              <w:bottom w:val="single" w:sz="4" w:space="0" w:color="auto"/>
              <w:right w:val="single" w:sz="4" w:space="0" w:color="auto"/>
            </w:tcBorders>
            <w:shd w:val="clear" w:color="auto" w:fill="F3F3F3"/>
          </w:tcPr>
          <w:p w:rsidR="00A91E3C" w:rsidRPr="004E7C36" w:rsidRDefault="00A91E3C" w:rsidP="0060717C">
            <w:pPr>
              <w:contextualSpacing/>
              <w:jc w:val="center"/>
              <w:rPr>
                <w:b/>
                <w:sz w:val="20"/>
                <w:szCs w:val="20"/>
              </w:rPr>
            </w:pPr>
          </w:p>
        </w:tc>
        <w:tc>
          <w:tcPr>
            <w:tcW w:w="2242" w:type="pct"/>
            <w:tcBorders>
              <w:top w:val="nil"/>
              <w:left w:val="single" w:sz="4" w:space="0" w:color="auto"/>
              <w:bottom w:val="single" w:sz="4" w:space="0" w:color="auto"/>
              <w:right w:val="single" w:sz="4" w:space="0" w:color="auto"/>
            </w:tcBorders>
            <w:shd w:val="clear" w:color="auto" w:fill="F3F3F3"/>
          </w:tcPr>
          <w:p w:rsidR="00A91E3C" w:rsidRPr="004E7C36" w:rsidRDefault="00A91E3C" w:rsidP="0060717C">
            <w:pPr>
              <w:contextualSpacing/>
              <w:rPr>
                <w:b/>
                <w:sz w:val="20"/>
                <w:szCs w:val="20"/>
              </w:rPr>
            </w:pPr>
            <w:r w:rsidRPr="004E7C36">
              <w:rPr>
                <w:b/>
                <w:sz w:val="20"/>
                <w:szCs w:val="20"/>
              </w:rPr>
              <w:t>Signature</w:t>
            </w:r>
          </w:p>
        </w:tc>
        <w:tc>
          <w:tcPr>
            <w:tcW w:w="2385" w:type="pct"/>
            <w:tcBorders>
              <w:top w:val="single" w:sz="4" w:space="0" w:color="auto"/>
              <w:left w:val="single" w:sz="4" w:space="0" w:color="auto"/>
              <w:bottom w:val="single" w:sz="4" w:space="0" w:color="auto"/>
              <w:right w:val="single" w:sz="4" w:space="0" w:color="auto"/>
            </w:tcBorders>
          </w:tcPr>
          <w:p w:rsidR="00A91E3C" w:rsidRPr="004E7C36" w:rsidRDefault="00A91E3C" w:rsidP="0060717C">
            <w:pPr>
              <w:contextualSpacing/>
              <w:rPr>
                <w:sz w:val="20"/>
                <w:szCs w:val="20"/>
              </w:rPr>
            </w:pPr>
          </w:p>
        </w:tc>
      </w:tr>
    </w:tbl>
    <w:p w:rsidR="00A91E3C" w:rsidRDefault="00A91E3C" w:rsidP="004E7C36">
      <w:pPr>
        <w:contextualSpacing/>
        <w:rPr>
          <w:rFonts w:eastAsiaTheme="minorHAnsi"/>
          <w:b/>
          <w:sz w:val="20"/>
          <w:szCs w:val="20"/>
          <w:lang w:eastAsia="en-US"/>
        </w:rPr>
      </w:pPr>
    </w:p>
    <w:p w:rsidR="007D031B" w:rsidRPr="004E7C36" w:rsidRDefault="007D031B" w:rsidP="004E7C36">
      <w:pPr>
        <w:contextualSpacing/>
        <w:rPr>
          <w:rFonts w:eastAsiaTheme="minorHAnsi"/>
          <w:b/>
          <w:sz w:val="20"/>
          <w:szCs w:val="20"/>
          <w:lang w:eastAsia="en-US"/>
        </w:rPr>
      </w:pPr>
    </w:p>
    <w:p w:rsidR="004E7C36" w:rsidRDefault="004E7C36" w:rsidP="004E7C36">
      <w:pPr>
        <w:contextualSpacing/>
        <w:rPr>
          <w:rFonts w:eastAsiaTheme="minorHAnsi"/>
          <w:b/>
          <w:sz w:val="20"/>
          <w:szCs w:val="20"/>
          <w:lang w:eastAsia="en-US"/>
        </w:rPr>
      </w:pPr>
    </w:p>
    <w:p w:rsidR="007D031B" w:rsidRDefault="007D031B" w:rsidP="004E7C36">
      <w:pPr>
        <w:contextualSpacing/>
        <w:rPr>
          <w:rFonts w:eastAsiaTheme="minorHAnsi"/>
          <w:b/>
          <w:sz w:val="20"/>
          <w:szCs w:val="20"/>
          <w:lang w:eastAsia="en-US"/>
        </w:rPr>
      </w:pPr>
    </w:p>
    <w:p w:rsidR="007D031B" w:rsidRDefault="007D031B" w:rsidP="004E7C36">
      <w:pPr>
        <w:contextualSpacing/>
        <w:rPr>
          <w:rFonts w:eastAsiaTheme="minorHAnsi"/>
          <w:b/>
          <w:sz w:val="20"/>
          <w:szCs w:val="20"/>
          <w:lang w:eastAsia="en-US"/>
        </w:rPr>
      </w:pPr>
    </w:p>
    <w:p w:rsidR="007D031B" w:rsidRPr="004E7C36" w:rsidRDefault="007D031B" w:rsidP="004E7C36">
      <w:pPr>
        <w:contextualSpacing/>
        <w:rPr>
          <w:rFonts w:eastAsiaTheme="minorHAnsi"/>
          <w:b/>
          <w:sz w:val="20"/>
          <w:szCs w:val="20"/>
          <w:lang w:eastAsia="en-US"/>
        </w:rPr>
      </w:pPr>
    </w:p>
    <w:p w:rsidR="004E7C36" w:rsidRPr="004E7C36" w:rsidRDefault="004E7C36" w:rsidP="004E7C36">
      <w:pPr>
        <w:contextualSpacing/>
        <w:rPr>
          <w:rFonts w:eastAsiaTheme="minorHAnsi"/>
          <w:b/>
          <w:sz w:val="20"/>
          <w:szCs w:val="20"/>
          <w:lang w:eastAsia="en-US"/>
        </w:rPr>
      </w:pPr>
    </w:p>
    <w:p w:rsidR="00401544" w:rsidRDefault="00401544">
      <w:pPr>
        <w:spacing w:after="160" w:line="259" w:lineRule="auto"/>
        <w:rPr>
          <w:rFonts w:eastAsiaTheme="minorHAnsi"/>
          <w:b/>
          <w:sz w:val="20"/>
          <w:szCs w:val="20"/>
          <w:lang w:eastAsia="en-US"/>
        </w:rPr>
      </w:pPr>
    </w:p>
    <w:sdt>
      <w:sdtPr>
        <w:rPr>
          <w:rFonts w:asciiTheme="minorHAnsi" w:eastAsiaTheme="minorEastAsia" w:hAnsiTheme="minorHAnsi" w:cstheme="minorBidi"/>
          <w:color w:val="auto"/>
          <w:sz w:val="22"/>
          <w:szCs w:val="22"/>
          <w:lang w:val="fr-FR" w:eastAsia="fr-FR"/>
        </w:rPr>
        <w:id w:val="-204718027"/>
        <w:docPartObj>
          <w:docPartGallery w:val="Table of Contents"/>
          <w:docPartUnique/>
        </w:docPartObj>
      </w:sdtPr>
      <w:sdtEndPr>
        <w:rPr>
          <w:b/>
          <w:bCs/>
          <w:noProof/>
        </w:rPr>
      </w:sdtEndPr>
      <w:sdtContent>
        <w:p w:rsidR="005F3E2D" w:rsidRPr="007D031B" w:rsidRDefault="00381C8F" w:rsidP="00B277C0">
          <w:pPr>
            <w:pStyle w:val="TOCHeading"/>
            <w:numPr>
              <w:ilvl w:val="0"/>
              <w:numId w:val="0"/>
            </w:numPr>
            <w:jc w:val="center"/>
            <w:rPr>
              <w:lang w:val="fr-FR"/>
            </w:rPr>
          </w:pPr>
          <w:r w:rsidRPr="007D031B">
            <w:rPr>
              <w:lang w:val="fr-FR"/>
            </w:rPr>
            <w:t>Table des Matières</w:t>
          </w:r>
        </w:p>
        <w:p w:rsidR="00554D4F" w:rsidRPr="00554D4F" w:rsidRDefault="00554D4F" w:rsidP="00554D4F">
          <w:pPr>
            <w:rPr>
              <w:lang w:val="en-US" w:eastAsia="en-US"/>
            </w:rPr>
          </w:pPr>
        </w:p>
        <w:p w:rsidR="00722FF5" w:rsidRDefault="000918D3">
          <w:pPr>
            <w:pStyle w:val="TOC1"/>
            <w:tabs>
              <w:tab w:val="left" w:pos="440"/>
              <w:tab w:val="right" w:leader="dot" w:pos="9822"/>
            </w:tabs>
            <w:rPr>
              <w:rFonts w:cstheme="minorBidi"/>
              <w:noProof/>
            </w:rPr>
          </w:pPr>
          <w:r>
            <w:fldChar w:fldCharType="begin"/>
          </w:r>
          <w:r w:rsidR="005F3E2D">
            <w:instrText xml:space="preserve"> TOC \o "1-3" \h \z \u </w:instrText>
          </w:r>
          <w:r>
            <w:fldChar w:fldCharType="separate"/>
          </w:r>
          <w:hyperlink w:anchor="_Toc469036920" w:history="1">
            <w:r w:rsidR="00722FF5" w:rsidRPr="00C63CF6">
              <w:rPr>
                <w:rStyle w:val="Hyperlink"/>
                <w:rFonts w:ascii="Gill Sans MT" w:hAnsi="Gill Sans MT"/>
                <w:noProof/>
              </w:rPr>
              <w:t>1.</w:t>
            </w:r>
            <w:r w:rsidR="00722FF5">
              <w:rPr>
                <w:rFonts w:cstheme="minorBidi"/>
                <w:noProof/>
              </w:rPr>
              <w:tab/>
            </w:r>
            <w:r w:rsidR="00722FF5" w:rsidRPr="00C63CF6">
              <w:rPr>
                <w:rStyle w:val="Hyperlink"/>
                <w:noProof/>
              </w:rPr>
              <w:t>Page de couverture et page(s) de signature</w:t>
            </w:r>
            <w:r w:rsidR="00722FF5">
              <w:rPr>
                <w:noProof/>
                <w:webHidden/>
              </w:rPr>
              <w:tab/>
            </w:r>
            <w:r>
              <w:rPr>
                <w:noProof/>
                <w:webHidden/>
              </w:rPr>
              <w:fldChar w:fldCharType="begin"/>
            </w:r>
            <w:r w:rsidR="00722FF5">
              <w:rPr>
                <w:noProof/>
                <w:webHidden/>
              </w:rPr>
              <w:instrText xml:space="preserve"> PAGEREF _Toc469036920 \h </w:instrText>
            </w:r>
            <w:r>
              <w:rPr>
                <w:noProof/>
                <w:webHidden/>
              </w:rPr>
            </w:r>
            <w:r>
              <w:rPr>
                <w:noProof/>
                <w:webHidden/>
              </w:rPr>
              <w:fldChar w:fldCharType="separate"/>
            </w:r>
            <w:r w:rsidR="00722FF5">
              <w:rPr>
                <w:noProof/>
                <w:webHidden/>
              </w:rPr>
              <w:t>1</w:t>
            </w:r>
            <w:r>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1" w:history="1">
            <w:r w:rsidR="00722FF5" w:rsidRPr="00C63CF6">
              <w:rPr>
                <w:rStyle w:val="Hyperlink"/>
                <w:rFonts w:ascii="Gill Sans MT" w:hAnsi="Gill Sans MT"/>
                <w:noProof/>
              </w:rPr>
              <w:t>1.</w:t>
            </w:r>
            <w:r w:rsidR="00722FF5">
              <w:rPr>
                <w:rFonts w:cstheme="minorBidi"/>
                <w:noProof/>
              </w:rPr>
              <w:tab/>
            </w:r>
            <w:r w:rsidR="00722FF5" w:rsidRPr="00C63CF6">
              <w:rPr>
                <w:rStyle w:val="Hyperlink"/>
                <w:noProof/>
              </w:rPr>
              <w:t>Liste des acronymes</w:t>
            </w:r>
            <w:r w:rsidR="00722FF5">
              <w:rPr>
                <w:noProof/>
                <w:webHidden/>
              </w:rPr>
              <w:tab/>
            </w:r>
            <w:r w:rsidR="000918D3">
              <w:rPr>
                <w:noProof/>
                <w:webHidden/>
              </w:rPr>
              <w:fldChar w:fldCharType="begin"/>
            </w:r>
            <w:r w:rsidR="00722FF5">
              <w:rPr>
                <w:noProof/>
                <w:webHidden/>
              </w:rPr>
              <w:instrText xml:space="preserve"> PAGEREF _Toc469036921 \h </w:instrText>
            </w:r>
            <w:r w:rsidR="000918D3">
              <w:rPr>
                <w:noProof/>
                <w:webHidden/>
              </w:rPr>
            </w:r>
            <w:r w:rsidR="000918D3">
              <w:rPr>
                <w:noProof/>
                <w:webHidden/>
              </w:rPr>
              <w:fldChar w:fldCharType="separate"/>
            </w:r>
            <w:r w:rsidR="00722FF5">
              <w:rPr>
                <w:noProof/>
                <w:webHidden/>
              </w:rPr>
              <w:t>5</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2" w:history="1">
            <w:r w:rsidR="00722FF5" w:rsidRPr="00C63CF6">
              <w:rPr>
                <w:rStyle w:val="Hyperlink"/>
                <w:rFonts w:ascii="Gill Sans MT" w:hAnsi="Gill Sans MT"/>
                <w:noProof/>
              </w:rPr>
              <w:t>2.</w:t>
            </w:r>
            <w:r w:rsidR="00722FF5">
              <w:rPr>
                <w:rFonts w:cstheme="minorBidi"/>
                <w:noProof/>
              </w:rPr>
              <w:tab/>
            </w:r>
            <w:r w:rsidR="00722FF5" w:rsidRPr="00C63CF6">
              <w:rPr>
                <w:rStyle w:val="Hyperlink"/>
                <w:noProof/>
              </w:rPr>
              <w:t>Résumé analytique</w:t>
            </w:r>
            <w:r w:rsidR="00722FF5">
              <w:rPr>
                <w:noProof/>
                <w:webHidden/>
              </w:rPr>
              <w:tab/>
            </w:r>
            <w:r w:rsidR="000918D3">
              <w:rPr>
                <w:noProof/>
                <w:webHidden/>
              </w:rPr>
              <w:fldChar w:fldCharType="begin"/>
            </w:r>
            <w:r w:rsidR="00722FF5">
              <w:rPr>
                <w:noProof/>
                <w:webHidden/>
              </w:rPr>
              <w:instrText xml:space="preserve"> PAGEREF _Toc469036922 \h </w:instrText>
            </w:r>
            <w:r w:rsidR="000918D3">
              <w:rPr>
                <w:noProof/>
                <w:webHidden/>
              </w:rPr>
            </w:r>
            <w:r w:rsidR="000918D3">
              <w:rPr>
                <w:noProof/>
                <w:webHidden/>
              </w:rPr>
              <w:fldChar w:fldCharType="separate"/>
            </w:r>
            <w:r w:rsidR="00722FF5">
              <w:rPr>
                <w:noProof/>
                <w:webHidden/>
              </w:rPr>
              <w:t>7</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3" w:history="1">
            <w:r w:rsidR="00722FF5" w:rsidRPr="00C63CF6">
              <w:rPr>
                <w:rStyle w:val="Hyperlink"/>
                <w:rFonts w:ascii="Gill Sans MT" w:hAnsi="Gill Sans MT"/>
                <w:noProof/>
              </w:rPr>
              <w:t>3.</w:t>
            </w:r>
            <w:r w:rsidR="00722FF5">
              <w:rPr>
                <w:rFonts w:cstheme="minorBidi"/>
                <w:noProof/>
              </w:rPr>
              <w:tab/>
            </w:r>
            <w:r w:rsidR="00722FF5" w:rsidRPr="00C63CF6">
              <w:rPr>
                <w:rStyle w:val="Hyperlink"/>
                <w:noProof/>
              </w:rPr>
              <w:t>Analyse de situation et localisation du programme</w:t>
            </w:r>
            <w:r w:rsidR="00722FF5">
              <w:rPr>
                <w:noProof/>
                <w:webHidden/>
              </w:rPr>
              <w:tab/>
            </w:r>
            <w:r w:rsidR="000918D3">
              <w:rPr>
                <w:noProof/>
                <w:webHidden/>
              </w:rPr>
              <w:fldChar w:fldCharType="begin"/>
            </w:r>
            <w:r w:rsidR="00722FF5">
              <w:rPr>
                <w:noProof/>
                <w:webHidden/>
              </w:rPr>
              <w:instrText xml:space="preserve"> PAGEREF _Toc469036923 \h </w:instrText>
            </w:r>
            <w:r w:rsidR="000918D3">
              <w:rPr>
                <w:noProof/>
                <w:webHidden/>
              </w:rPr>
            </w:r>
            <w:r w:rsidR="000918D3">
              <w:rPr>
                <w:noProof/>
                <w:webHidden/>
              </w:rPr>
              <w:fldChar w:fldCharType="separate"/>
            </w:r>
            <w:r w:rsidR="00722FF5">
              <w:rPr>
                <w:noProof/>
                <w:webHidden/>
              </w:rPr>
              <w:t>8</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4" w:history="1">
            <w:r w:rsidR="00722FF5" w:rsidRPr="00C63CF6">
              <w:rPr>
                <w:rStyle w:val="Hyperlink"/>
                <w:rFonts w:ascii="Gill Sans MT" w:hAnsi="Gill Sans MT"/>
                <w:noProof/>
              </w:rPr>
              <w:t>4.</w:t>
            </w:r>
            <w:r w:rsidR="00722FF5">
              <w:rPr>
                <w:rFonts w:cstheme="minorBidi"/>
                <w:noProof/>
              </w:rPr>
              <w:tab/>
            </w:r>
            <w:r w:rsidR="00722FF5" w:rsidRPr="00C63CF6">
              <w:rPr>
                <w:rStyle w:val="Hyperlink"/>
                <w:noProof/>
              </w:rPr>
              <w:t>Contexte du programme REDD+</w:t>
            </w:r>
            <w:r w:rsidR="00722FF5">
              <w:rPr>
                <w:noProof/>
                <w:webHidden/>
              </w:rPr>
              <w:tab/>
            </w:r>
            <w:r w:rsidR="000918D3">
              <w:rPr>
                <w:noProof/>
                <w:webHidden/>
              </w:rPr>
              <w:fldChar w:fldCharType="begin"/>
            </w:r>
            <w:r w:rsidR="00722FF5">
              <w:rPr>
                <w:noProof/>
                <w:webHidden/>
              </w:rPr>
              <w:instrText xml:space="preserve"> PAGEREF _Toc469036924 \h </w:instrText>
            </w:r>
            <w:r w:rsidR="000918D3">
              <w:rPr>
                <w:noProof/>
                <w:webHidden/>
              </w:rPr>
            </w:r>
            <w:r w:rsidR="000918D3">
              <w:rPr>
                <w:noProof/>
                <w:webHidden/>
              </w:rPr>
              <w:fldChar w:fldCharType="separate"/>
            </w:r>
            <w:r w:rsidR="00722FF5">
              <w:rPr>
                <w:noProof/>
                <w:webHidden/>
              </w:rPr>
              <w:t>11</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5" w:history="1">
            <w:r w:rsidR="00722FF5" w:rsidRPr="00C63CF6">
              <w:rPr>
                <w:rStyle w:val="Hyperlink"/>
                <w:rFonts w:ascii="Gill Sans MT" w:hAnsi="Gill Sans MT"/>
                <w:noProof/>
              </w:rPr>
              <w:t>5.</w:t>
            </w:r>
            <w:r w:rsidR="00722FF5">
              <w:rPr>
                <w:rFonts w:cstheme="minorBidi"/>
                <w:noProof/>
              </w:rPr>
              <w:tab/>
            </w:r>
            <w:r w:rsidR="00722FF5" w:rsidRPr="00C63CF6">
              <w:rPr>
                <w:rStyle w:val="Hyperlink"/>
                <w:noProof/>
              </w:rPr>
              <w:t>Objectifs général et spécifique et Stratégie d’intervention</w:t>
            </w:r>
            <w:r w:rsidR="00722FF5">
              <w:rPr>
                <w:noProof/>
                <w:webHidden/>
              </w:rPr>
              <w:tab/>
            </w:r>
            <w:r w:rsidR="000918D3">
              <w:rPr>
                <w:noProof/>
                <w:webHidden/>
              </w:rPr>
              <w:fldChar w:fldCharType="begin"/>
            </w:r>
            <w:r w:rsidR="00722FF5">
              <w:rPr>
                <w:noProof/>
                <w:webHidden/>
              </w:rPr>
              <w:instrText xml:space="preserve"> PAGEREF _Toc469036925 \h </w:instrText>
            </w:r>
            <w:r w:rsidR="000918D3">
              <w:rPr>
                <w:noProof/>
                <w:webHidden/>
              </w:rPr>
            </w:r>
            <w:r w:rsidR="000918D3">
              <w:rPr>
                <w:noProof/>
                <w:webHidden/>
              </w:rPr>
              <w:fldChar w:fldCharType="separate"/>
            </w:r>
            <w:r w:rsidR="00722FF5">
              <w:rPr>
                <w:noProof/>
                <w:webHidden/>
              </w:rPr>
              <w:t>21</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6" w:history="1">
            <w:r w:rsidR="00722FF5" w:rsidRPr="00C63CF6">
              <w:rPr>
                <w:rStyle w:val="Hyperlink"/>
                <w:rFonts w:ascii="Gill Sans MT" w:hAnsi="Gill Sans MT"/>
                <w:noProof/>
              </w:rPr>
              <w:t>6.</w:t>
            </w:r>
            <w:r w:rsidR="00722FF5">
              <w:rPr>
                <w:rFonts w:cstheme="minorBidi"/>
                <w:noProof/>
              </w:rPr>
              <w:tab/>
            </w:r>
            <w:r w:rsidR="00722FF5" w:rsidRPr="00C63CF6">
              <w:rPr>
                <w:rStyle w:val="Hyperlink"/>
                <w:noProof/>
              </w:rPr>
              <w:t>Cadre de résultats</w:t>
            </w:r>
            <w:r w:rsidR="00722FF5">
              <w:rPr>
                <w:noProof/>
                <w:webHidden/>
              </w:rPr>
              <w:tab/>
            </w:r>
            <w:r w:rsidR="000918D3">
              <w:rPr>
                <w:noProof/>
                <w:webHidden/>
              </w:rPr>
              <w:fldChar w:fldCharType="begin"/>
            </w:r>
            <w:r w:rsidR="00722FF5">
              <w:rPr>
                <w:noProof/>
                <w:webHidden/>
              </w:rPr>
              <w:instrText xml:space="preserve"> PAGEREF _Toc469036926 \h </w:instrText>
            </w:r>
            <w:r w:rsidR="000918D3">
              <w:rPr>
                <w:noProof/>
                <w:webHidden/>
              </w:rPr>
            </w:r>
            <w:r w:rsidR="000918D3">
              <w:rPr>
                <w:noProof/>
                <w:webHidden/>
              </w:rPr>
              <w:fldChar w:fldCharType="separate"/>
            </w:r>
            <w:r w:rsidR="00722FF5">
              <w:rPr>
                <w:noProof/>
                <w:webHidden/>
              </w:rPr>
              <w:t>46</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7" w:history="1">
            <w:r w:rsidR="00722FF5" w:rsidRPr="00C63CF6">
              <w:rPr>
                <w:rStyle w:val="Hyperlink"/>
                <w:rFonts w:ascii="Gill Sans MT" w:hAnsi="Gill Sans MT"/>
                <w:noProof/>
              </w:rPr>
              <w:t>7.</w:t>
            </w:r>
            <w:r w:rsidR="00722FF5">
              <w:rPr>
                <w:rFonts w:cstheme="minorBidi"/>
                <w:noProof/>
              </w:rPr>
              <w:tab/>
            </w:r>
            <w:r w:rsidR="00722FF5" w:rsidRPr="00C63CF6">
              <w:rPr>
                <w:rStyle w:val="Hyperlink"/>
                <w:noProof/>
              </w:rPr>
              <w:t>Plans de travail, activités envisagées et budget dont contribution CAFI/FONAREDD</w:t>
            </w:r>
            <w:r w:rsidR="00722FF5">
              <w:rPr>
                <w:noProof/>
                <w:webHidden/>
              </w:rPr>
              <w:tab/>
            </w:r>
            <w:r w:rsidR="000918D3">
              <w:rPr>
                <w:noProof/>
                <w:webHidden/>
              </w:rPr>
              <w:fldChar w:fldCharType="begin"/>
            </w:r>
            <w:r w:rsidR="00722FF5">
              <w:rPr>
                <w:noProof/>
                <w:webHidden/>
              </w:rPr>
              <w:instrText xml:space="preserve"> PAGEREF _Toc469036927 \h </w:instrText>
            </w:r>
            <w:r w:rsidR="000918D3">
              <w:rPr>
                <w:noProof/>
                <w:webHidden/>
              </w:rPr>
            </w:r>
            <w:r w:rsidR="000918D3">
              <w:rPr>
                <w:noProof/>
                <w:webHidden/>
              </w:rPr>
              <w:fldChar w:fldCharType="separate"/>
            </w:r>
            <w:r w:rsidR="00722FF5">
              <w:rPr>
                <w:noProof/>
                <w:webHidden/>
              </w:rPr>
              <w:t>54</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8" w:history="1">
            <w:r w:rsidR="00722FF5" w:rsidRPr="00C63CF6">
              <w:rPr>
                <w:rStyle w:val="Hyperlink"/>
                <w:rFonts w:ascii="Gill Sans MT" w:hAnsi="Gill Sans MT"/>
                <w:noProof/>
              </w:rPr>
              <w:t>8.</w:t>
            </w:r>
            <w:r w:rsidR="00722FF5">
              <w:rPr>
                <w:rFonts w:cstheme="minorBidi"/>
                <w:noProof/>
              </w:rPr>
              <w:tab/>
            </w:r>
            <w:r w:rsidR="00722FF5" w:rsidRPr="00C63CF6">
              <w:rPr>
                <w:rStyle w:val="Hyperlink"/>
                <w:noProof/>
              </w:rPr>
              <w:t>Méthodologie</w:t>
            </w:r>
            <w:r w:rsidR="00722FF5">
              <w:rPr>
                <w:noProof/>
                <w:webHidden/>
              </w:rPr>
              <w:tab/>
            </w:r>
            <w:r w:rsidR="000918D3">
              <w:rPr>
                <w:noProof/>
                <w:webHidden/>
              </w:rPr>
              <w:fldChar w:fldCharType="begin"/>
            </w:r>
            <w:r w:rsidR="00722FF5">
              <w:rPr>
                <w:noProof/>
                <w:webHidden/>
              </w:rPr>
              <w:instrText xml:space="preserve"> PAGEREF _Toc469036928 \h </w:instrText>
            </w:r>
            <w:r w:rsidR="000918D3">
              <w:rPr>
                <w:noProof/>
                <w:webHidden/>
              </w:rPr>
            </w:r>
            <w:r w:rsidR="000918D3">
              <w:rPr>
                <w:noProof/>
                <w:webHidden/>
              </w:rPr>
              <w:fldChar w:fldCharType="separate"/>
            </w:r>
            <w:r w:rsidR="00722FF5">
              <w:rPr>
                <w:noProof/>
                <w:webHidden/>
              </w:rPr>
              <w:t>62</w:t>
            </w:r>
            <w:r w:rsidR="000918D3">
              <w:rPr>
                <w:noProof/>
                <w:webHidden/>
              </w:rPr>
              <w:fldChar w:fldCharType="end"/>
            </w:r>
          </w:hyperlink>
        </w:p>
        <w:p w:rsidR="00722FF5" w:rsidRDefault="0003745E">
          <w:pPr>
            <w:pStyle w:val="TOC1"/>
            <w:tabs>
              <w:tab w:val="left" w:pos="440"/>
              <w:tab w:val="right" w:leader="dot" w:pos="9822"/>
            </w:tabs>
            <w:rPr>
              <w:rFonts w:cstheme="minorBidi"/>
              <w:noProof/>
            </w:rPr>
          </w:pPr>
          <w:hyperlink w:anchor="_Toc469036929" w:history="1">
            <w:r w:rsidR="00722FF5" w:rsidRPr="00C63CF6">
              <w:rPr>
                <w:rStyle w:val="Hyperlink"/>
                <w:rFonts w:ascii="Gill Sans MT" w:hAnsi="Gill Sans MT"/>
                <w:noProof/>
              </w:rPr>
              <w:t>9.</w:t>
            </w:r>
            <w:r w:rsidR="00722FF5">
              <w:rPr>
                <w:rFonts w:cstheme="minorBidi"/>
                <w:noProof/>
              </w:rPr>
              <w:tab/>
            </w:r>
            <w:r w:rsidR="00722FF5" w:rsidRPr="00C63CF6">
              <w:rPr>
                <w:rStyle w:val="Hyperlink"/>
                <w:noProof/>
              </w:rPr>
              <w:t>Arrangements de gestion et de coordination</w:t>
            </w:r>
            <w:r w:rsidR="00722FF5">
              <w:rPr>
                <w:noProof/>
                <w:webHidden/>
              </w:rPr>
              <w:tab/>
            </w:r>
            <w:r w:rsidR="000918D3">
              <w:rPr>
                <w:noProof/>
                <w:webHidden/>
              </w:rPr>
              <w:fldChar w:fldCharType="begin"/>
            </w:r>
            <w:r w:rsidR="00722FF5">
              <w:rPr>
                <w:noProof/>
                <w:webHidden/>
              </w:rPr>
              <w:instrText xml:space="preserve"> PAGEREF _Toc469036929 \h </w:instrText>
            </w:r>
            <w:r w:rsidR="000918D3">
              <w:rPr>
                <w:noProof/>
                <w:webHidden/>
              </w:rPr>
            </w:r>
            <w:r w:rsidR="000918D3">
              <w:rPr>
                <w:noProof/>
                <w:webHidden/>
              </w:rPr>
              <w:fldChar w:fldCharType="separate"/>
            </w:r>
            <w:r w:rsidR="00722FF5">
              <w:rPr>
                <w:noProof/>
                <w:webHidden/>
              </w:rPr>
              <w:t>63</w:t>
            </w:r>
            <w:r w:rsidR="000918D3">
              <w:rPr>
                <w:noProof/>
                <w:webHidden/>
              </w:rPr>
              <w:fldChar w:fldCharType="end"/>
            </w:r>
          </w:hyperlink>
        </w:p>
        <w:p w:rsidR="00722FF5" w:rsidRDefault="0003745E">
          <w:pPr>
            <w:pStyle w:val="TOC1"/>
            <w:tabs>
              <w:tab w:val="left" w:pos="720"/>
              <w:tab w:val="right" w:leader="dot" w:pos="9822"/>
            </w:tabs>
            <w:rPr>
              <w:rFonts w:cstheme="minorBidi"/>
              <w:noProof/>
            </w:rPr>
          </w:pPr>
          <w:hyperlink w:anchor="_Toc469036930" w:history="1">
            <w:r w:rsidR="00722FF5" w:rsidRPr="00C63CF6">
              <w:rPr>
                <w:rStyle w:val="Hyperlink"/>
                <w:rFonts w:ascii="Gill Sans MT" w:hAnsi="Gill Sans MT"/>
                <w:noProof/>
              </w:rPr>
              <w:t>10.</w:t>
            </w:r>
            <w:r w:rsidR="00722FF5">
              <w:rPr>
                <w:rFonts w:cstheme="minorBidi"/>
                <w:noProof/>
              </w:rPr>
              <w:tab/>
            </w:r>
            <w:r w:rsidR="00722FF5" w:rsidRPr="00C63CF6">
              <w:rPr>
                <w:rStyle w:val="Hyperlink"/>
                <w:noProof/>
              </w:rPr>
              <w:t>Faisabilité, gestion des risques et pérennité des résultats</w:t>
            </w:r>
            <w:r w:rsidR="00722FF5">
              <w:rPr>
                <w:noProof/>
                <w:webHidden/>
              </w:rPr>
              <w:tab/>
            </w:r>
            <w:r w:rsidR="000918D3">
              <w:rPr>
                <w:noProof/>
                <w:webHidden/>
              </w:rPr>
              <w:fldChar w:fldCharType="begin"/>
            </w:r>
            <w:r w:rsidR="00722FF5">
              <w:rPr>
                <w:noProof/>
                <w:webHidden/>
              </w:rPr>
              <w:instrText xml:space="preserve"> PAGEREF _Toc469036930 \h </w:instrText>
            </w:r>
            <w:r w:rsidR="000918D3">
              <w:rPr>
                <w:noProof/>
                <w:webHidden/>
              </w:rPr>
            </w:r>
            <w:r w:rsidR="000918D3">
              <w:rPr>
                <w:noProof/>
                <w:webHidden/>
              </w:rPr>
              <w:fldChar w:fldCharType="separate"/>
            </w:r>
            <w:r w:rsidR="00722FF5">
              <w:rPr>
                <w:noProof/>
                <w:webHidden/>
              </w:rPr>
              <w:t>64</w:t>
            </w:r>
            <w:r w:rsidR="000918D3">
              <w:rPr>
                <w:noProof/>
                <w:webHidden/>
              </w:rPr>
              <w:fldChar w:fldCharType="end"/>
            </w:r>
          </w:hyperlink>
        </w:p>
        <w:p w:rsidR="00722FF5" w:rsidRDefault="0003745E">
          <w:pPr>
            <w:pStyle w:val="TOC1"/>
            <w:tabs>
              <w:tab w:val="right" w:leader="dot" w:pos="9822"/>
            </w:tabs>
            <w:rPr>
              <w:rFonts w:cstheme="minorBidi"/>
              <w:noProof/>
            </w:rPr>
          </w:pPr>
          <w:hyperlink w:anchor="_Toc469036931" w:history="1">
            <w:r w:rsidR="00722FF5" w:rsidRPr="00C63CF6">
              <w:rPr>
                <w:rStyle w:val="Hyperlink"/>
                <w:rFonts w:eastAsiaTheme="minorHAnsi"/>
                <w:noProof/>
              </w:rPr>
              <w:t>Exemples de mesures d’atténuation des risques identifiées, issues des leçons apprises de projets passés.</w:t>
            </w:r>
            <w:r w:rsidR="00722FF5">
              <w:rPr>
                <w:noProof/>
                <w:webHidden/>
              </w:rPr>
              <w:tab/>
            </w:r>
            <w:r w:rsidR="000918D3">
              <w:rPr>
                <w:noProof/>
                <w:webHidden/>
              </w:rPr>
              <w:fldChar w:fldCharType="begin"/>
            </w:r>
            <w:r w:rsidR="00722FF5">
              <w:rPr>
                <w:noProof/>
                <w:webHidden/>
              </w:rPr>
              <w:instrText xml:space="preserve"> PAGEREF _Toc469036931 \h </w:instrText>
            </w:r>
            <w:r w:rsidR="000918D3">
              <w:rPr>
                <w:noProof/>
                <w:webHidden/>
              </w:rPr>
            </w:r>
            <w:r w:rsidR="000918D3">
              <w:rPr>
                <w:noProof/>
                <w:webHidden/>
              </w:rPr>
              <w:fldChar w:fldCharType="separate"/>
            </w:r>
            <w:r w:rsidR="00722FF5">
              <w:rPr>
                <w:noProof/>
                <w:webHidden/>
              </w:rPr>
              <w:t>67</w:t>
            </w:r>
            <w:r w:rsidR="000918D3">
              <w:rPr>
                <w:noProof/>
                <w:webHidden/>
              </w:rPr>
              <w:fldChar w:fldCharType="end"/>
            </w:r>
          </w:hyperlink>
        </w:p>
        <w:p w:rsidR="00722FF5" w:rsidRDefault="0003745E">
          <w:pPr>
            <w:pStyle w:val="TOC1"/>
            <w:tabs>
              <w:tab w:val="left" w:pos="720"/>
              <w:tab w:val="right" w:leader="dot" w:pos="9822"/>
            </w:tabs>
            <w:rPr>
              <w:rFonts w:cstheme="minorBidi"/>
              <w:noProof/>
            </w:rPr>
          </w:pPr>
          <w:hyperlink w:anchor="_Toc469036932" w:history="1">
            <w:r w:rsidR="00722FF5" w:rsidRPr="00C63CF6">
              <w:rPr>
                <w:rStyle w:val="Hyperlink"/>
                <w:rFonts w:ascii="Gill Sans MT" w:hAnsi="Gill Sans MT"/>
                <w:noProof/>
              </w:rPr>
              <w:t>11.</w:t>
            </w:r>
            <w:r w:rsidR="00722FF5">
              <w:rPr>
                <w:rFonts w:cstheme="minorBidi"/>
                <w:noProof/>
              </w:rPr>
              <w:tab/>
            </w:r>
            <w:r w:rsidR="00722FF5" w:rsidRPr="00C63CF6">
              <w:rPr>
                <w:rStyle w:val="Hyperlink"/>
                <w:noProof/>
              </w:rPr>
              <w:t>Gestion socio-environnementale : risques et mesures d’atténuation</w:t>
            </w:r>
            <w:r w:rsidR="00722FF5">
              <w:rPr>
                <w:noProof/>
                <w:webHidden/>
              </w:rPr>
              <w:tab/>
            </w:r>
            <w:r w:rsidR="000918D3">
              <w:rPr>
                <w:noProof/>
                <w:webHidden/>
              </w:rPr>
              <w:fldChar w:fldCharType="begin"/>
            </w:r>
            <w:r w:rsidR="00722FF5">
              <w:rPr>
                <w:noProof/>
                <w:webHidden/>
              </w:rPr>
              <w:instrText xml:space="preserve"> PAGEREF _Toc469036932 \h </w:instrText>
            </w:r>
            <w:r w:rsidR="000918D3">
              <w:rPr>
                <w:noProof/>
                <w:webHidden/>
              </w:rPr>
            </w:r>
            <w:r w:rsidR="000918D3">
              <w:rPr>
                <w:noProof/>
                <w:webHidden/>
              </w:rPr>
              <w:fldChar w:fldCharType="separate"/>
            </w:r>
            <w:r w:rsidR="00722FF5">
              <w:rPr>
                <w:noProof/>
                <w:webHidden/>
              </w:rPr>
              <w:t>68</w:t>
            </w:r>
            <w:r w:rsidR="000918D3">
              <w:rPr>
                <w:noProof/>
                <w:webHidden/>
              </w:rPr>
              <w:fldChar w:fldCharType="end"/>
            </w:r>
          </w:hyperlink>
        </w:p>
        <w:p w:rsidR="00722FF5" w:rsidRDefault="0003745E">
          <w:pPr>
            <w:pStyle w:val="TOC1"/>
            <w:tabs>
              <w:tab w:val="left" w:pos="720"/>
              <w:tab w:val="right" w:leader="dot" w:pos="9822"/>
            </w:tabs>
            <w:rPr>
              <w:rFonts w:cstheme="minorBidi"/>
              <w:noProof/>
            </w:rPr>
          </w:pPr>
          <w:hyperlink w:anchor="_Toc469036933" w:history="1">
            <w:r w:rsidR="00722FF5" w:rsidRPr="00C63CF6">
              <w:rPr>
                <w:rStyle w:val="Hyperlink"/>
                <w:rFonts w:ascii="Gill Sans MT" w:hAnsi="Gill Sans MT"/>
                <w:noProof/>
              </w:rPr>
              <w:t>12.</w:t>
            </w:r>
            <w:r w:rsidR="00722FF5">
              <w:rPr>
                <w:rFonts w:cstheme="minorBidi"/>
                <w:noProof/>
              </w:rPr>
              <w:tab/>
            </w:r>
            <w:r w:rsidR="00722FF5" w:rsidRPr="00C63CF6">
              <w:rPr>
                <w:rStyle w:val="Hyperlink"/>
                <w:noProof/>
              </w:rPr>
              <w:t>Contrôle, évaluation et information</w:t>
            </w:r>
            <w:r w:rsidR="00722FF5">
              <w:rPr>
                <w:noProof/>
                <w:webHidden/>
              </w:rPr>
              <w:tab/>
            </w:r>
            <w:r w:rsidR="000918D3">
              <w:rPr>
                <w:noProof/>
                <w:webHidden/>
              </w:rPr>
              <w:fldChar w:fldCharType="begin"/>
            </w:r>
            <w:r w:rsidR="00722FF5">
              <w:rPr>
                <w:noProof/>
                <w:webHidden/>
              </w:rPr>
              <w:instrText xml:space="preserve"> PAGEREF _Toc469036933 \h </w:instrText>
            </w:r>
            <w:r w:rsidR="000918D3">
              <w:rPr>
                <w:noProof/>
                <w:webHidden/>
              </w:rPr>
            </w:r>
            <w:r w:rsidR="000918D3">
              <w:rPr>
                <w:noProof/>
                <w:webHidden/>
              </w:rPr>
              <w:fldChar w:fldCharType="separate"/>
            </w:r>
            <w:r w:rsidR="00722FF5">
              <w:rPr>
                <w:noProof/>
                <w:webHidden/>
              </w:rPr>
              <w:t>70</w:t>
            </w:r>
            <w:r w:rsidR="000918D3">
              <w:rPr>
                <w:noProof/>
                <w:webHidden/>
              </w:rPr>
              <w:fldChar w:fldCharType="end"/>
            </w:r>
          </w:hyperlink>
        </w:p>
        <w:p w:rsidR="00722FF5" w:rsidRDefault="0003745E">
          <w:pPr>
            <w:pStyle w:val="TOC1"/>
            <w:tabs>
              <w:tab w:val="left" w:pos="720"/>
              <w:tab w:val="right" w:leader="dot" w:pos="9822"/>
            </w:tabs>
            <w:rPr>
              <w:rFonts w:cstheme="minorBidi"/>
              <w:noProof/>
            </w:rPr>
          </w:pPr>
          <w:hyperlink w:anchor="_Toc469036934" w:history="1">
            <w:r w:rsidR="00722FF5" w:rsidRPr="00C63CF6">
              <w:rPr>
                <w:rStyle w:val="Hyperlink"/>
                <w:rFonts w:ascii="Gill Sans MT" w:hAnsi="Gill Sans MT"/>
                <w:noProof/>
              </w:rPr>
              <w:t>13.</w:t>
            </w:r>
            <w:r w:rsidR="00722FF5">
              <w:rPr>
                <w:rFonts w:cstheme="minorBidi"/>
                <w:noProof/>
              </w:rPr>
              <w:tab/>
            </w:r>
            <w:r w:rsidR="00722FF5" w:rsidRPr="00C63CF6">
              <w:rPr>
                <w:rStyle w:val="Hyperlink"/>
                <w:noProof/>
              </w:rPr>
              <w:t>Plan de consultation effectué et/ou programmée</w:t>
            </w:r>
            <w:r w:rsidR="00722FF5">
              <w:rPr>
                <w:noProof/>
                <w:webHidden/>
              </w:rPr>
              <w:tab/>
            </w:r>
            <w:r w:rsidR="000918D3">
              <w:rPr>
                <w:noProof/>
                <w:webHidden/>
              </w:rPr>
              <w:fldChar w:fldCharType="begin"/>
            </w:r>
            <w:r w:rsidR="00722FF5">
              <w:rPr>
                <w:noProof/>
                <w:webHidden/>
              </w:rPr>
              <w:instrText xml:space="preserve"> PAGEREF _Toc469036934 \h </w:instrText>
            </w:r>
            <w:r w:rsidR="000918D3">
              <w:rPr>
                <w:noProof/>
                <w:webHidden/>
              </w:rPr>
            </w:r>
            <w:r w:rsidR="000918D3">
              <w:rPr>
                <w:noProof/>
                <w:webHidden/>
              </w:rPr>
              <w:fldChar w:fldCharType="separate"/>
            </w:r>
            <w:r w:rsidR="00722FF5">
              <w:rPr>
                <w:noProof/>
                <w:webHidden/>
              </w:rPr>
              <w:t>70</w:t>
            </w:r>
            <w:r w:rsidR="000918D3">
              <w:rPr>
                <w:noProof/>
                <w:webHidden/>
              </w:rPr>
              <w:fldChar w:fldCharType="end"/>
            </w:r>
          </w:hyperlink>
        </w:p>
        <w:p w:rsidR="00722FF5" w:rsidRDefault="0003745E">
          <w:pPr>
            <w:pStyle w:val="TOC1"/>
            <w:tabs>
              <w:tab w:val="left" w:pos="720"/>
              <w:tab w:val="right" w:leader="dot" w:pos="9822"/>
            </w:tabs>
            <w:rPr>
              <w:rFonts w:cstheme="minorBidi"/>
              <w:noProof/>
            </w:rPr>
          </w:pPr>
          <w:hyperlink w:anchor="_Toc469036935" w:history="1">
            <w:r w:rsidR="00722FF5" w:rsidRPr="00C63CF6">
              <w:rPr>
                <w:rStyle w:val="Hyperlink"/>
                <w:rFonts w:ascii="Gill Sans MT" w:hAnsi="Gill Sans MT"/>
                <w:noProof/>
              </w:rPr>
              <w:t>14.</w:t>
            </w:r>
            <w:r w:rsidR="00722FF5">
              <w:rPr>
                <w:rFonts w:cstheme="minorBidi"/>
                <w:noProof/>
              </w:rPr>
              <w:tab/>
            </w:r>
            <w:r w:rsidR="00722FF5" w:rsidRPr="00C63CF6">
              <w:rPr>
                <w:rStyle w:val="Hyperlink"/>
                <w:noProof/>
              </w:rPr>
              <w:t>Cadre Juridique</w:t>
            </w:r>
            <w:r w:rsidR="00722FF5">
              <w:rPr>
                <w:noProof/>
                <w:webHidden/>
              </w:rPr>
              <w:tab/>
            </w:r>
            <w:r w:rsidR="000918D3">
              <w:rPr>
                <w:noProof/>
                <w:webHidden/>
              </w:rPr>
              <w:fldChar w:fldCharType="begin"/>
            </w:r>
            <w:r w:rsidR="00722FF5">
              <w:rPr>
                <w:noProof/>
                <w:webHidden/>
              </w:rPr>
              <w:instrText xml:space="preserve"> PAGEREF _Toc469036935 \h </w:instrText>
            </w:r>
            <w:r w:rsidR="000918D3">
              <w:rPr>
                <w:noProof/>
                <w:webHidden/>
              </w:rPr>
            </w:r>
            <w:r w:rsidR="000918D3">
              <w:rPr>
                <w:noProof/>
                <w:webHidden/>
              </w:rPr>
              <w:fldChar w:fldCharType="separate"/>
            </w:r>
            <w:r w:rsidR="00722FF5">
              <w:rPr>
                <w:noProof/>
                <w:webHidden/>
              </w:rPr>
              <w:t>70</w:t>
            </w:r>
            <w:r w:rsidR="000918D3">
              <w:rPr>
                <w:noProof/>
                <w:webHidden/>
              </w:rPr>
              <w:fldChar w:fldCharType="end"/>
            </w:r>
          </w:hyperlink>
        </w:p>
        <w:p w:rsidR="00722FF5" w:rsidRDefault="0003745E">
          <w:pPr>
            <w:pStyle w:val="TOC1"/>
            <w:tabs>
              <w:tab w:val="left" w:pos="720"/>
              <w:tab w:val="right" w:leader="dot" w:pos="9822"/>
            </w:tabs>
            <w:rPr>
              <w:rFonts w:cstheme="minorBidi"/>
              <w:noProof/>
            </w:rPr>
          </w:pPr>
          <w:hyperlink w:anchor="_Toc469036936" w:history="1">
            <w:r w:rsidR="00722FF5" w:rsidRPr="00C63CF6">
              <w:rPr>
                <w:rStyle w:val="Hyperlink"/>
                <w:rFonts w:ascii="Gill Sans MT" w:hAnsi="Gill Sans MT"/>
                <w:noProof/>
              </w:rPr>
              <w:t>15.</w:t>
            </w:r>
            <w:r w:rsidR="00722FF5">
              <w:rPr>
                <w:rFonts w:cstheme="minorBidi"/>
                <w:noProof/>
              </w:rPr>
              <w:tab/>
            </w:r>
            <w:r w:rsidR="00722FF5" w:rsidRPr="00C63CF6">
              <w:rPr>
                <w:rStyle w:val="Hyperlink"/>
                <w:noProof/>
              </w:rPr>
              <w:t>ANNEXES :</w:t>
            </w:r>
            <w:r w:rsidR="00722FF5">
              <w:rPr>
                <w:noProof/>
                <w:webHidden/>
              </w:rPr>
              <w:tab/>
            </w:r>
            <w:r w:rsidR="000918D3">
              <w:rPr>
                <w:noProof/>
                <w:webHidden/>
              </w:rPr>
              <w:fldChar w:fldCharType="begin"/>
            </w:r>
            <w:r w:rsidR="00722FF5">
              <w:rPr>
                <w:noProof/>
                <w:webHidden/>
              </w:rPr>
              <w:instrText xml:space="preserve"> PAGEREF _Toc469036936 \h </w:instrText>
            </w:r>
            <w:r w:rsidR="000918D3">
              <w:rPr>
                <w:noProof/>
                <w:webHidden/>
              </w:rPr>
            </w:r>
            <w:r w:rsidR="000918D3">
              <w:rPr>
                <w:noProof/>
                <w:webHidden/>
              </w:rPr>
              <w:fldChar w:fldCharType="separate"/>
            </w:r>
            <w:r w:rsidR="00722FF5">
              <w:rPr>
                <w:noProof/>
                <w:webHidden/>
              </w:rPr>
              <w:t>71</w:t>
            </w:r>
            <w:r w:rsidR="000918D3">
              <w:rPr>
                <w:noProof/>
                <w:webHidden/>
              </w:rPr>
              <w:fldChar w:fldCharType="end"/>
            </w:r>
          </w:hyperlink>
        </w:p>
        <w:p w:rsidR="00722FF5" w:rsidRDefault="0003745E">
          <w:pPr>
            <w:pStyle w:val="TOC1"/>
            <w:tabs>
              <w:tab w:val="right" w:leader="dot" w:pos="9822"/>
            </w:tabs>
            <w:rPr>
              <w:rFonts w:cstheme="minorBidi"/>
              <w:noProof/>
            </w:rPr>
          </w:pPr>
          <w:hyperlink w:anchor="_Toc469036937" w:history="1">
            <w:r w:rsidR="00722FF5" w:rsidRPr="00C63CF6">
              <w:rPr>
                <w:rStyle w:val="Hyperlink"/>
                <w:noProof/>
              </w:rPr>
              <w:t xml:space="preserve">ANNEXE 1 : Document juridique propre à chaque Agence constituant le fondement juridique des relations </w:t>
            </w:r>
            <w:r w:rsidR="00722FF5">
              <w:rPr>
                <w:rStyle w:val="Hyperlink"/>
                <w:noProof/>
              </w:rPr>
              <w:t>avec le Gouvernement de la RDC</w:t>
            </w:r>
          </w:hyperlink>
          <w:r w:rsidR="00722FF5">
            <w:rPr>
              <w:rFonts w:cstheme="minorBidi"/>
              <w:noProof/>
            </w:rPr>
            <w:t xml:space="preserve"> </w:t>
          </w:r>
        </w:p>
        <w:p w:rsidR="00722FF5" w:rsidRDefault="0003745E">
          <w:pPr>
            <w:pStyle w:val="TOC1"/>
            <w:tabs>
              <w:tab w:val="right" w:leader="dot" w:pos="9822"/>
            </w:tabs>
            <w:rPr>
              <w:rFonts w:cstheme="minorBidi"/>
              <w:noProof/>
            </w:rPr>
          </w:pPr>
          <w:hyperlink w:anchor="_Toc469036938" w:history="1">
            <w:r w:rsidR="00722FF5" w:rsidRPr="00C63CF6">
              <w:rPr>
                <w:rStyle w:val="Hyperlink"/>
                <w:noProof/>
              </w:rPr>
              <w:t xml:space="preserve">ANNEXE 2 : Termes de référence pour le recrutement des opérateurs le cas échéant et </w:t>
            </w:r>
            <w:r w:rsidR="00722FF5">
              <w:rPr>
                <w:rStyle w:val="Hyperlink"/>
                <w:noProof/>
              </w:rPr>
              <w:t>autres prestataires de service</w:t>
            </w:r>
          </w:hyperlink>
          <w:r w:rsidR="00722FF5">
            <w:rPr>
              <w:rFonts w:cstheme="minorBidi"/>
              <w:noProof/>
            </w:rPr>
            <w:t xml:space="preserve"> </w:t>
          </w:r>
        </w:p>
        <w:p w:rsidR="00722FF5" w:rsidRDefault="0003745E">
          <w:pPr>
            <w:pStyle w:val="TOC1"/>
            <w:tabs>
              <w:tab w:val="right" w:leader="dot" w:pos="9822"/>
            </w:tabs>
            <w:rPr>
              <w:rFonts w:cstheme="minorBidi"/>
              <w:noProof/>
            </w:rPr>
          </w:pPr>
          <w:hyperlink w:anchor="_Toc469036939" w:history="1">
            <w:r w:rsidR="00722FF5" w:rsidRPr="00C63CF6">
              <w:rPr>
                <w:rStyle w:val="Hyperlink"/>
                <w:noProof/>
              </w:rPr>
              <w:t>ANNEXE 3 : Termes de référence pour les études de sauvegarde socio-environnementales</w:t>
            </w:r>
          </w:hyperlink>
        </w:p>
        <w:p w:rsidR="00722FF5" w:rsidRDefault="0003745E">
          <w:pPr>
            <w:pStyle w:val="TOC1"/>
            <w:tabs>
              <w:tab w:val="right" w:leader="dot" w:pos="9822"/>
            </w:tabs>
            <w:rPr>
              <w:rFonts w:cstheme="minorBidi"/>
              <w:noProof/>
            </w:rPr>
          </w:pPr>
          <w:hyperlink w:anchor="_Toc469036940" w:history="1">
            <w:r w:rsidR="00722FF5" w:rsidRPr="00C63CF6">
              <w:rPr>
                <w:rStyle w:val="Hyperlink"/>
                <w:noProof/>
              </w:rPr>
              <w:t>ANNEXE 4a : Contexte de la Province du Mai-Ndombe</w:t>
            </w:r>
          </w:hyperlink>
        </w:p>
        <w:p w:rsidR="00722FF5" w:rsidRDefault="0003745E">
          <w:pPr>
            <w:pStyle w:val="TOC1"/>
            <w:tabs>
              <w:tab w:val="right" w:leader="dot" w:pos="9822"/>
            </w:tabs>
            <w:rPr>
              <w:rFonts w:cstheme="minorBidi"/>
              <w:noProof/>
            </w:rPr>
          </w:pPr>
          <w:hyperlink w:anchor="_Toc469036941" w:history="1">
            <w:r w:rsidR="00722FF5" w:rsidRPr="00C63CF6">
              <w:rPr>
                <w:rStyle w:val="Hyperlink"/>
                <w:noProof/>
              </w:rPr>
              <w:t>ANNEXE 4b : Programme de Réductions des Emissions du Mai-Ndombe et document de programme du PGAPF</w:t>
            </w:r>
          </w:hyperlink>
        </w:p>
        <w:p w:rsidR="00722FF5" w:rsidRDefault="0003745E">
          <w:pPr>
            <w:pStyle w:val="TOC1"/>
            <w:tabs>
              <w:tab w:val="right" w:leader="dot" w:pos="9822"/>
            </w:tabs>
            <w:rPr>
              <w:rFonts w:cstheme="minorBidi"/>
              <w:noProof/>
            </w:rPr>
          </w:pPr>
          <w:hyperlink w:anchor="_Toc469036942" w:history="1">
            <w:r w:rsidR="00722FF5" w:rsidRPr="00C63CF6">
              <w:rPr>
                <w:rStyle w:val="Hyperlink"/>
                <w:noProof/>
              </w:rPr>
              <w:t>ANNEXE 5 : Bref aperçu de la situation des Peuples Autochtones Pygmées dans la Province du Mai-Ndombe et recommandations</w:t>
            </w:r>
          </w:hyperlink>
        </w:p>
        <w:p w:rsidR="00722FF5" w:rsidRDefault="0003745E">
          <w:pPr>
            <w:pStyle w:val="TOC1"/>
            <w:tabs>
              <w:tab w:val="right" w:leader="dot" w:pos="9822"/>
            </w:tabs>
            <w:rPr>
              <w:rFonts w:cstheme="minorBidi"/>
              <w:noProof/>
            </w:rPr>
          </w:pPr>
          <w:hyperlink w:anchor="_Toc469036943" w:history="1">
            <w:r w:rsidR="00722FF5" w:rsidRPr="00C63CF6">
              <w:rPr>
                <w:rStyle w:val="Hyperlink"/>
                <w:noProof/>
              </w:rPr>
              <w:t>ANNEXE 6 : Proposition d’arrangements fiduciaires renforcés pour la supervision des moyens mis en œuvre par l’UC-PIF</w:t>
            </w:r>
          </w:hyperlink>
        </w:p>
        <w:p w:rsidR="00722FF5" w:rsidRDefault="0003745E">
          <w:pPr>
            <w:pStyle w:val="TOC1"/>
            <w:tabs>
              <w:tab w:val="right" w:leader="dot" w:pos="9822"/>
            </w:tabs>
            <w:rPr>
              <w:rFonts w:cstheme="minorBidi"/>
              <w:noProof/>
            </w:rPr>
          </w:pPr>
          <w:hyperlink w:anchor="_Toc469036944" w:history="1">
            <w:r w:rsidR="00722FF5" w:rsidRPr="00C63CF6">
              <w:rPr>
                <w:rStyle w:val="Hyperlink"/>
                <w:noProof/>
              </w:rPr>
              <w:t>ANNEXE 7 : Budget détaillé</w:t>
            </w:r>
          </w:hyperlink>
        </w:p>
        <w:p w:rsidR="00722FF5" w:rsidRDefault="0003745E">
          <w:pPr>
            <w:pStyle w:val="TOC1"/>
            <w:tabs>
              <w:tab w:val="right" w:leader="dot" w:pos="9822"/>
            </w:tabs>
            <w:rPr>
              <w:rFonts w:cstheme="minorBidi"/>
              <w:noProof/>
            </w:rPr>
          </w:pPr>
          <w:hyperlink w:anchor="_Toc469036945" w:history="1">
            <w:r w:rsidR="00722FF5" w:rsidRPr="00C63CF6">
              <w:rPr>
                <w:rStyle w:val="Hyperlink"/>
                <w:noProof/>
              </w:rPr>
              <w:t>ANNEXE 8 : Exemple de Contrat  à mettre en place entre les CLD et le PIREDD Mai-Ndombe</w:t>
            </w:r>
          </w:hyperlink>
        </w:p>
        <w:p w:rsidR="00722FF5" w:rsidRDefault="0003745E">
          <w:pPr>
            <w:pStyle w:val="TOC1"/>
            <w:tabs>
              <w:tab w:val="right" w:leader="dot" w:pos="9822"/>
            </w:tabs>
            <w:rPr>
              <w:rFonts w:cstheme="minorBidi"/>
              <w:noProof/>
            </w:rPr>
          </w:pPr>
          <w:hyperlink w:anchor="_Toc469036946" w:history="1">
            <w:r w:rsidR="00722FF5" w:rsidRPr="00C63CF6">
              <w:rPr>
                <w:rStyle w:val="Hyperlink"/>
                <w:noProof/>
              </w:rPr>
              <w:t>ANNEXE 9 : Note portant sur les relations entre les partenaires de mise en œuvre et le FONAREDD concernant le suivi et évaluation transparent des programmes</w:t>
            </w:r>
          </w:hyperlink>
        </w:p>
        <w:p w:rsidR="00722FF5" w:rsidRDefault="0003745E">
          <w:pPr>
            <w:pStyle w:val="TOC1"/>
            <w:tabs>
              <w:tab w:val="right" w:leader="dot" w:pos="9822"/>
            </w:tabs>
            <w:rPr>
              <w:rFonts w:cstheme="minorBidi"/>
              <w:noProof/>
            </w:rPr>
          </w:pPr>
          <w:hyperlink w:anchor="_Toc469036947" w:history="1">
            <w:r w:rsidR="00722FF5" w:rsidRPr="00C63CF6">
              <w:rPr>
                <w:rStyle w:val="Hyperlink"/>
                <w:noProof/>
              </w:rPr>
              <w:t>ANNEXE 10 : La Gestion Participative et transparente des Processus d’élaboration, de mise en œuvre et de suivi évaluation des programmes financés par le FONAREDD</w:t>
            </w:r>
          </w:hyperlink>
        </w:p>
        <w:p w:rsidR="005F3E2D" w:rsidRDefault="000918D3">
          <w:r>
            <w:rPr>
              <w:b/>
              <w:bCs/>
              <w:noProof/>
            </w:rPr>
            <w:fldChar w:fldCharType="end"/>
          </w:r>
        </w:p>
      </w:sdtContent>
    </w:sdt>
    <w:p w:rsidR="00E05508" w:rsidRDefault="00E05508" w:rsidP="002E3A02">
      <w:pPr>
        <w:pStyle w:val="Heading1"/>
        <w:numPr>
          <w:ilvl w:val="0"/>
          <w:numId w:val="21"/>
        </w:numPr>
        <w:ind w:left="360"/>
      </w:pPr>
      <w:bookmarkStart w:id="1" w:name="_Toc469036921"/>
      <w:r>
        <w:t>Liste des acronymes</w:t>
      </w:r>
      <w:bookmarkEnd w:id="1"/>
    </w:p>
    <w:p w:rsidR="00E05508" w:rsidRDefault="00E05508" w:rsidP="00ED144B">
      <w:pPr>
        <w:spacing w:after="160" w:line="259" w:lineRule="auto"/>
        <w:jc w:val="center"/>
      </w:pPr>
    </w:p>
    <w:tbl>
      <w:tblPr>
        <w:tblStyle w:val="TableGrid"/>
        <w:tblW w:w="0" w:type="auto"/>
        <w:tblLook w:val="04A0" w:firstRow="1" w:lastRow="0" w:firstColumn="1" w:lastColumn="0" w:noHBand="0" w:noVBand="1"/>
      </w:tblPr>
      <w:tblGrid>
        <w:gridCol w:w="2754"/>
        <w:gridCol w:w="7068"/>
      </w:tblGrid>
      <w:tr w:rsidR="00E05508" w:rsidTr="00ED144B">
        <w:trPr>
          <w:trHeight w:hRule="exact" w:val="288"/>
        </w:trPr>
        <w:tc>
          <w:tcPr>
            <w:tcW w:w="2754" w:type="dxa"/>
            <w:vAlign w:val="center"/>
          </w:tcPr>
          <w:p w:rsidR="00E05508" w:rsidRDefault="000C4700" w:rsidP="00E05508">
            <w:pPr>
              <w:spacing w:after="160" w:line="259" w:lineRule="auto"/>
              <w:jc w:val="center"/>
            </w:pPr>
            <w:r>
              <w:t>AFD</w:t>
            </w:r>
          </w:p>
        </w:tc>
        <w:tc>
          <w:tcPr>
            <w:tcW w:w="7068" w:type="dxa"/>
            <w:vAlign w:val="center"/>
          </w:tcPr>
          <w:p w:rsidR="00E05508" w:rsidRDefault="000C4700" w:rsidP="00ED144B">
            <w:pPr>
              <w:spacing w:after="160" w:line="259" w:lineRule="auto"/>
            </w:pPr>
            <w:r>
              <w:t>Agence Française de Développement</w:t>
            </w:r>
          </w:p>
        </w:tc>
      </w:tr>
      <w:tr w:rsidR="00E05508" w:rsidTr="00ED144B">
        <w:trPr>
          <w:trHeight w:hRule="exact" w:val="288"/>
        </w:trPr>
        <w:tc>
          <w:tcPr>
            <w:tcW w:w="2754" w:type="dxa"/>
            <w:vAlign w:val="center"/>
          </w:tcPr>
          <w:p w:rsidR="00E05508" w:rsidRDefault="0024009E" w:rsidP="00E05508">
            <w:pPr>
              <w:spacing w:after="160" w:line="259" w:lineRule="auto"/>
              <w:jc w:val="center"/>
            </w:pPr>
            <w:r>
              <w:t>ALE</w:t>
            </w:r>
          </w:p>
        </w:tc>
        <w:tc>
          <w:tcPr>
            <w:tcW w:w="7068" w:type="dxa"/>
            <w:vAlign w:val="center"/>
          </w:tcPr>
          <w:p w:rsidR="00E05508" w:rsidRDefault="0024009E" w:rsidP="00ED144B">
            <w:pPr>
              <w:spacing w:after="160" w:line="259" w:lineRule="auto"/>
            </w:pPr>
            <w:r>
              <w:t>Agence Locale d’Exécution</w:t>
            </w:r>
          </w:p>
        </w:tc>
      </w:tr>
      <w:tr w:rsidR="000F63E9" w:rsidTr="00832BC4">
        <w:trPr>
          <w:trHeight w:hRule="exact" w:val="288"/>
        </w:trPr>
        <w:tc>
          <w:tcPr>
            <w:tcW w:w="2754" w:type="dxa"/>
            <w:vAlign w:val="center"/>
          </w:tcPr>
          <w:p w:rsidR="000F63E9" w:rsidRDefault="000F63E9" w:rsidP="00E05508">
            <w:pPr>
              <w:spacing w:after="160" w:line="259" w:lineRule="auto"/>
              <w:jc w:val="center"/>
            </w:pPr>
            <w:r>
              <w:t>AMI</w:t>
            </w:r>
          </w:p>
        </w:tc>
        <w:tc>
          <w:tcPr>
            <w:tcW w:w="7068" w:type="dxa"/>
            <w:vAlign w:val="center"/>
          </w:tcPr>
          <w:p w:rsidR="000F63E9" w:rsidRDefault="000F63E9">
            <w:pPr>
              <w:spacing w:after="160" w:line="259" w:lineRule="auto"/>
            </w:pPr>
            <w:r>
              <w:t xml:space="preserve">Appel à Manifestation d’Intérêt (du FONAREDD) </w:t>
            </w:r>
          </w:p>
        </w:tc>
      </w:tr>
      <w:tr w:rsidR="00E05508" w:rsidTr="00ED144B">
        <w:trPr>
          <w:trHeight w:hRule="exact" w:val="288"/>
        </w:trPr>
        <w:tc>
          <w:tcPr>
            <w:tcW w:w="2754" w:type="dxa"/>
            <w:vAlign w:val="center"/>
          </w:tcPr>
          <w:p w:rsidR="00E05508" w:rsidRDefault="008834AB" w:rsidP="00E05508">
            <w:pPr>
              <w:spacing w:after="160" w:line="259" w:lineRule="auto"/>
              <w:jc w:val="center"/>
            </w:pPr>
            <w:r>
              <w:t>BAD</w:t>
            </w:r>
          </w:p>
        </w:tc>
        <w:tc>
          <w:tcPr>
            <w:tcW w:w="7068" w:type="dxa"/>
            <w:vAlign w:val="center"/>
          </w:tcPr>
          <w:p w:rsidR="00E05508" w:rsidRDefault="008834AB" w:rsidP="00ED144B">
            <w:pPr>
              <w:spacing w:after="160" w:line="259" w:lineRule="auto"/>
            </w:pPr>
            <w:r>
              <w:t>Banque Africaine de Développement</w:t>
            </w:r>
          </w:p>
        </w:tc>
      </w:tr>
      <w:tr w:rsidR="00E05508" w:rsidTr="00ED144B">
        <w:trPr>
          <w:trHeight w:hRule="exact" w:val="288"/>
        </w:trPr>
        <w:tc>
          <w:tcPr>
            <w:tcW w:w="2754" w:type="dxa"/>
            <w:vAlign w:val="center"/>
          </w:tcPr>
          <w:p w:rsidR="00E05508" w:rsidRDefault="006C76DC" w:rsidP="00E05508">
            <w:pPr>
              <w:spacing w:after="160" w:line="259" w:lineRule="auto"/>
              <w:jc w:val="center"/>
            </w:pPr>
            <w:r>
              <w:t>CAFI</w:t>
            </w:r>
          </w:p>
        </w:tc>
        <w:tc>
          <w:tcPr>
            <w:tcW w:w="7068" w:type="dxa"/>
            <w:vAlign w:val="center"/>
          </w:tcPr>
          <w:p w:rsidR="00E05508" w:rsidRDefault="006C76DC" w:rsidP="00ED144B">
            <w:pPr>
              <w:spacing w:after="160" w:line="259" w:lineRule="auto"/>
            </w:pPr>
            <w:r w:rsidRPr="006C76DC">
              <w:t>Central African Forest Initiative</w:t>
            </w:r>
          </w:p>
        </w:tc>
      </w:tr>
      <w:tr w:rsidR="00E05508" w:rsidTr="00ED144B">
        <w:trPr>
          <w:trHeight w:hRule="exact" w:val="288"/>
        </w:trPr>
        <w:tc>
          <w:tcPr>
            <w:tcW w:w="2754" w:type="dxa"/>
            <w:vAlign w:val="center"/>
          </w:tcPr>
          <w:p w:rsidR="00E05508" w:rsidRDefault="002629A5" w:rsidP="00E05508">
            <w:pPr>
              <w:spacing w:after="160" w:line="259" w:lineRule="auto"/>
              <w:jc w:val="center"/>
            </w:pPr>
            <w:r>
              <w:t>CARS</w:t>
            </w:r>
          </w:p>
        </w:tc>
        <w:tc>
          <w:tcPr>
            <w:tcW w:w="7068" w:type="dxa"/>
            <w:vAlign w:val="center"/>
          </w:tcPr>
          <w:p w:rsidR="00E05508" w:rsidRDefault="002629A5" w:rsidP="00ED144B">
            <w:pPr>
              <w:spacing w:after="160" w:line="259" w:lineRule="auto"/>
            </w:pPr>
            <w:r w:rsidRPr="002629A5">
              <w:t>Conseils</w:t>
            </w:r>
            <w:r>
              <w:t xml:space="preserve"> Agricole Rural</w:t>
            </w:r>
            <w:r w:rsidRPr="002629A5">
              <w:t xml:space="preserve"> de Secteur</w:t>
            </w:r>
          </w:p>
        </w:tc>
      </w:tr>
      <w:tr w:rsidR="00E05508" w:rsidTr="00ED144B">
        <w:trPr>
          <w:trHeight w:hRule="exact" w:val="288"/>
        </w:trPr>
        <w:tc>
          <w:tcPr>
            <w:tcW w:w="2754" w:type="dxa"/>
            <w:vAlign w:val="center"/>
          </w:tcPr>
          <w:p w:rsidR="00E05508" w:rsidRDefault="00C578A3" w:rsidP="00E05508">
            <w:pPr>
              <w:spacing w:after="160" w:line="259" w:lineRule="auto"/>
              <w:jc w:val="center"/>
            </w:pPr>
            <w:r>
              <w:t>CART</w:t>
            </w:r>
          </w:p>
        </w:tc>
        <w:tc>
          <w:tcPr>
            <w:tcW w:w="7068" w:type="dxa"/>
            <w:vAlign w:val="center"/>
          </w:tcPr>
          <w:p w:rsidR="00E05508" w:rsidRDefault="00C578A3" w:rsidP="00ED144B">
            <w:pPr>
              <w:spacing w:after="160" w:line="259" w:lineRule="auto"/>
            </w:pPr>
            <w:r>
              <w:t>Conseil Agricole Rural</w:t>
            </w:r>
            <w:r w:rsidRPr="00C578A3">
              <w:t xml:space="preserve"> de Territoir</w:t>
            </w:r>
            <w:r>
              <w:t>e</w:t>
            </w:r>
          </w:p>
        </w:tc>
      </w:tr>
      <w:tr w:rsidR="00C94522" w:rsidRPr="0003745E" w:rsidTr="00832BC4">
        <w:trPr>
          <w:trHeight w:hRule="exact" w:val="288"/>
        </w:trPr>
        <w:tc>
          <w:tcPr>
            <w:tcW w:w="2754" w:type="dxa"/>
            <w:vAlign w:val="center"/>
          </w:tcPr>
          <w:p w:rsidR="00C94522" w:rsidRDefault="00C94522" w:rsidP="00E05508">
            <w:pPr>
              <w:spacing w:after="160" w:line="259" w:lineRule="auto"/>
              <w:jc w:val="center"/>
            </w:pPr>
            <w:r>
              <w:t>CCBA</w:t>
            </w:r>
          </w:p>
        </w:tc>
        <w:tc>
          <w:tcPr>
            <w:tcW w:w="7068" w:type="dxa"/>
            <w:vAlign w:val="center"/>
          </w:tcPr>
          <w:p w:rsidR="00C94522" w:rsidRPr="00ED144B" w:rsidRDefault="00C94522">
            <w:pPr>
              <w:spacing w:after="160" w:line="259" w:lineRule="auto"/>
              <w:rPr>
                <w:lang w:val="en-US"/>
              </w:rPr>
            </w:pPr>
            <w:r w:rsidRPr="00ED144B">
              <w:rPr>
                <w:lang w:val="en-US"/>
              </w:rPr>
              <w:t>The Climate Community &amp; Biodiversity Alliance</w:t>
            </w:r>
          </w:p>
        </w:tc>
      </w:tr>
      <w:tr w:rsidR="00E05508" w:rsidTr="00ED144B">
        <w:trPr>
          <w:trHeight w:hRule="exact" w:val="288"/>
        </w:trPr>
        <w:tc>
          <w:tcPr>
            <w:tcW w:w="2754" w:type="dxa"/>
            <w:vAlign w:val="center"/>
          </w:tcPr>
          <w:p w:rsidR="00E05508" w:rsidRDefault="00FD256B" w:rsidP="00E05508">
            <w:pPr>
              <w:spacing w:after="160" w:line="259" w:lineRule="auto"/>
              <w:jc w:val="center"/>
            </w:pPr>
            <w:r>
              <w:t>CGES</w:t>
            </w:r>
          </w:p>
        </w:tc>
        <w:tc>
          <w:tcPr>
            <w:tcW w:w="7068" w:type="dxa"/>
            <w:vAlign w:val="center"/>
          </w:tcPr>
          <w:p w:rsidR="00FD256B" w:rsidRDefault="00FD256B" w:rsidP="00ED144B">
            <w:pPr>
              <w:spacing w:after="160" w:line="259" w:lineRule="auto"/>
            </w:pPr>
            <w:r w:rsidRPr="00FD256B">
              <w:t xml:space="preserve">Cadre de Gestion Environnementale et Sociale </w:t>
            </w:r>
          </w:p>
        </w:tc>
      </w:tr>
      <w:tr w:rsidR="00E05508" w:rsidTr="00ED144B">
        <w:trPr>
          <w:trHeight w:hRule="exact" w:val="288"/>
        </w:trPr>
        <w:tc>
          <w:tcPr>
            <w:tcW w:w="2754" w:type="dxa"/>
            <w:vAlign w:val="center"/>
          </w:tcPr>
          <w:p w:rsidR="00E05508" w:rsidRDefault="00E05508" w:rsidP="00E05508">
            <w:pPr>
              <w:spacing w:after="160" w:line="259" w:lineRule="auto"/>
              <w:jc w:val="center"/>
            </w:pPr>
            <w:r>
              <w:t>CLD</w:t>
            </w:r>
          </w:p>
        </w:tc>
        <w:tc>
          <w:tcPr>
            <w:tcW w:w="7068" w:type="dxa"/>
            <w:vAlign w:val="center"/>
          </w:tcPr>
          <w:p w:rsidR="00E05508" w:rsidRDefault="00E05508" w:rsidP="00ED144B">
            <w:pPr>
              <w:spacing w:after="160" w:line="259" w:lineRule="auto"/>
            </w:pPr>
            <w:r>
              <w:t>Comités Local</w:t>
            </w:r>
            <w:r w:rsidRPr="00E05508">
              <w:t xml:space="preserve"> de Développement</w:t>
            </w:r>
          </w:p>
        </w:tc>
      </w:tr>
      <w:tr w:rsidR="00E05508" w:rsidTr="00ED144B">
        <w:trPr>
          <w:trHeight w:hRule="exact" w:val="288"/>
        </w:trPr>
        <w:tc>
          <w:tcPr>
            <w:tcW w:w="2754" w:type="dxa"/>
            <w:vAlign w:val="center"/>
          </w:tcPr>
          <w:p w:rsidR="00E05508" w:rsidRDefault="0024009E" w:rsidP="00E05508">
            <w:pPr>
              <w:spacing w:after="160" w:line="259" w:lineRule="auto"/>
              <w:jc w:val="center"/>
            </w:pPr>
            <w:r>
              <w:t>CN-REDD</w:t>
            </w:r>
          </w:p>
        </w:tc>
        <w:tc>
          <w:tcPr>
            <w:tcW w:w="7068" w:type="dxa"/>
            <w:vAlign w:val="center"/>
          </w:tcPr>
          <w:p w:rsidR="00E05508" w:rsidRDefault="0024009E" w:rsidP="00ED144B">
            <w:pPr>
              <w:spacing w:after="160" w:line="259" w:lineRule="auto"/>
            </w:pPr>
            <w:r w:rsidRPr="0024009E">
              <w:t>Coordination Nationale REDD+</w:t>
            </w:r>
          </w:p>
        </w:tc>
      </w:tr>
      <w:tr w:rsidR="00E05508" w:rsidTr="00ED144B">
        <w:trPr>
          <w:trHeight w:hRule="exact" w:val="288"/>
        </w:trPr>
        <w:tc>
          <w:tcPr>
            <w:tcW w:w="2754" w:type="dxa"/>
            <w:vAlign w:val="center"/>
          </w:tcPr>
          <w:p w:rsidR="00E05508" w:rsidRDefault="00EB3841" w:rsidP="00E05508">
            <w:pPr>
              <w:spacing w:after="160" w:line="259" w:lineRule="auto"/>
              <w:jc w:val="center"/>
            </w:pPr>
            <w:r w:rsidRPr="00EB3841">
              <w:t>CONAPAC</w:t>
            </w:r>
          </w:p>
        </w:tc>
        <w:tc>
          <w:tcPr>
            <w:tcW w:w="7068" w:type="dxa"/>
            <w:vAlign w:val="center"/>
          </w:tcPr>
          <w:p w:rsidR="00E05508" w:rsidRDefault="00EB3841" w:rsidP="00ED144B">
            <w:pPr>
              <w:spacing w:after="160" w:line="259" w:lineRule="auto"/>
            </w:pPr>
            <w:r w:rsidRPr="00EB3841">
              <w:t>Confédération Nationale des Producteurs Agricoles du Congo</w:t>
            </w:r>
          </w:p>
        </w:tc>
      </w:tr>
      <w:tr w:rsidR="007E73FA" w:rsidTr="00ED144B">
        <w:trPr>
          <w:trHeight w:hRule="exact" w:val="288"/>
        </w:trPr>
        <w:tc>
          <w:tcPr>
            <w:tcW w:w="2754" w:type="dxa"/>
            <w:vAlign w:val="center"/>
          </w:tcPr>
          <w:p w:rsidR="007E73FA" w:rsidRPr="00EB3841" w:rsidRDefault="007E73FA" w:rsidP="00E05508">
            <w:pPr>
              <w:spacing w:after="160" w:line="259" w:lineRule="auto"/>
              <w:jc w:val="center"/>
            </w:pPr>
            <w:r>
              <w:t>CT</w:t>
            </w:r>
          </w:p>
        </w:tc>
        <w:tc>
          <w:tcPr>
            <w:tcW w:w="7068" w:type="dxa"/>
            <w:vAlign w:val="center"/>
          </w:tcPr>
          <w:p w:rsidR="007E73FA" w:rsidRPr="00EB3841" w:rsidRDefault="007E73FA" w:rsidP="00EB3841">
            <w:pPr>
              <w:spacing w:after="160" w:line="259" w:lineRule="auto"/>
            </w:pPr>
            <w:r>
              <w:t>Chef de Terre</w:t>
            </w:r>
          </w:p>
        </w:tc>
      </w:tr>
      <w:tr w:rsidR="00E05508" w:rsidTr="00ED144B">
        <w:trPr>
          <w:trHeight w:hRule="exact" w:val="288"/>
        </w:trPr>
        <w:tc>
          <w:tcPr>
            <w:tcW w:w="2754" w:type="dxa"/>
            <w:vAlign w:val="center"/>
          </w:tcPr>
          <w:p w:rsidR="00E05508" w:rsidRDefault="00EB3841" w:rsidP="00E05508">
            <w:pPr>
              <w:spacing w:after="160" w:line="259" w:lineRule="auto"/>
              <w:jc w:val="center"/>
            </w:pPr>
            <w:r>
              <w:t>CTR</w:t>
            </w:r>
          </w:p>
        </w:tc>
        <w:tc>
          <w:tcPr>
            <w:tcW w:w="7068" w:type="dxa"/>
            <w:vAlign w:val="center"/>
          </w:tcPr>
          <w:p w:rsidR="00E05508" w:rsidRDefault="00EB3841" w:rsidP="00ED144B">
            <w:pPr>
              <w:spacing w:after="160" w:line="259" w:lineRule="auto"/>
            </w:pPr>
            <w:r w:rsidRPr="00EB3841">
              <w:t>Comité Technique de Suivi</w:t>
            </w:r>
            <w:r>
              <w:t xml:space="preserve"> et Évaluation des Réformes</w:t>
            </w:r>
          </w:p>
        </w:tc>
      </w:tr>
      <w:tr w:rsidR="00E05508" w:rsidTr="00ED144B">
        <w:trPr>
          <w:trHeight w:hRule="exact" w:val="288"/>
        </w:trPr>
        <w:tc>
          <w:tcPr>
            <w:tcW w:w="2754" w:type="dxa"/>
            <w:vAlign w:val="center"/>
          </w:tcPr>
          <w:p w:rsidR="00E05508" w:rsidRDefault="00EB3841" w:rsidP="00E05508">
            <w:pPr>
              <w:spacing w:after="160" w:line="259" w:lineRule="auto"/>
              <w:jc w:val="center"/>
            </w:pPr>
            <w:r>
              <w:t>DDD</w:t>
            </w:r>
          </w:p>
        </w:tc>
        <w:tc>
          <w:tcPr>
            <w:tcW w:w="7068" w:type="dxa"/>
            <w:vAlign w:val="center"/>
          </w:tcPr>
          <w:p w:rsidR="00E05508" w:rsidRDefault="00EB3841" w:rsidP="00ED144B">
            <w:pPr>
              <w:spacing w:after="160" w:line="259" w:lineRule="auto"/>
            </w:pPr>
            <w:r w:rsidRPr="00EB3841">
              <w:t xml:space="preserve">Direction du Développement Durable </w:t>
            </w:r>
            <w:r>
              <w:t>du MECNDD</w:t>
            </w:r>
          </w:p>
        </w:tc>
      </w:tr>
      <w:tr w:rsidR="00AE6F5F" w:rsidTr="00ED144B">
        <w:trPr>
          <w:trHeight w:hRule="exact" w:val="288"/>
        </w:trPr>
        <w:tc>
          <w:tcPr>
            <w:tcW w:w="2754" w:type="dxa"/>
            <w:vAlign w:val="center"/>
          </w:tcPr>
          <w:p w:rsidR="00AE6F5F" w:rsidRDefault="00AE6F5F" w:rsidP="00E05508">
            <w:pPr>
              <w:spacing w:after="160" w:line="259" w:lineRule="auto"/>
              <w:jc w:val="center"/>
            </w:pPr>
            <w:r>
              <w:t>DGCI</w:t>
            </w:r>
          </w:p>
        </w:tc>
        <w:tc>
          <w:tcPr>
            <w:tcW w:w="7068" w:type="dxa"/>
            <w:vAlign w:val="center"/>
          </w:tcPr>
          <w:p w:rsidR="00AE6F5F" w:rsidRPr="00EB3841" w:rsidRDefault="00AE6F5F">
            <w:pPr>
              <w:spacing w:after="160" w:line="259" w:lineRule="auto"/>
            </w:pPr>
            <w:r w:rsidRPr="00AE6F5F">
              <w:t>Directorat Général d</w:t>
            </w:r>
            <w:r>
              <w:t>e la Coopération Internationale</w:t>
            </w:r>
          </w:p>
        </w:tc>
      </w:tr>
      <w:tr w:rsidR="00EB3841" w:rsidTr="00ED144B">
        <w:trPr>
          <w:trHeight w:hRule="exact" w:val="288"/>
        </w:trPr>
        <w:tc>
          <w:tcPr>
            <w:tcW w:w="2754" w:type="dxa"/>
            <w:vAlign w:val="center"/>
          </w:tcPr>
          <w:p w:rsidR="00EB3841" w:rsidRDefault="00EB3841" w:rsidP="00EB3841">
            <w:pPr>
              <w:spacing w:after="160" w:line="259" w:lineRule="auto"/>
              <w:jc w:val="center"/>
            </w:pPr>
            <w:r>
              <w:t>DIAF</w:t>
            </w:r>
          </w:p>
        </w:tc>
        <w:tc>
          <w:tcPr>
            <w:tcW w:w="7068" w:type="dxa"/>
            <w:vAlign w:val="center"/>
          </w:tcPr>
          <w:p w:rsidR="00EB3841" w:rsidRPr="00EB3841" w:rsidRDefault="00EB3841" w:rsidP="00EB3841">
            <w:pPr>
              <w:spacing w:after="160" w:line="259" w:lineRule="auto"/>
            </w:pPr>
            <w:r w:rsidRPr="00EB3841">
              <w:t xml:space="preserve">Direction des Inventaires et de l'Aménagement Forestier </w:t>
            </w:r>
            <w:r>
              <w:t>du MECNDD</w:t>
            </w:r>
          </w:p>
        </w:tc>
      </w:tr>
      <w:tr w:rsidR="00EB3841" w:rsidTr="00ED144B">
        <w:trPr>
          <w:trHeight w:hRule="exact" w:val="288"/>
        </w:trPr>
        <w:tc>
          <w:tcPr>
            <w:tcW w:w="2754" w:type="dxa"/>
            <w:vAlign w:val="center"/>
          </w:tcPr>
          <w:p w:rsidR="00EB3841" w:rsidRDefault="00EB3841" w:rsidP="00EB3841">
            <w:pPr>
              <w:spacing w:after="160" w:line="259" w:lineRule="auto"/>
              <w:jc w:val="center"/>
            </w:pPr>
            <w:r>
              <w:t>DSCRP</w:t>
            </w:r>
          </w:p>
        </w:tc>
        <w:tc>
          <w:tcPr>
            <w:tcW w:w="7068" w:type="dxa"/>
            <w:vAlign w:val="center"/>
          </w:tcPr>
          <w:p w:rsidR="00EB3841" w:rsidRDefault="00EB3841" w:rsidP="00ED144B">
            <w:pPr>
              <w:spacing w:after="160" w:line="259" w:lineRule="auto"/>
            </w:pPr>
            <w:r w:rsidRPr="003104C7">
              <w:t>Document de Stratégie de Croissance et de Réduction de la Pauvreté</w:t>
            </w:r>
          </w:p>
        </w:tc>
      </w:tr>
      <w:tr w:rsidR="00EB3841" w:rsidTr="00ED144B">
        <w:trPr>
          <w:trHeight w:hRule="exact" w:val="288"/>
        </w:trPr>
        <w:tc>
          <w:tcPr>
            <w:tcW w:w="2754" w:type="dxa"/>
            <w:vAlign w:val="center"/>
          </w:tcPr>
          <w:p w:rsidR="00EB3841" w:rsidRDefault="00EB3841" w:rsidP="00EB3841">
            <w:pPr>
              <w:spacing w:after="160" w:line="259" w:lineRule="auto"/>
              <w:jc w:val="center"/>
            </w:pPr>
            <w:r w:rsidRPr="0024009E">
              <w:t>EESS</w:t>
            </w:r>
          </w:p>
        </w:tc>
        <w:tc>
          <w:tcPr>
            <w:tcW w:w="7068" w:type="dxa"/>
            <w:vAlign w:val="center"/>
          </w:tcPr>
          <w:p w:rsidR="00EB3841" w:rsidRDefault="00EB3841" w:rsidP="00ED144B">
            <w:pPr>
              <w:spacing w:after="160" w:line="259" w:lineRule="auto"/>
            </w:pPr>
            <w:r>
              <w:t>Evaluation Environnementale et Sociale Stratégique</w:t>
            </w:r>
          </w:p>
        </w:tc>
      </w:tr>
      <w:tr w:rsidR="00EB3841" w:rsidTr="00ED144B">
        <w:trPr>
          <w:trHeight w:hRule="exact" w:val="288"/>
        </w:trPr>
        <w:tc>
          <w:tcPr>
            <w:tcW w:w="2754" w:type="dxa"/>
            <w:vAlign w:val="center"/>
          </w:tcPr>
          <w:p w:rsidR="00EB3841" w:rsidRPr="0024009E" w:rsidRDefault="00EB3841" w:rsidP="00EB3841">
            <w:pPr>
              <w:spacing w:after="160" w:line="259" w:lineRule="auto"/>
              <w:jc w:val="center"/>
            </w:pPr>
            <w:r w:rsidRPr="006C76DC">
              <w:t>EFIR</w:t>
            </w:r>
          </w:p>
        </w:tc>
        <w:tc>
          <w:tcPr>
            <w:tcW w:w="7068" w:type="dxa"/>
            <w:vAlign w:val="center"/>
          </w:tcPr>
          <w:p w:rsidR="00EB3841" w:rsidRDefault="00EB3841">
            <w:pPr>
              <w:spacing w:after="160" w:line="259" w:lineRule="auto"/>
            </w:pPr>
            <w:r w:rsidRPr="006C76DC">
              <w:t>Exploitation Forestière à Impact Réduit</w:t>
            </w:r>
          </w:p>
        </w:tc>
      </w:tr>
      <w:tr w:rsidR="00816D9D" w:rsidTr="00ED144B">
        <w:trPr>
          <w:trHeight w:hRule="exact" w:val="288"/>
        </w:trPr>
        <w:tc>
          <w:tcPr>
            <w:tcW w:w="2754" w:type="dxa"/>
            <w:vAlign w:val="center"/>
          </w:tcPr>
          <w:p w:rsidR="00816D9D" w:rsidRPr="006C76DC" w:rsidRDefault="00816D9D" w:rsidP="00EB3841">
            <w:pPr>
              <w:spacing w:after="160" w:line="259" w:lineRule="auto"/>
              <w:jc w:val="center"/>
            </w:pPr>
            <w:r>
              <w:t>ETD</w:t>
            </w:r>
          </w:p>
        </w:tc>
        <w:tc>
          <w:tcPr>
            <w:tcW w:w="7068" w:type="dxa"/>
            <w:vAlign w:val="center"/>
          </w:tcPr>
          <w:p w:rsidR="00816D9D" w:rsidRPr="006C76DC" w:rsidRDefault="00816D9D" w:rsidP="00EB3841">
            <w:pPr>
              <w:spacing w:after="160" w:line="259" w:lineRule="auto"/>
            </w:pPr>
            <w:r>
              <w:t>Entité Territoriale de Base Décentralisée</w:t>
            </w:r>
          </w:p>
        </w:tc>
      </w:tr>
      <w:tr w:rsidR="000C4700" w:rsidTr="00ED144B">
        <w:trPr>
          <w:trHeight w:hRule="exact" w:val="288"/>
        </w:trPr>
        <w:tc>
          <w:tcPr>
            <w:tcW w:w="2754" w:type="dxa"/>
            <w:vAlign w:val="center"/>
          </w:tcPr>
          <w:p w:rsidR="000C4700" w:rsidRDefault="000C4700" w:rsidP="00EB3841">
            <w:pPr>
              <w:spacing w:after="160" w:line="259" w:lineRule="auto"/>
              <w:jc w:val="center"/>
            </w:pPr>
            <w:r>
              <w:t>FAO</w:t>
            </w:r>
          </w:p>
        </w:tc>
        <w:tc>
          <w:tcPr>
            <w:tcW w:w="7068" w:type="dxa"/>
            <w:vAlign w:val="center"/>
          </w:tcPr>
          <w:p w:rsidR="000C4700" w:rsidRDefault="000C4700" w:rsidP="00EB3841">
            <w:pPr>
              <w:spacing w:after="160" w:line="259" w:lineRule="auto"/>
            </w:pPr>
            <w:r>
              <w:t>Organisation des Nations Unies pour l'Alimentation et l'A</w:t>
            </w:r>
            <w:r w:rsidRPr="000C4700">
              <w:t>griculture</w:t>
            </w:r>
          </w:p>
        </w:tc>
      </w:tr>
      <w:tr w:rsidR="00413A41" w:rsidTr="00ED144B">
        <w:trPr>
          <w:trHeight w:hRule="exact" w:val="288"/>
        </w:trPr>
        <w:tc>
          <w:tcPr>
            <w:tcW w:w="2754" w:type="dxa"/>
            <w:vAlign w:val="center"/>
          </w:tcPr>
          <w:p w:rsidR="00413A41" w:rsidRDefault="00413A41" w:rsidP="00EB3841">
            <w:pPr>
              <w:spacing w:after="160" w:line="259" w:lineRule="auto"/>
              <w:jc w:val="center"/>
            </w:pPr>
            <w:r>
              <w:t>FC</w:t>
            </w:r>
          </w:p>
        </w:tc>
        <w:tc>
          <w:tcPr>
            <w:tcW w:w="7068" w:type="dxa"/>
            <w:vAlign w:val="center"/>
          </w:tcPr>
          <w:p w:rsidR="00413A41" w:rsidRDefault="00413A41" w:rsidP="00EB3841">
            <w:pPr>
              <w:spacing w:after="160" w:line="259" w:lineRule="auto"/>
            </w:pPr>
            <w:r>
              <w:t>Franc Congolais</w:t>
            </w:r>
          </w:p>
        </w:tc>
      </w:tr>
      <w:tr w:rsidR="00EB3841" w:rsidTr="00ED144B">
        <w:trPr>
          <w:trHeight w:hRule="exact" w:val="288"/>
        </w:trPr>
        <w:tc>
          <w:tcPr>
            <w:tcW w:w="2754" w:type="dxa"/>
            <w:vAlign w:val="center"/>
          </w:tcPr>
          <w:p w:rsidR="00EB3841" w:rsidRDefault="00EB3841" w:rsidP="00EB3841">
            <w:pPr>
              <w:spacing w:after="160" w:line="259" w:lineRule="auto"/>
              <w:jc w:val="center"/>
            </w:pPr>
            <w:r w:rsidRPr="0024009E">
              <w:t>FCPF</w:t>
            </w:r>
          </w:p>
        </w:tc>
        <w:tc>
          <w:tcPr>
            <w:tcW w:w="7068" w:type="dxa"/>
            <w:vAlign w:val="center"/>
          </w:tcPr>
          <w:p w:rsidR="00EB3841" w:rsidRDefault="00EB3841" w:rsidP="00ED144B">
            <w:pPr>
              <w:spacing w:after="160" w:line="259" w:lineRule="auto"/>
            </w:pPr>
            <w:r>
              <w:t>Fonds de Partenariat pour le Carbone Forestier</w:t>
            </w:r>
          </w:p>
        </w:tc>
      </w:tr>
      <w:tr w:rsidR="00AB2881" w:rsidTr="00ED144B">
        <w:trPr>
          <w:trHeight w:hRule="exact" w:val="288"/>
        </w:trPr>
        <w:tc>
          <w:tcPr>
            <w:tcW w:w="2754" w:type="dxa"/>
            <w:vAlign w:val="center"/>
          </w:tcPr>
          <w:p w:rsidR="00AB2881" w:rsidRPr="0024009E" w:rsidRDefault="00AB2881" w:rsidP="00EB3841">
            <w:pPr>
              <w:spacing w:after="160" w:line="259" w:lineRule="auto"/>
              <w:jc w:val="center"/>
            </w:pPr>
            <w:r>
              <w:t>FIB</w:t>
            </w:r>
          </w:p>
        </w:tc>
        <w:tc>
          <w:tcPr>
            <w:tcW w:w="7068" w:type="dxa"/>
            <w:vAlign w:val="center"/>
          </w:tcPr>
          <w:p w:rsidR="00AB2881" w:rsidRDefault="00AB2881" w:rsidP="00EB3841">
            <w:pPr>
              <w:spacing w:after="160" w:line="259" w:lineRule="auto"/>
            </w:pPr>
            <w:r w:rsidRPr="00AB2881">
              <w:t>Fédérat</w:t>
            </w:r>
            <w:r>
              <w:t>ion des Industries du Bois</w:t>
            </w:r>
          </w:p>
        </w:tc>
      </w:tr>
      <w:tr w:rsidR="0009077D" w:rsidTr="00ED144B">
        <w:trPr>
          <w:trHeight w:hRule="exact" w:val="288"/>
        </w:trPr>
        <w:tc>
          <w:tcPr>
            <w:tcW w:w="2754" w:type="dxa"/>
            <w:vAlign w:val="center"/>
          </w:tcPr>
          <w:p w:rsidR="0009077D" w:rsidRDefault="0009077D" w:rsidP="00EB3841">
            <w:pPr>
              <w:spacing w:after="160" w:line="259" w:lineRule="auto"/>
              <w:jc w:val="center"/>
            </w:pPr>
            <w:r w:rsidRPr="0009077D">
              <w:t>FONAREDD</w:t>
            </w:r>
          </w:p>
        </w:tc>
        <w:tc>
          <w:tcPr>
            <w:tcW w:w="7068" w:type="dxa"/>
            <w:vAlign w:val="center"/>
          </w:tcPr>
          <w:p w:rsidR="0009077D" w:rsidRPr="00AB2881" w:rsidRDefault="0009077D">
            <w:pPr>
              <w:spacing w:after="160" w:line="259" w:lineRule="auto"/>
            </w:pPr>
            <w:r w:rsidRPr="0009077D">
              <w:t>Fonds National REDD+</w:t>
            </w:r>
          </w:p>
        </w:tc>
      </w:tr>
      <w:tr w:rsidR="00EB3841" w:rsidTr="00ED144B">
        <w:trPr>
          <w:trHeight w:hRule="exact" w:val="288"/>
        </w:trPr>
        <w:tc>
          <w:tcPr>
            <w:tcW w:w="2754" w:type="dxa"/>
            <w:vAlign w:val="center"/>
          </w:tcPr>
          <w:p w:rsidR="00EB3841" w:rsidRDefault="00EB3841" w:rsidP="00EB3841">
            <w:pPr>
              <w:spacing w:after="160" w:line="259" w:lineRule="auto"/>
              <w:jc w:val="center"/>
            </w:pPr>
            <w:r>
              <w:t>FSC</w:t>
            </w:r>
          </w:p>
        </w:tc>
        <w:tc>
          <w:tcPr>
            <w:tcW w:w="7068" w:type="dxa"/>
            <w:vAlign w:val="center"/>
          </w:tcPr>
          <w:p w:rsidR="00EB3841" w:rsidRDefault="00EB3841" w:rsidP="00ED144B">
            <w:pPr>
              <w:spacing w:after="160" w:line="259" w:lineRule="auto"/>
            </w:pPr>
            <w:r w:rsidRPr="0024009E">
              <w:t>Fond</w:t>
            </w:r>
            <w:r>
              <w:t>s  Stratégique pour le Climat</w:t>
            </w:r>
          </w:p>
        </w:tc>
      </w:tr>
      <w:tr w:rsidR="00E057A3" w:rsidTr="00ED144B">
        <w:trPr>
          <w:trHeight w:hRule="exact" w:val="288"/>
        </w:trPr>
        <w:tc>
          <w:tcPr>
            <w:tcW w:w="2754" w:type="dxa"/>
            <w:vAlign w:val="center"/>
          </w:tcPr>
          <w:p w:rsidR="00E057A3" w:rsidRDefault="00E057A3" w:rsidP="00EB3841">
            <w:pPr>
              <w:spacing w:after="160" w:line="259" w:lineRule="auto"/>
              <w:jc w:val="center"/>
            </w:pPr>
            <w:r>
              <w:t>GDF</w:t>
            </w:r>
          </w:p>
        </w:tc>
        <w:tc>
          <w:tcPr>
            <w:tcW w:w="7068" w:type="dxa"/>
            <w:vAlign w:val="center"/>
          </w:tcPr>
          <w:p w:rsidR="00E057A3" w:rsidRPr="0024009E" w:rsidRDefault="00E057A3" w:rsidP="00E057A3">
            <w:pPr>
              <w:spacing w:after="160" w:line="259" w:lineRule="auto"/>
            </w:pPr>
            <w:r w:rsidRPr="00E057A3">
              <w:t>Gestion Durable des Forêts</w:t>
            </w:r>
          </w:p>
        </w:tc>
      </w:tr>
      <w:tr w:rsidR="00EB3841" w:rsidTr="00ED144B">
        <w:trPr>
          <w:trHeight w:hRule="exact" w:val="288"/>
        </w:trPr>
        <w:tc>
          <w:tcPr>
            <w:tcW w:w="2754" w:type="dxa"/>
            <w:vAlign w:val="center"/>
          </w:tcPr>
          <w:p w:rsidR="00EB3841" w:rsidRDefault="00EB3841" w:rsidP="00EB3841">
            <w:pPr>
              <w:spacing w:after="160" w:line="259" w:lineRule="auto"/>
              <w:jc w:val="center"/>
            </w:pPr>
            <w:r>
              <w:t>GTCR</w:t>
            </w:r>
            <w:r w:rsidR="00AB2881">
              <w:t xml:space="preserve"> rénové</w:t>
            </w:r>
          </w:p>
        </w:tc>
        <w:tc>
          <w:tcPr>
            <w:tcW w:w="7068" w:type="dxa"/>
            <w:vAlign w:val="center"/>
          </w:tcPr>
          <w:p w:rsidR="00EB3841" w:rsidRDefault="00EB3841" w:rsidP="00ED144B">
            <w:pPr>
              <w:spacing w:after="160" w:line="259" w:lineRule="auto"/>
            </w:pPr>
            <w:r w:rsidRPr="0024009E">
              <w:t>Groupe de Travail Climat REDD+</w:t>
            </w:r>
            <w:r w:rsidR="003578D5">
              <w:t xml:space="preserve"> </w:t>
            </w:r>
            <w:r w:rsidR="003578D5" w:rsidRPr="003578D5">
              <w:t>rénové</w:t>
            </w:r>
          </w:p>
        </w:tc>
      </w:tr>
      <w:tr w:rsidR="00EB3841" w:rsidTr="00ED144B">
        <w:trPr>
          <w:trHeight w:hRule="exact" w:val="288"/>
        </w:trPr>
        <w:tc>
          <w:tcPr>
            <w:tcW w:w="2754" w:type="dxa"/>
            <w:vAlign w:val="center"/>
          </w:tcPr>
          <w:p w:rsidR="00EB3841" w:rsidRDefault="006379AE" w:rsidP="00EB3841">
            <w:pPr>
              <w:spacing w:after="160" w:line="259" w:lineRule="auto"/>
              <w:jc w:val="center"/>
            </w:pPr>
            <w:r w:rsidRPr="006379AE">
              <w:t>INERA</w:t>
            </w:r>
          </w:p>
        </w:tc>
        <w:tc>
          <w:tcPr>
            <w:tcW w:w="7068" w:type="dxa"/>
            <w:vAlign w:val="center"/>
          </w:tcPr>
          <w:p w:rsidR="00EB3841" w:rsidRDefault="006379AE" w:rsidP="00ED144B">
            <w:pPr>
              <w:spacing w:after="160" w:line="259" w:lineRule="auto"/>
            </w:pPr>
            <w:r w:rsidRPr="006379AE">
              <w:t>Institut national d’étude et d</w:t>
            </w:r>
            <w:r>
              <w:t>e recherches agronomiques</w:t>
            </w:r>
          </w:p>
        </w:tc>
      </w:tr>
      <w:tr w:rsidR="00EB3841" w:rsidTr="00ED144B">
        <w:trPr>
          <w:trHeight w:hRule="exact" w:val="559"/>
        </w:trPr>
        <w:tc>
          <w:tcPr>
            <w:tcW w:w="2754" w:type="dxa"/>
            <w:vAlign w:val="center"/>
          </w:tcPr>
          <w:p w:rsidR="00EB3841" w:rsidRDefault="00EB3841" w:rsidP="00EB3841">
            <w:pPr>
              <w:spacing w:after="160" w:line="259" w:lineRule="auto"/>
              <w:jc w:val="center"/>
            </w:pPr>
            <w:r w:rsidRPr="00D8001C">
              <w:t>MECNDD</w:t>
            </w:r>
          </w:p>
        </w:tc>
        <w:tc>
          <w:tcPr>
            <w:tcW w:w="7068" w:type="dxa"/>
            <w:vAlign w:val="center"/>
          </w:tcPr>
          <w:p w:rsidR="00EB3841" w:rsidRDefault="00EB3841" w:rsidP="00ED144B">
            <w:pPr>
              <w:spacing w:after="160" w:line="259" w:lineRule="auto"/>
            </w:pPr>
            <w:r w:rsidRPr="00D8001C">
              <w:t xml:space="preserve">Ministère de l’Environnement, Conservation de la Nature et </w:t>
            </w:r>
            <w:r>
              <w:t>Développement Durable</w:t>
            </w:r>
          </w:p>
        </w:tc>
      </w:tr>
      <w:tr w:rsidR="00EB3841" w:rsidTr="00ED144B">
        <w:trPr>
          <w:trHeight w:hRule="exact" w:val="288"/>
        </w:trPr>
        <w:tc>
          <w:tcPr>
            <w:tcW w:w="2754" w:type="dxa"/>
            <w:vAlign w:val="center"/>
          </w:tcPr>
          <w:p w:rsidR="00EB3841" w:rsidRDefault="00EB3841" w:rsidP="00EB3841">
            <w:pPr>
              <w:spacing w:after="160" w:line="259" w:lineRule="auto"/>
              <w:jc w:val="center"/>
            </w:pPr>
            <w:r>
              <w:t>MSD</w:t>
            </w:r>
          </w:p>
        </w:tc>
        <w:tc>
          <w:tcPr>
            <w:tcW w:w="7068" w:type="dxa"/>
            <w:vAlign w:val="center"/>
          </w:tcPr>
          <w:p w:rsidR="00EB3841" w:rsidRDefault="00EB3841" w:rsidP="00ED144B">
            <w:pPr>
              <w:spacing w:after="160" w:line="259" w:lineRule="auto"/>
            </w:pPr>
            <w:r>
              <w:t>Mécanisme Spécial de Dons</w:t>
            </w:r>
          </w:p>
        </w:tc>
      </w:tr>
      <w:tr w:rsidR="00EB3841" w:rsidTr="00ED144B">
        <w:trPr>
          <w:trHeight w:hRule="exact" w:val="288"/>
        </w:trPr>
        <w:tc>
          <w:tcPr>
            <w:tcW w:w="2754" w:type="dxa"/>
            <w:vAlign w:val="center"/>
          </w:tcPr>
          <w:p w:rsidR="00EB3841" w:rsidRDefault="00EB3841" w:rsidP="00EB3841">
            <w:pPr>
              <w:spacing w:after="160" w:line="259" w:lineRule="auto"/>
              <w:jc w:val="center"/>
            </w:pPr>
            <w:r>
              <w:t>OGF</w:t>
            </w:r>
          </w:p>
        </w:tc>
        <w:tc>
          <w:tcPr>
            <w:tcW w:w="7068" w:type="dxa"/>
            <w:vAlign w:val="center"/>
          </w:tcPr>
          <w:p w:rsidR="00EB3841" w:rsidRDefault="00EB3841" w:rsidP="00ED144B">
            <w:pPr>
              <w:spacing w:after="160" w:line="259" w:lineRule="auto"/>
            </w:pPr>
            <w:r w:rsidRPr="00EB3841">
              <w:t>Observatoire de la Gouvernance Forestière</w:t>
            </w:r>
          </w:p>
        </w:tc>
      </w:tr>
      <w:tr w:rsidR="00EB3841" w:rsidTr="00ED144B">
        <w:trPr>
          <w:trHeight w:hRule="exact" w:val="288"/>
        </w:trPr>
        <w:tc>
          <w:tcPr>
            <w:tcW w:w="2754" w:type="dxa"/>
            <w:vAlign w:val="center"/>
          </w:tcPr>
          <w:p w:rsidR="00EB3841" w:rsidRDefault="00EB3841" w:rsidP="00EB3841">
            <w:pPr>
              <w:spacing w:after="160" w:line="259" w:lineRule="auto"/>
              <w:jc w:val="center"/>
            </w:pPr>
            <w:r>
              <w:t>OMD</w:t>
            </w:r>
          </w:p>
        </w:tc>
        <w:tc>
          <w:tcPr>
            <w:tcW w:w="7068" w:type="dxa"/>
            <w:vAlign w:val="center"/>
          </w:tcPr>
          <w:p w:rsidR="00EB3841" w:rsidRDefault="00EB3841" w:rsidP="00ED144B">
            <w:pPr>
              <w:spacing w:after="160" w:line="259" w:lineRule="auto"/>
            </w:pPr>
            <w:r w:rsidRPr="003104C7">
              <w:t>Objectifs du Millén</w:t>
            </w:r>
            <w:r>
              <w:t>aire pour le Développement</w:t>
            </w:r>
          </w:p>
        </w:tc>
      </w:tr>
      <w:tr w:rsidR="00EB3841" w:rsidTr="00ED144B">
        <w:trPr>
          <w:trHeight w:hRule="exact" w:val="288"/>
        </w:trPr>
        <w:tc>
          <w:tcPr>
            <w:tcW w:w="2754" w:type="dxa"/>
            <w:vAlign w:val="center"/>
          </w:tcPr>
          <w:p w:rsidR="00EB3841" w:rsidRDefault="002629A5" w:rsidP="00EB3841">
            <w:pPr>
              <w:spacing w:after="160" w:line="259" w:lineRule="auto"/>
              <w:jc w:val="center"/>
            </w:pPr>
            <w:r>
              <w:t>ONG</w:t>
            </w:r>
          </w:p>
        </w:tc>
        <w:tc>
          <w:tcPr>
            <w:tcW w:w="7068" w:type="dxa"/>
            <w:vAlign w:val="center"/>
          </w:tcPr>
          <w:p w:rsidR="00EB3841" w:rsidRDefault="002629A5" w:rsidP="00ED144B">
            <w:pPr>
              <w:spacing w:after="160" w:line="259" w:lineRule="auto"/>
            </w:pPr>
            <w:r>
              <w:t>Organisation non gouvernementale</w:t>
            </w:r>
          </w:p>
        </w:tc>
      </w:tr>
      <w:tr w:rsidR="00351C77" w:rsidTr="00ED144B">
        <w:trPr>
          <w:trHeight w:hRule="exact" w:val="864"/>
        </w:trPr>
        <w:tc>
          <w:tcPr>
            <w:tcW w:w="2754" w:type="dxa"/>
            <w:vAlign w:val="center"/>
          </w:tcPr>
          <w:p w:rsidR="00351C77" w:rsidRDefault="00351C77" w:rsidP="00EB3841">
            <w:pPr>
              <w:spacing w:after="160" w:line="259" w:lineRule="auto"/>
              <w:jc w:val="center"/>
            </w:pPr>
            <w:r>
              <w:lastRenderedPageBreak/>
              <w:t>ONU-REDD (Programme)</w:t>
            </w:r>
          </w:p>
        </w:tc>
        <w:tc>
          <w:tcPr>
            <w:tcW w:w="7068" w:type="dxa"/>
            <w:vAlign w:val="center"/>
          </w:tcPr>
          <w:p w:rsidR="00351C77" w:rsidRDefault="00351C77" w:rsidP="00ED144B">
            <w:pPr>
              <w:spacing w:after="0" w:line="259" w:lineRule="auto"/>
            </w:pPr>
            <w:r>
              <w:t>Programme de collaboration des Nations Unies sur la Réduction</w:t>
            </w:r>
          </w:p>
          <w:p w:rsidR="00351C77" w:rsidRDefault="00351C77" w:rsidP="00ED144B">
            <w:pPr>
              <w:spacing w:after="0" w:line="259" w:lineRule="auto"/>
            </w:pPr>
            <w:r>
              <w:t>des Emissions liées à la Déforestation et à la Dégradation des forêts</w:t>
            </w:r>
          </w:p>
          <w:p w:rsidR="00351C77" w:rsidRDefault="00351C77" w:rsidP="00351C77">
            <w:pPr>
              <w:spacing w:after="160" w:line="259" w:lineRule="auto"/>
            </w:pPr>
            <w:r>
              <w:t>dans les pays en développement</w:t>
            </w:r>
          </w:p>
        </w:tc>
      </w:tr>
      <w:tr w:rsidR="00EB3841" w:rsidTr="00ED144B">
        <w:trPr>
          <w:trHeight w:hRule="exact" w:val="288"/>
        </w:trPr>
        <w:tc>
          <w:tcPr>
            <w:tcW w:w="2754" w:type="dxa"/>
            <w:vAlign w:val="center"/>
          </w:tcPr>
          <w:p w:rsidR="00EB3841" w:rsidRDefault="008834AB" w:rsidP="00EB3841">
            <w:pPr>
              <w:spacing w:after="160" w:line="259" w:lineRule="auto"/>
              <w:jc w:val="center"/>
            </w:pPr>
            <w:r>
              <w:t>OR</w:t>
            </w:r>
          </w:p>
        </w:tc>
        <w:tc>
          <w:tcPr>
            <w:tcW w:w="7068" w:type="dxa"/>
            <w:vAlign w:val="center"/>
          </w:tcPr>
          <w:p w:rsidR="00EB3841" w:rsidRDefault="008834AB" w:rsidP="00ED144B">
            <w:pPr>
              <w:spacing w:after="160" w:line="259" w:lineRule="auto"/>
            </w:pPr>
            <w:r>
              <w:t>Office des Routes</w:t>
            </w:r>
          </w:p>
        </w:tc>
      </w:tr>
      <w:tr w:rsidR="00EB3841" w:rsidTr="00ED144B">
        <w:trPr>
          <w:trHeight w:hRule="exact" w:val="288"/>
        </w:trPr>
        <w:tc>
          <w:tcPr>
            <w:tcW w:w="2754" w:type="dxa"/>
            <w:vAlign w:val="center"/>
          </w:tcPr>
          <w:p w:rsidR="00EB3841" w:rsidRDefault="00EB3841" w:rsidP="00EB3841">
            <w:pPr>
              <w:spacing w:after="160" w:line="259" w:lineRule="auto"/>
              <w:jc w:val="center"/>
            </w:pPr>
            <w:r>
              <w:t>PA</w:t>
            </w:r>
          </w:p>
        </w:tc>
        <w:tc>
          <w:tcPr>
            <w:tcW w:w="7068" w:type="dxa"/>
            <w:vAlign w:val="center"/>
          </w:tcPr>
          <w:p w:rsidR="00EB3841" w:rsidRDefault="00EB3841" w:rsidP="00ED144B">
            <w:pPr>
              <w:spacing w:after="160" w:line="259" w:lineRule="auto"/>
            </w:pPr>
            <w:r>
              <w:t>Peuples Autochtones</w:t>
            </w:r>
          </w:p>
        </w:tc>
      </w:tr>
      <w:tr w:rsidR="00137F5C" w:rsidTr="00ED144B">
        <w:trPr>
          <w:trHeight w:hRule="exact" w:val="288"/>
        </w:trPr>
        <w:tc>
          <w:tcPr>
            <w:tcW w:w="2754" w:type="dxa"/>
            <w:vAlign w:val="center"/>
          </w:tcPr>
          <w:p w:rsidR="00137F5C" w:rsidRDefault="00137F5C" w:rsidP="00EB3841">
            <w:pPr>
              <w:spacing w:after="160" w:line="259" w:lineRule="auto"/>
              <w:jc w:val="center"/>
            </w:pPr>
            <w:r>
              <w:t>PAB</w:t>
            </w:r>
          </w:p>
        </w:tc>
        <w:tc>
          <w:tcPr>
            <w:tcW w:w="7068" w:type="dxa"/>
            <w:vAlign w:val="center"/>
          </w:tcPr>
          <w:p w:rsidR="00137F5C" w:rsidRDefault="00137F5C" w:rsidP="00EB3841">
            <w:pPr>
              <w:spacing w:after="160" w:line="259" w:lineRule="auto"/>
            </w:pPr>
            <w:r w:rsidRPr="00137F5C">
              <w:t>Projet Agricole du Bandundu</w:t>
            </w:r>
          </w:p>
        </w:tc>
      </w:tr>
      <w:tr w:rsidR="000F63E9" w:rsidTr="00832BC4">
        <w:trPr>
          <w:trHeight w:hRule="exact" w:val="288"/>
        </w:trPr>
        <w:tc>
          <w:tcPr>
            <w:tcW w:w="2754" w:type="dxa"/>
            <w:vAlign w:val="center"/>
          </w:tcPr>
          <w:p w:rsidR="000F63E9" w:rsidRDefault="000F63E9" w:rsidP="00EB3841">
            <w:pPr>
              <w:spacing w:after="160" w:line="259" w:lineRule="auto"/>
              <w:jc w:val="center"/>
            </w:pPr>
            <w:r w:rsidRPr="000F63E9">
              <w:t>PACDF</w:t>
            </w:r>
          </w:p>
        </w:tc>
        <w:tc>
          <w:tcPr>
            <w:tcW w:w="7068" w:type="dxa"/>
            <w:vAlign w:val="center"/>
          </w:tcPr>
          <w:p w:rsidR="000F63E9" w:rsidRPr="00137F5C" w:rsidRDefault="000F63E9" w:rsidP="000F63E9">
            <w:pPr>
              <w:spacing w:after="160" w:line="259" w:lineRule="auto"/>
            </w:pPr>
            <w:r w:rsidRPr="000F63E9">
              <w:t>Projet d’Appui aux Communautés Dépendantes de la Forêt</w:t>
            </w:r>
          </w:p>
        </w:tc>
      </w:tr>
      <w:tr w:rsidR="008834AB" w:rsidTr="00ED144B">
        <w:trPr>
          <w:trHeight w:hRule="exact" w:val="288"/>
        </w:trPr>
        <w:tc>
          <w:tcPr>
            <w:tcW w:w="2754" w:type="dxa"/>
            <w:vAlign w:val="center"/>
          </w:tcPr>
          <w:p w:rsidR="008834AB" w:rsidRDefault="008834AB" w:rsidP="00EB3841">
            <w:pPr>
              <w:spacing w:after="160" w:line="259" w:lineRule="auto"/>
              <w:jc w:val="center"/>
            </w:pPr>
            <w:r>
              <w:t>PADIR</w:t>
            </w:r>
          </w:p>
        </w:tc>
        <w:tc>
          <w:tcPr>
            <w:tcW w:w="7068" w:type="dxa"/>
            <w:vAlign w:val="center"/>
          </w:tcPr>
          <w:p w:rsidR="008834AB" w:rsidRPr="00137F5C" w:rsidRDefault="008834AB">
            <w:pPr>
              <w:spacing w:after="160" w:line="259" w:lineRule="auto"/>
            </w:pPr>
            <w:r w:rsidRPr="008834AB">
              <w:t>Projet d’Appui au Développement des Infrastructures Rurales</w:t>
            </w:r>
          </w:p>
        </w:tc>
      </w:tr>
      <w:tr w:rsidR="00201EC1" w:rsidTr="00ED144B">
        <w:trPr>
          <w:trHeight w:hRule="exact" w:val="288"/>
        </w:trPr>
        <w:tc>
          <w:tcPr>
            <w:tcW w:w="2754" w:type="dxa"/>
            <w:vAlign w:val="center"/>
          </w:tcPr>
          <w:p w:rsidR="00201EC1" w:rsidRDefault="00201EC1" w:rsidP="00EB3841">
            <w:pPr>
              <w:spacing w:after="160" w:line="259" w:lineRule="auto"/>
              <w:jc w:val="center"/>
            </w:pPr>
            <w:r>
              <w:t>PARAU</w:t>
            </w:r>
          </w:p>
        </w:tc>
        <w:tc>
          <w:tcPr>
            <w:tcW w:w="7068" w:type="dxa"/>
            <w:vAlign w:val="center"/>
          </w:tcPr>
          <w:p w:rsidR="00201EC1" w:rsidRPr="00137F5C" w:rsidRDefault="00201EC1">
            <w:pPr>
              <w:spacing w:after="160" w:line="259" w:lineRule="auto"/>
            </w:pPr>
            <w:r w:rsidRPr="00201EC1">
              <w:t>Projet d’Appui à la Réhabilitation et à l’Aménagement Urbain</w:t>
            </w:r>
          </w:p>
        </w:tc>
      </w:tr>
      <w:tr w:rsidR="00EB3841" w:rsidTr="00ED144B">
        <w:trPr>
          <w:trHeight w:hRule="exact" w:val="288"/>
        </w:trPr>
        <w:tc>
          <w:tcPr>
            <w:tcW w:w="2754" w:type="dxa"/>
            <w:vAlign w:val="center"/>
          </w:tcPr>
          <w:p w:rsidR="00EB3841" w:rsidRDefault="00EB3841" w:rsidP="00EB3841">
            <w:pPr>
              <w:spacing w:after="160" w:line="259" w:lineRule="auto"/>
              <w:jc w:val="center"/>
            </w:pPr>
            <w:r>
              <w:t>PDD</w:t>
            </w:r>
          </w:p>
        </w:tc>
        <w:tc>
          <w:tcPr>
            <w:tcW w:w="7068" w:type="dxa"/>
            <w:vAlign w:val="center"/>
          </w:tcPr>
          <w:p w:rsidR="00EB3841" w:rsidRDefault="00EB3841" w:rsidP="00ED144B">
            <w:pPr>
              <w:spacing w:after="160" w:line="259" w:lineRule="auto"/>
            </w:pPr>
            <w:r>
              <w:t>Plan de Développement Durable</w:t>
            </w:r>
          </w:p>
        </w:tc>
      </w:tr>
      <w:tr w:rsidR="00EB3841" w:rsidTr="00ED144B">
        <w:trPr>
          <w:trHeight w:hRule="exact" w:val="288"/>
        </w:trPr>
        <w:tc>
          <w:tcPr>
            <w:tcW w:w="2754" w:type="dxa"/>
            <w:vAlign w:val="center"/>
          </w:tcPr>
          <w:p w:rsidR="00EB3841" w:rsidRDefault="00EB3841" w:rsidP="00EB3841">
            <w:pPr>
              <w:spacing w:after="160" w:line="259" w:lineRule="auto"/>
              <w:jc w:val="center"/>
            </w:pPr>
            <w:r>
              <w:t>PDPA</w:t>
            </w:r>
          </w:p>
        </w:tc>
        <w:tc>
          <w:tcPr>
            <w:tcW w:w="7068" w:type="dxa"/>
            <w:vAlign w:val="center"/>
          </w:tcPr>
          <w:p w:rsidR="00EB3841" w:rsidRDefault="00EB3841">
            <w:pPr>
              <w:spacing w:after="160" w:line="259" w:lineRule="auto"/>
            </w:pPr>
            <w:r>
              <w:t>Plan</w:t>
            </w:r>
            <w:r w:rsidRPr="004B0905">
              <w:t xml:space="preserve"> de Dévelo</w:t>
            </w:r>
            <w:r>
              <w:t>ppement des Peuples Autochtones</w:t>
            </w:r>
          </w:p>
        </w:tc>
      </w:tr>
      <w:tr w:rsidR="00595310" w:rsidTr="00832BC4">
        <w:trPr>
          <w:trHeight w:hRule="exact" w:val="288"/>
        </w:trPr>
        <w:tc>
          <w:tcPr>
            <w:tcW w:w="2754" w:type="dxa"/>
            <w:vAlign w:val="center"/>
          </w:tcPr>
          <w:p w:rsidR="00595310" w:rsidRDefault="00595310" w:rsidP="00EB3841">
            <w:pPr>
              <w:spacing w:after="160" w:line="259" w:lineRule="auto"/>
              <w:jc w:val="center"/>
            </w:pPr>
            <w:r>
              <w:t>PF</w:t>
            </w:r>
          </w:p>
        </w:tc>
        <w:tc>
          <w:tcPr>
            <w:tcW w:w="7068" w:type="dxa"/>
            <w:vAlign w:val="center"/>
          </w:tcPr>
          <w:p w:rsidR="00595310" w:rsidRDefault="00595310">
            <w:pPr>
              <w:spacing w:after="160" w:line="259" w:lineRule="auto"/>
            </w:pPr>
            <w:r w:rsidRPr="00595310">
              <w:t>Planification familiale</w:t>
            </w:r>
          </w:p>
        </w:tc>
      </w:tr>
      <w:tr w:rsidR="00EB3841" w:rsidTr="00ED144B">
        <w:trPr>
          <w:trHeight w:hRule="exact" w:val="288"/>
        </w:trPr>
        <w:tc>
          <w:tcPr>
            <w:tcW w:w="2754" w:type="dxa"/>
            <w:vAlign w:val="center"/>
          </w:tcPr>
          <w:p w:rsidR="00EB3841" w:rsidRDefault="00EB3841" w:rsidP="00EB3841">
            <w:pPr>
              <w:spacing w:after="160" w:line="259" w:lineRule="auto"/>
              <w:jc w:val="center"/>
            </w:pPr>
            <w:r>
              <w:t>PFBC</w:t>
            </w:r>
          </w:p>
        </w:tc>
        <w:tc>
          <w:tcPr>
            <w:tcW w:w="7068" w:type="dxa"/>
            <w:vAlign w:val="center"/>
          </w:tcPr>
          <w:p w:rsidR="00EB3841" w:rsidRDefault="00EB3841">
            <w:pPr>
              <w:spacing w:after="160" w:line="259" w:lineRule="auto"/>
            </w:pPr>
            <w:r w:rsidRPr="006C76DC">
              <w:t>Partenariat pou</w:t>
            </w:r>
            <w:r>
              <w:t>r les Forêts du Bassin du Congo</w:t>
            </w:r>
          </w:p>
        </w:tc>
      </w:tr>
      <w:tr w:rsidR="00EB3841" w:rsidTr="00ED144B">
        <w:trPr>
          <w:trHeight w:hRule="exact" w:val="288"/>
        </w:trPr>
        <w:tc>
          <w:tcPr>
            <w:tcW w:w="2754" w:type="dxa"/>
            <w:vAlign w:val="center"/>
          </w:tcPr>
          <w:p w:rsidR="00EB3841" w:rsidRDefault="00EB3841" w:rsidP="00EB3841">
            <w:pPr>
              <w:spacing w:after="160" w:line="259" w:lineRule="auto"/>
              <w:jc w:val="center"/>
            </w:pPr>
            <w:r>
              <w:t>PFCN</w:t>
            </w:r>
          </w:p>
        </w:tc>
        <w:tc>
          <w:tcPr>
            <w:tcW w:w="7068" w:type="dxa"/>
            <w:vAlign w:val="center"/>
          </w:tcPr>
          <w:p w:rsidR="00EB3841" w:rsidRDefault="00EB3841" w:rsidP="00EB3841">
            <w:pPr>
              <w:spacing w:after="160" w:line="259" w:lineRule="auto"/>
            </w:pPr>
            <w:r w:rsidRPr="004B0905">
              <w:t>Projet Forêt, Conservation de la Nature</w:t>
            </w:r>
          </w:p>
        </w:tc>
      </w:tr>
      <w:tr w:rsidR="00EB3841" w:rsidTr="00ED144B">
        <w:trPr>
          <w:trHeight w:hRule="exact" w:val="288"/>
        </w:trPr>
        <w:tc>
          <w:tcPr>
            <w:tcW w:w="2754" w:type="dxa"/>
            <w:vAlign w:val="center"/>
          </w:tcPr>
          <w:p w:rsidR="00EB3841" w:rsidRDefault="00EB3841" w:rsidP="00EB3841">
            <w:pPr>
              <w:spacing w:after="160" w:line="259" w:lineRule="auto"/>
              <w:jc w:val="center"/>
            </w:pPr>
            <w:r>
              <w:t>PGAPF</w:t>
            </w:r>
          </w:p>
        </w:tc>
        <w:tc>
          <w:tcPr>
            <w:tcW w:w="7068" w:type="dxa"/>
            <w:vAlign w:val="center"/>
          </w:tcPr>
          <w:p w:rsidR="00EB3841" w:rsidRPr="004B0905" w:rsidRDefault="00EB3841">
            <w:pPr>
              <w:spacing w:after="160" w:line="259" w:lineRule="auto"/>
            </w:pPr>
            <w:r w:rsidRPr="003104C7">
              <w:t>Projet de Gestion Améliorée des Paysages Forestiers</w:t>
            </w:r>
          </w:p>
        </w:tc>
      </w:tr>
      <w:tr w:rsidR="00EB3841" w:rsidTr="00ED144B">
        <w:trPr>
          <w:trHeight w:hRule="exact" w:val="288"/>
        </w:trPr>
        <w:tc>
          <w:tcPr>
            <w:tcW w:w="2754" w:type="dxa"/>
            <w:vAlign w:val="center"/>
          </w:tcPr>
          <w:p w:rsidR="00EB3841" w:rsidRDefault="00EB3841" w:rsidP="00EB3841">
            <w:pPr>
              <w:spacing w:after="160" w:line="259" w:lineRule="auto"/>
              <w:jc w:val="center"/>
            </w:pPr>
            <w:r>
              <w:t>PIF</w:t>
            </w:r>
          </w:p>
        </w:tc>
        <w:tc>
          <w:tcPr>
            <w:tcW w:w="7068" w:type="dxa"/>
            <w:vAlign w:val="center"/>
          </w:tcPr>
          <w:p w:rsidR="00EB3841" w:rsidRDefault="00EB3841" w:rsidP="00ED144B">
            <w:pPr>
              <w:spacing w:after="160" w:line="259" w:lineRule="auto"/>
            </w:pPr>
            <w:r w:rsidRPr="00E05508">
              <w:t>Programme pour l’Investissement Forestier</w:t>
            </w:r>
          </w:p>
        </w:tc>
      </w:tr>
      <w:tr w:rsidR="00EB3841" w:rsidTr="00ED144B">
        <w:trPr>
          <w:trHeight w:hRule="exact" w:val="288"/>
        </w:trPr>
        <w:tc>
          <w:tcPr>
            <w:tcW w:w="2754" w:type="dxa"/>
            <w:vAlign w:val="center"/>
          </w:tcPr>
          <w:p w:rsidR="00EB3841" w:rsidRDefault="00EB3841" w:rsidP="00EB3841">
            <w:pPr>
              <w:spacing w:after="160" w:line="259" w:lineRule="auto"/>
              <w:jc w:val="center"/>
            </w:pPr>
            <w:r>
              <w:t>PIREDD</w:t>
            </w:r>
          </w:p>
        </w:tc>
        <w:tc>
          <w:tcPr>
            <w:tcW w:w="7068" w:type="dxa"/>
            <w:vAlign w:val="center"/>
          </w:tcPr>
          <w:p w:rsidR="00EB3841" w:rsidRDefault="00EB3841" w:rsidP="00ED144B">
            <w:pPr>
              <w:spacing w:after="160" w:line="259" w:lineRule="auto"/>
            </w:pPr>
            <w:r>
              <w:t>Programme Intégré</w:t>
            </w:r>
            <w:r w:rsidRPr="00E05508">
              <w:t xml:space="preserve"> REDD+</w:t>
            </w:r>
          </w:p>
        </w:tc>
      </w:tr>
      <w:tr w:rsidR="00EB3841" w:rsidTr="00ED144B">
        <w:trPr>
          <w:trHeight w:hRule="exact" w:val="288"/>
        </w:trPr>
        <w:tc>
          <w:tcPr>
            <w:tcW w:w="2754" w:type="dxa"/>
            <w:vAlign w:val="center"/>
          </w:tcPr>
          <w:p w:rsidR="00EB3841" w:rsidRDefault="00EB3841" w:rsidP="00EB3841">
            <w:pPr>
              <w:spacing w:after="160" w:line="259" w:lineRule="auto"/>
              <w:jc w:val="center"/>
            </w:pPr>
            <w:r w:rsidRPr="0024009E">
              <w:t>PIREDD/MBKIS</w:t>
            </w:r>
          </w:p>
        </w:tc>
        <w:tc>
          <w:tcPr>
            <w:tcW w:w="7068" w:type="dxa"/>
            <w:vAlign w:val="center"/>
          </w:tcPr>
          <w:p w:rsidR="00EB3841" w:rsidRDefault="00EB3841">
            <w:pPr>
              <w:spacing w:after="160" w:line="259" w:lineRule="auto"/>
            </w:pPr>
            <w:r w:rsidRPr="0024009E">
              <w:t>Projet intégré REDD+ dans les bassins de Mbu</w:t>
            </w:r>
            <w:r>
              <w:t>ji-Mayi/Kananga et de Kisangani</w:t>
            </w:r>
          </w:p>
        </w:tc>
      </w:tr>
      <w:tr w:rsidR="000C4700" w:rsidTr="00ED144B">
        <w:trPr>
          <w:trHeight w:hRule="exact" w:val="288"/>
        </w:trPr>
        <w:tc>
          <w:tcPr>
            <w:tcW w:w="2754" w:type="dxa"/>
            <w:vAlign w:val="center"/>
          </w:tcPr>
          <w:p w:rsidR="000C4700" w:rsidRPr="0024009E" w:rsidRDefault="000C4700" w:rsidP="00EB3841">
            <w:pPr>
              <w:spacing w:after="160" w:line="259" w:lineRule="auto"/>
              <w:jc w:val="center"/>
            </w:pPr>
            <w:r>
              <w:t>PNUD</w:t>
            </w:r>
          </w:p>
        </w:tc>
        <w:tc>
          <w:tcPr>
            <w:tcW w:w="7068" w:type="dxa"/>
            <w:vAlign w:val="center"/>
          </w:tcPr>
          <w:p w:rsidR="000C4700" w:rsidRPr="0024009E" w:rsidRDefault="000C4700">
            <w:pPr>
              <w:spacing w:after="160" w:line="259" w:lineRule="auto"/>
            </w:pPr>
            <w:r>
              <w:t>Programme des Nations Unies pour le Développement</w:t>
            </w:r>
          </w:p>
        </w:tc>
      </w:tr>
      <w:tr w:rsidR="00EB3841" w:rsidTr="00ED144B">
        <w:trPr>
          <w:trHeight w:hRule="exact" w:val="288"/>
        </w:trPr>
        <w:tc>
          <w:tcPr>
            <w:tcW w:w="2754" w:type="dxa"/>
            <w:vAlign w:val="center"/>
          </w:tcPr>
          <w:p w:rsidR="00EB3841" w:rsidRDefault="00EB3841" w:rsidP="00EB3841">
            <w:pPr>
              <w:spacing w:after="160" w:line="259" w:lineRule="auto"/>
              <w:jc w:val="center"/>
            </w:pPr>
            <w:r>
              <w:t>PPA</w:t>
            </w:r>
          </w:p>
        </w:tc>
        <w:tc>
          <w:tcPr>
            <w:tcW w:w="7068" w:type="dxa"/>
            <w:vAlign w:val="center"/>
          </w:tcPr>
          <w:p w:rsidR="00EB3841" w:rsidRDefault="00EB3841" w:rsidP="00ED144B">
            <w:pPr>
              <w:spacing w:after="160" w:line="259" w:lineRule="auto"/>
            </w:pPr>
            <w:r w:rsidRPr="00E05508">
              <w:t>Plan po</w:t>
            </w:r>
            <w:r>
              <w:t>ur les Peuples Autochtones</w:t>
            </w:r>
          </w:p>
        </w:tc>
      </w:tr>
      <w:tr w:rsidR="00EB3841" w:rsidTr="00ED144B">
        <w:trPr>
          <w:trHeight w:hRule="exact" w:val="288"/>
        </w:trPr>
        <w:tc>
          <w:tcPr>
            <w:tcW w:w="2754" w:type="dxa"/>
            <w:vAlign w:val="center"/>
          </w:tcPr>
          <w:p w:rsidR="00EB3841" w:rsidRDefault="00EB3841" w:rsidP="00EB3841">
            <w:pPr>
              <w:spacing w:after="160" w:line="259" w:lineRule="auto"/>
              <w:jc w:val="center"/>
            </w:pPr>
            <w:r>
              <w:t>Programme RE</w:t>
            </w:r>
          </w:p>
        </w:tc>
        <w:tc>
          <w:tcPr>
            <w:tcW w:w="7068" w:type="dxa"/>
            <w:vAlign w:val="center"/>
          </w:tcPr>
          <w:p w:rsidR="00EB3841" w:rsidRDefault="00EB3841" w:rsidP="00ED144B">
            <w:pPr>
              <w:spacing w:after="160" w:line="259" w:lineRule="auto"/>
            </w:pPr>
            <w:r w:rsidRPr="00E05508">
              <w:t>Programme de Réduction des Emissions</w:t>
            </w:r>
          </w:p>
        </w:tc>
      </w:tr>
      <w:tr w:rsidR="00EB3841" w:rsidTr="00ED144B">
        <w:trPr>
          <w:trHeight w:hRule="exact" w:val="288"/>
        </w:trPr>
        <w:tc>
          <w:tcPr>
            <w:tcW w:w="2754" w:type="dxa"/>
            <w:vAlign w:val="center"/>
          </w:tcPr>
          <w:p w:rsidR="00EB3841" w:rsidRDefault="00EB3841" w:rsidP="00EB3841">
            <w:pPr>
              <w:spacing w:after="160" w:line="259" w:lineRule="auto"/>
              <w:jc w:val="center"/>
            </w:pPr>
            <w:r>
              <w:t>PSE</w:t>
            </w:r>
          </w:p>
        </w:tc>
        <w:tc>
          <w:tcPr>
            <w:tcW w:w="7068" w:type="dxa"/>
            <w:vAlign w:val="center"/>
          </w:tcPr>
          <w:p w:rsidR="00EB3841" w:rsidRPr="00E05508" w:rsidRDefault="00EB3841" w:rsidP="00EB3841">
            <w:pPr>
              <w:spacing w:after="160" w:line="259" w:lineRule="auto"/>
            </w:pPr>
            <w:r w:rsidRPr="00BA1ACA">
              <w:t>Paiements pou</w:t>
            </w:r>
            <w:r>
              <w:t>r Services Environnementaux</w:t>
            </w:r>
          </w:p>
        </w:tc>
      </w:tr>
      <w:tr w:rsidR="00EB3841" w:rsidTr="00ED144B">
        <w:trPr>
          <w:trHeight w:hRule="exact" w:val="288"/>
        </w:trPr>
        <w:tc>
          <w:tcPr>
            <w:tcW w:w="2754" w:type="dxa"/>
            <w:vAlign w:val="center"/>
          </w:tcPr>
          <w:p w:rsidR="00EB3841" w:rsidRDefault="00EB3841" w:rsidP="00EB3841">
            <w:pPr>
              <w:spacing w:after="160" w:line="259" w:lineRule="auto"/>
              <w:jc w:val="center"/>
            </w:pPr>
            <w:r>
              <w:t>PSG</w:t>
            </w:r>
          </w:p>
        </w:tc>
        <w:tc>
          <w:tcPr>
            <w:tcW w:w="7068" w:type="dxa"/>
            <w:vAlign w:val="center"/>
          </w:tcPr>
          <w:p w:rsidR="00EB3841" w:rsidRDefault="00EB3841" w:rsidP="00ED144B">
            <w:pPr>
              <w:spacing w:after="160" w:line="259" w:lineRule="auto"/>
            </w:pPr>
            <w:r>
              <w:t>Plan Simple de Gestion</w:t>
            </w:r>
          </w:p>
        </w:tc>
      </w:tr>
      <w:tr w:rsidR="00EB3841" w:rsidTr="00ED144B">
        <w:trPr>
          <w:trHeight w:hRule="exact" w:val="288"/>
        </w:trPr>
        <w:tc>
          <w:tcPr>
            <w:tcW w:w="2754" w:type="dxa"/>
            <w:vAlign w:val="center"/>
          </w:tcPr>
          <w:p w:rsidR="00EB3841" w:rsidRDefault="00EB3841" w:rsidP="00EB3841">
            <w:pPr>
              <w:spacing w:after="160" w:line="259" w:lineRule="auto"/>
              <w:jc w:val="center"/>
            </w:pPr>
            <w:r>
              <w:t>RE</w:t>
            </w:r>
          </w:p>
        </w:tc>
        <w:tc>
          <w:tcPr>
            <w:tcW w:w="7068" w:type="dxa"/>
            <w:vAlign w:val="center"/>
          </w:tcPr>
          <w:p w:rsidR="00EB3841" w:rsidRDefault="00EB3841" w:rsidP="00ED144B">
            <w:pPr>
              <w:spacing w:after="160" w:line="259" w:lineRule="auto"/>
            </w:pPr>
            <w:r>
              <w:t>Réduction d’Emission</w:t>
            </w:r>
          </w:p>
        </w:tc>
      </w:tr>
      <w:tr w:rsidR="00EB3841" w:rsidTr="00ED144B">
        <w:trPr>
          <w:trHeight w:hRule="exact" w:val="288"/>
        </w:trPr>
        <w:tc>
          <w:tcPr>
            <w:tcW w:w="2754" w:type="dxa"/>
            <w:vAlign w:val="center"/>
          </w:tcPr>
          <w:p w:rsidR="00EB3841" w:rsidRDefault="00AB2881" w:rsidP="00EB3841">
            <w:pPr>
              <w:spacing w:after="160" w:line="259" w:lineRule="auto"/>
              <w:jc w:val="center"/>
            </w:pPr>
            <w:r w:rsidRPr="00AB2881">
              <w:t>REPALEF</w:t>
            </w:r>
          </w:p>
        </w:tc>
        <w:tc>
          <w:tcPr>
            <w:tcW w:w="7068" w:type="dxa"/>
            <w:vAlign w:val="center"/>
          </w:tcPr>
          <w:p w:rsidR="00FD3F82" w:rsidRDefault="00FD3F82" w:rsidP="00ED144B">
            <w:pPr>
              <w:spacing w:after="160" w:line="259" w:lineRule="auto"/>
            </w:pPr>
            <w:r w:rsidRPr="00FD3F82">
              <w:t>Réseau des Populations Autochtones pour l</w:t>
            </w:r>
            <w:r>
              <w:t>a Gestion des Ecosystèmes</w:t>
            </w:r>
          </w:p>
          <w:p w:rsidR="00FD3F82" w:rsidRDefault="00FD3F82" w:rsidP="00ED144B">
            <w:pPr>
              <w:spacing w:after="160" w:line="259" w:lineRule="auto"/>
            </w:pPr>
          </w:p>
        </w:tc>
      </w:tr>
      <w:tr w:rsidR="00EB3841" w:rsidTr="00ED144B">
        <w:trPr>
          <w:trHeight w:hRule="exact" w:val="288"/>
        </w:trPr>
        <w:tc>
          <w:tcPr>
            <w:tcW w:w="2754" w:type="dxa"/>
            <w:vAlign w:val="center"/>
          </w:tcPr>
          <w:p w:rsidR="00EB3841" w:rsidRDefault="00EB3841" w:rsidP="00EB3841">
            <w:pPr>
              <w:spacing w:after="160" w:line="259" w:lineRule="auto"/>
              <w:jc w:val="center"/>
            </w:pPr>
            <w:r>
              <w:t>R-PP</w:t>
            </w:r>
          </w:p>
        </w:tc>
        <w:tc>
          <w:tcPr>
            <w:tcW w:w="7068" w:type="dxa"/>
            <w:vAlign w:val="center"/>
          </w:tcPr>
          <w:p w:rsidR="00EB3841" w:rsidRDefault="00EB3841" w:rsidP="00ED144B">
            <w:pPr>
              <w:spacing w:after="160" w:line="259" w:lineRule="auto"/>
            </w:pPr>
            <w:r w:rsidRPr="003576EE">
              <w:t>Proposition pour la Préparation à la REDD+</w:t>
            </w:r>
          </w:p>
        </w:tc>
      </w:tr>
      <w:tr w:rsidR="00EB1FD0" w:rsidTr="00ED144B">
        <w:trPr>
          <w:trHeight w:hRule="exact" w:val="288"/>
        </w:trPr>
        <w:tc>
          <w:tcPr>
            <w:tcW w:w="2754" w:type="dxa"/>
            <w:vAlign w:val="center"/>
          </w:tcPr>
          <w:p w:rsidR="00EB1FD0" w:rsidRDefault="00EB1FD0" w:rsidP="00EB3841">
            <w:pPr>
              <w:spacing w:after="160" w:line="259" w:lineRule="auto"/>
              <w:jc w:val="center"/>
            </w:pPr>
            <w:r w:rsidRPr="00EB1FD0">
              <w:t>SNSF</w:t>
            </w:r>
          </w:p>
        </w:tc>
        <w:tc>
          <w:tcPr>
            <w:tcW w:w="7068" w:type="dxa"/>
            <w:vAlign w:val="center"/>
          </w:tcPr>
          <w:p w:rsidR="00EB1FD0" w:rsidRPr="003576EE" w:rsidRDefault="00EB1FD0">
            <w:pPr>
              <w:spacing w:after="160" w:line="259" w:lineRule="auto"/>
            </w:pPr>
            <w:r>
              <w:t>Système National de Surveillance des Forêts</w:t>
            </w:r>
          </w:p>
        </w:tc>
      </w:tr>
      <w:tr w:rsidR="00EB3841" w:rsidTr="00ED144B">
        <w:trPr>
          <w:trHeight w:hRule="exact" w:val="288"/>
        </w:trPr>
        <w:tc>
          <w:tcPr>
            <w:tcW w:w="2754" w:type="dxa"/>
            <w:vAlign w:val="center"/>
          </w:tcPr>
          <w:p w:rsidR="00EB3841" w:rsidRDefault="003578D5" w:rsidP="00EB3841">
            <w:pPr>
              <w:spacing w:after="160" w:line="259" w:lineRule="auto"/>
              <w:jc w:val="center"/>
            </w:pPr>
            <w:r>
              <w:t>TdRs</w:t>
            </w:r>
          </w:p>
        </w:tc>
        <w:tc>
          <w:tcPr>
            <w:tcW w:w="7068" w:type="dxa"/>
            <w:vAlign w:val="center"/>
          </w:tcPr>
          <w:p w:rsidR="00EB3841" w:rsidRDefault="003578D5" w:rsidP="00ED144B">
            <w:pPr>
              <w:spacing w:after="160" w:line="259" w:lineRule="auto"/>
            </w:pPr>
            <w:r w:rsidRPr="003578D5">
              <w:t>Termes de Référence</w:t>
            </w:r>
          </w:p>
        </w:tc>
      </w:tr>
      <w:tr w:rsidR="008834AB" w:rsidTr="00ED144B">
        <w:trPr>
          <w:trHeight w:hRule="exact" w:val="288"/>
        </w:trPr>
        <w:tc>
          <w:tcPr>
            <w:tcW w:w="2754" w:type="dxa"/>
            <w:vAlign w:val="center"/>
          </w:tcPr>
          <w:p w:rsidR="008834AB" w:rsidRDefault="008834AB" w:rsidP="00EB3841">
            <w:pPr>
              <w:spacing w:after="160" w:line="259" w:lineRule="auto"/>
              <w:jc w:val="center"/>
            </w:pPr>
            <w:r>
              <w:t>UCAB</w:t>
            </w:r>
          </w:p>
        </w:tc>
        <w:tc>
          <w:tcPr>
            <w:tcW w:w="7068" w:type="dxa"/>
            <w:vAlign w:val="center"/>
          </w:tcPr>
          <w:p w:rsidR="008834AB" w:rsidRPr="003578D5" w:rsidRDefault="008834AB">
            <w:pPr>
              <w:spacing w:after="160" w:line="259" w:lineRule="auto"/>
            </w:pPr>
            <w:r w:rsidRPr="008834AB">
              <w:t>Union Congolaise des Associations de Baleiniers</w:t>
            </w:r>
          </w:p>
        </w:tc>
      </w:tr>
      <w:tr w:rsidR="00EB3841" w:rsidTr="00ED144B">
        <w:trPr>
          <w:trHeight w:hRule="exact" w:val="288"/>
        </w:trPr>
        <w:tc>
          <w:tcPr>
            <w:tcW w:w="2754" w:type="dxa"/>
            <w:vAlign w:val="center"/>
          </w:tcPr>
          <w:p w:rsidR="00EB3841" w:rsidRDefault="00EB3841" w:rsidP="00EB3841">
            <w:pPr>
              <w:spacing w:after="160" w:line="259" w:lineRule="auto"/>
              <w:jc w:val="center"/>
            </w:pPr>
            <w:r w:rsidRPr="003576EE">
              <w:t>UC-PIF</w:t>
            </w:r>
          </w:p>
        </w:tc>
        <w:tc>
          <w:tcPr>
            <w:tcW w:w="7068" w:type="dxa"/>
            <w:vAlign w:val="center"/>
          </w:tcPr>
          <w:p w:rsidR="00EB3841" w:rsidRDefault="00EB3841" w:rsidP="00ED144B">
            <w:pPr>
              <w:spacing w:after="160" w:line="259" w:lineRule="auto"/>
            </w:pPr>
            <w:r w:rsidRPr="003576EE">
              <w:t>Unité de Coordination du PIF</w:t>
            </w:r>
          </w:p>
        </w:tc>
      </w:tr>
      <w:tr w:rsidR="00C94522" w:rsidTr="00832BC4">
        <w:trPr>
          <w:trHeight w:hRule="exact" w:val="288"/>
        </w:trPr>
        <w:tc>
          <w:tcPr>
            <w:tcW w:w="2754" w:type="dxa"/>
            <w:vAlign w:val="center"/>
          </w:tcPr>
          <w:p w:rsidR="00C94522" w:rsidRPr="003576EE" w:rsidRDefault="00C94522" w:rsidP="00EB3841">
            <w:pPr>
              <w:spacing w:after="160" w:line="259" w:lineRule="auto"/>
              <w:jc w:val="center"/>
            </w:pPr>
            <w:r>
              <w:t>VCS</w:t>
            </w:r>
          </w:p>
        </w:tc>
        <w:tc>
          <w:tcPr>
            <w:tcW w:w="7068" w:type="dxa"/>
            <w:vAlign w:val="center"/>
          </w:tcPr>
          <w:p w:rsidR="00C94522" w:rsidRPr="003576EE" w:rsidRDefault="00C94522">
            <w:pPr>
              <w:spacing w:after="160" w:line="259" w:lineRule="auto"/>
            </w:pPr>
            <w:r>
              <w:t>Verified Carbon Standard</w:t>
            </w:r>
          </w:p>
        </w:tc>
      </w:tr>
      <w:tr w:rsidR="00EB3841" w:rsidTr="00ED144B">
        <w:trPr>
          <w:trHeight w:hRule="exact" w:val="288"/>
        </w:trPr>
        <w:tc>
          <w:tcPr>
            <w:tcW w:w="2754" w:type="dxa"/>
            <w:vAlign w:val="center"/>
          </w:tcPr>
          <w:p w:rsidR="00EB3841" w:rsidRDefault="00EB3841" w:rsidP="00EB3841">
            <w:pPr>
              <w:spacing w:after="160" w:line="259" w:lineRule="auto"/>
              <w:jc w:val="center"/>
            </w:pPr>
            <w:r>
              <w:t>WWC</w:t>
            </w:r>
          </w:p>
        </w:tc>
        <w:tc>
          <w:tcPr>
            <w:tcW w:w="7068" w:type="dxa"/>
            <w:vAlign w:val="center"/>
          </w:tcPr>
          <w:p w:rsidR="00EB3841" w:rsidRDefault="00EB3841" w:rsidP="00ED144B">
            <w:pPr>
              <w:spacing w:after="160" w:line="259" w:lineRule="auto"/>
            </w:pPr>
            <w:r w:rsidRPr="003576EE">
              <w:t>Wildlife Works Carbon</w:t>
            </w:r>
          </w:p>
        </w:tc>
      </w:tr>
      <w:tr w:rsidR="00EB3841" w:rsidTr="00ED144B">
        <w:trPr>
          <w:trHeight w:hRule="exact" w:val="288"/>
        </w:trPr>
        <w:tc>
          <w:tcPr>
            <w:tcW w:w="2754" w:type="dxa"/>
            <w:vAlign w:val="center"/>
          </w:tcPr>
          <w:p w:rsidR="00EB3841" w:rsidRDefault="00EB3841" w:rsidP="00EB3841">
            <w:pPr>
              <w:spacing w:after="160" w:line="259" w:lineRule="auto"/>
              <w:jc w:val="center"/>
            </w:pPr>
            <w:r>
              <w:t>WWF</w:t>
            </w:r>
          </w:p>
        </w:tc>
        <w:tc>
          <w:tcPr>
            <w:tcW w:w="7068" w:type="dxa"/>
            <w:vAlign w:val="center"/>
          </w:tcPr>
          <w:p w:rsidR="00EB3841" w:rsidRDefault="00EB3841" w:rsidP="00ED144B">
            <w:pPr>
              <w:spacing w:after="160" w:line="259" w:lineRule="auto"/>
            </w:pPr>
            <w:r>
              <w:t>World Wildlife Fund</w:t>
            </w:r>
          </w:p>
        </w:tc>
      </w:tr>
    </w:tbl>
    <w:p w:rsidR="00E05508" w:rsidRDefault="00E05508" w:rsidP="00ED144B">
      <w:pPr>
        <w:spacing w:after="160" w:line="259" w:lineRule="auto"/>
        <w:jc w:val="center"/>
      </w:pPr>
    </w:p>
    <w:p w:rsidR="00E05508" w:rsidRDefault="00E05508" w:rsidP="00ED144B">
      <w:pPr>
        <w:spacing w:after="160" w:line="259" w:lineRule="auto"/>
        <w:jc w:val="center"/>
        <w:rPr>
          <w:rFonts w:asciiTheme="majorHAnsi" w:eastAsiaTheme="majorEastAsia" w:hAnsiTheme="majorHAnsi" w:cstheme="majorBidi"/>
          <w:color w:val="2E74B5" w:themeColor="accent1" w:themeShade="BF"/>
          <w:sz w:val="32"/>
          <w:szCs w:val="32"/>
        </w:rPr>
      </w:pPr>
      <w:r>
        <w:br w:type="page"/>
      </w:r>
    </w:p>
    <w:p w:rsidR="005F3E2D" w:rsidRPr="00401544" w:rsidRDefault="009B30E2" w:rsidP="002E3A02">
      <w:pPr>
        <w:pStyle w:val="Heading1"/>
        <w:numPr>
          <w:ilvl w:val="0"/>
          <w:numId w:val="21"/>
        </w:numPr>
        <w:ind w:left="360"/>
      </w:pPr>
      <w:bookmarkStart w:id="2" w:name="_Toc469036922"/>
      <w:r w:rsidRPr="00401544">
        <w:lastRenderedPageBreak/>
        <w:t>Résumé analytique</w:t>
      </w:r>
      <w:bookmarkEnd w:id="2"/>
    </w:p>
    <w:p w:rsidR="007D031B" w:rsidRDefault="007D031B" w:rsidP="007D031B">
      <w:pPr>
        <w:contextualSpacing/>
        <w:jc w:val="both"/>
        <w:rPr>
          <w:sz w:val="20"/>
          <w:szCs w:val="20"/>
        </w:rPr>
      </w:pPr>
    </w:p>
    <w:p w:rsidR="007D031B" w:rsidRPr="007D031B" w:rsidRDefault="007D031B" w:rsidP="007D031B">
      <w:pPr>
        <w:contextualSpacing/>
        <w:jc w:val="both"/>
        <w:rPr>
          <w:sz w:val="20"/>
          <w:szCs w:val="20"/>
        </w:rPr>
      </w:pPr>
      <w:r w:rsidRPr="007D031B">
        <w:rPr>
          <w:sz w:val="20"/>
          <w:szCs w:val="20"/>
        </w:rPr>
        <w:t>Le PIREDD</w:t>
      </w:r>
      <w:r w:rsidR="00E05508">
        <w:rPr>
          <w:sz w:val="20"/>
          <w:szCs w:val="20"/>
        </w:rPr>
        <w:t xml:space="preserve"> (Programme Intégré</w:t>
      </w:r>
      <w:r w:rsidR="00E05508" w:rsidRPr="00E05508">
        <w:rPr>
          <w:sz w:val="20"/>
          <w:szCs w:val="20"/>
        </w:rPr>
        <w:t xml:space="preserve"> REDD+</w:t>
      </w:r>
      <w:r w:rsidR="00E05508">
        <w:rPr>
          <w:sz w:val="20"/>
          <w:szCs w:val="20"/>
        </w:rPr>
        <w:t>)</w:t>
      </w:r>
      <w:r w:rsidRPr="007D031B">
        <w:rPr>
          <w:sz w:val="20"/>
          <w:szCs w:val="20"/>
        </w:rPr>
        <w:t xml:space="preserve"> Mai-Ndombe, tel que proposé, vise à étendre au district du Mai-Ndombe, les investissements sectoriels et habilitants que la composante 1 du PIF</w:t>
      </w:r>
      <w:r w:rsidR="00BC1321">
        <w:rPr>
          <w:sz w:val="20"/>
          <w:szCs w:val="20"/>
        </w:rPr>
        <w:t xml:space="preserve"> (Programme pour l’Investissement Forestier)</w:t>
      </w:r>
      <w:r w:rsidRPr="007D031B">
        <w:rPr>
          <w:sz w:val="20"/>
          <w:szCs w:val="20"/>
        </w:rPr>
        <w:t xml:space="preserve"> a prévu de réaliser dans le district du Plateau (PIREDD Plateau), autre district de cette Province du Mai-Ndombe. Il vise également à compléter sur le District du Plateau les investissements nécessaires mais non programmés par le PIF (certains des investissements d’infrastructure programmés ici pour le district du Plateau serviront également au District du Mai-Ndombe, puisqu’ils visent à favoriser les évacuations par la route des produits agricoles de l’ensemble de la Province). Grâce au PIF et au présent projet, le futur Programme</w:t>
      </w:r>
      <w:r w:rsidR="00E05508">
        <w:rPr>
          <w:sz w:val="20"/>
          <w:szCs w:val="20"/>
        </w:rPr>
        <w:t xml:space="preserve"> de Réduction des Emissions</w:t>
      </w:r>
      <w:r w:rsidRPr="007D031B">
        <w:rPr>
          <w:sz w:val="20"/>
          <w:szCs w:val="20"/>
        </w:rPr>
        <w:t xml:space="preserve"> </w:t>
      </w:r>
      <w:r w:rsidR="00E05508">
        <w:rPr>
          <w:sz w:val="20"/>
          <w:szCs w:val="20"/>
        </w:rPr>
        <w:t xml:space="preserve">(Programme </w:t>
      </w:r>
      <w:r w:rsidRPr="007D031B">
        <w:rPr>
          <w:sz w:val="20"/>
          <w:szCs w:val="20"/>
        </w:rPr>
        <w:t>RE</w:t>
      </w:r>
      <w:r w:rsidR="00E05508">
        <w:rPr>
          <w:sz w:val="20"/>
          <w:szCs w:val="20"/>
        </w:rPr>
        <w:t>) du Mai-Ndombe</w:t>
      </w:r>
      <w:r w:rsidRPr="007D031B">
        <w:rPr>
          <w:sz w:val="20"/>
          <w:szCs w:val="20"/>
        </w:rPr>
        <w:t xml:space="preserve"> disposera des investissements nécessaires à l’atteinte de ses objectifs dans son délai d’exécution, 2017-2021, avec le maximum de chance de durabilité pour la suite, avec des coûts récurrents d’investissement, de formation et de fonctionnement diminués.</w:t>
      </w:r>
    </w:p>
    <w:p w:rsidR="007D031B" w:rsidRPr="007D031B" w:rsidRDefault="007D031B" w:rsidP="007D031B">
      <w:pPr>
        <w:contextualSpacing/>
        <w:jc w:val="both"/>
        <w:rPr>
          <w:sz w:val="20"/>
          <w:szCs w:val="20"/>
        </w:rPr>
      </w:pPr>
      <w:r w:rsidRPr="007D031B">
        <w:rPr>
          <w:sz w:val="20"/>
          <w:szCs w:val="20"/>
        </w:rPr>
        <w:t>La conception du présent projet s’inscrit ainsi dans la logique de celle de la  Composante 1 du PIF, le Projet Intégré REDD+ du Plateau, mais en élargissant au Planning Familial la gamme des activités couvertes, en conformité avec le 7ème pilier de la Stratégie Nationale REDD+ et en mettant un accent particulier sur les cultures pérennes. La présence de Peuples Autochtones</w:t>
      </w:r>
      <w:r w:rsidR="00E05508">
        <w:rPr>
          <w:sz w:val="20"/>
          <w:szCs w:val="20"/>
        </w:rPr>
        <w:t xml:space="preserve"> (PA)</w:t>
      </w:r>
      <w:r w:rsidRPr="007D031B">
        <w:rPr>
          <w:sz w:val="20"/>
          <w:szCs w:val="20"/>
        </w:rPr>
        <w:t xml:space="preserve"> dans le district du Mai-Ndombe privilégiera en outre un appui spécifique à ces populations au travers de la mise en œuvre pendant la durée du programme d’un Plan pour les Peuples Autochtones (PPA). Les activités sont regroupées comme suit:</w:t>
      </w:r>
    </w:p>
    <w:p w:rsidR="007D031B" w:rsidRPr="007D031B" w:rsidRDefault="007D031B" w:rsidP="007D031B">
      <w:pPr>
        <w:contextualSpacing/>
        <w:jc w:val="both"/>
        <w:rPr>
          <w:sz w:val="20"/>
          <w:szCs w:val="20"/>
        </w:rPr>
      </w:pPr>
      <w:r w:rsidRPr="007D031B">
        <w:rPr>
          <w:sz w:val="20"/>
          <w:szCs w:val="20"/>
        </w:rPr>
        <w:t>a.</w:t>
      </w:r>
      <w:r w:rsidRPr="007D031B">
        <w:rPr>
          <w:sz w:val="20"/>
          <w:szCs w:val="20"/>
        </w:rPr>
        <w:tab/>
        <w:t xml:space="preserve">renforcement des capacités des services gouvernementaux : cette activité comprend : i) la participation des services gouvernementaux au Comité de Pilotage du projet, et à son suivi-évaluation (Environnement, Agriculture, Intérieur, Cadastre), ii) le renforcement des contrôles sur l’exploitation forestière et du charbon de bois, iii) la sélection et la motivation du personnel impliqué dans les activités du projet, et iv) la formation des agents de l’état concernés (cadastre, justice, intérieur, police). Les bénéficiaires de cette composante sont les agents sélectionnés des services techniques de l’Agriculture et de l’Environnement, en y adjoignant ceux du Cadastre et de l’Intérieur. </w:t>
      </w:r>
    </w:p>
    <w:p w:rsidR="007D031B" w:rsidRPr="007D031B" w:rsidRDefault="007D031B" w:rsidP="007D031B">
      <w:pPr>
        <w:contextualSpacing/>
        <w:jc w:val="both"/>
        <w:rPr>
          <w:sz w:val="20"/>
          <w:szCs w:val="20"/>
        </w:rPr>
      </w:pPr>
      <w:r w:rsidRPr="007D031B">
        <w:rPr>
          <w:sz w:val="20"/>
          <w:szCs w:val="20"/>
        </w:rPr>
        <w:t>b.</w:t>
      </w:r>
      <w:r w:rsidRPr="007D031B">
        <w:rPr>
          <w:sz w:val="20"/>
          <w:szCs w:val="20"/>
        </w:rPr>
        <w:tab/>
        <w:t xml:space="preserve">renforcement des capacités des communautés locales pour la gestion des Territoires : i) organisation des communautés en Comités Locaux de Développement (CLD) avec refondation éventuelle des comités anciens, ii) refondation de tous les Conseils Agricoles Ruraux de Territoire (CART) au niveau des Territoires et Secteurs (avec dotation d’équipement pour la motivation de ces comités),  iii) confirmation de la délimitation des terroirs à chaque niveau , iv) élaboration des Plans de Développement Durable (PDD) à chaque niveau (Territoire, Secteur) en commençant par les Territoires, v) Plans </w:t>
      </w:r>
      <w:r w:rsidR="00BA1ACA">
        <w:rPr>
          <w:sz w:val="20"/>
          <w:szCs w:val="20"/>
        </w:rPr>
        <w:t>S</w:t>
      </w:r>
      <w:r w:rsidRPr="007D031B">
        <w:rPr>
          <w:sz w:val="20"/>
          <w:szCs w:val="20"/>
        </w:rPr>
        <w:t xml:space="preserve">imples de </w:t>
      </w:r>
      <w:r w:rsidR="00BA1ACA">
        <w:rPr>
          <w:sz w:val="20"/>
          <w:szCs w:val="20"/>
        </w:rPr>
        <w:t>G</w:t>
      </w:r>
      <w:r w:rsidRPr="007D031B">
        <w:rPr>
          <w:sz w:val="20"/>
          <w:szCs w:val="20"/>
        </w:rPr>
        <w:t>estion</w:t>
      </w:r>
      <w:r w:rsidR="00BA1ACA">
        <w:rPr>
          <w:sz w:val="20"/>
          <w:szCs w:val="20"/>
        </w:rPr>
        <w:t xml:space="preserve"> (PSG)</w:t>
      </w:r>
      <w:r w:rsidRPr="007D031B">
        <w:rPr>
          <w:sz w:val="20"/>
          <w:szCs w:val="20"/>
        </w:rPr>
        <w:t xml:space="preserve"> pour les CLD en s’appuyant sur l’expérience du projet Makala de l’Union Européenne et mis en œuvre par le CIRAD et le WWF, vi) contrats de mise en œuvre des plans reprenant tous les appuis programmés par Territoire, Secteur, Groupement et CLD, </w:t>
      </w:r>
      <w:r w:rsidR="00BA1ACA">
        <w:rPr>
          <w:sz w:val="20"/>
          <w:szCs w:val="20"/>
        </w:rPr>
        <w:t>et</w:t>
      </w:r>
      <w:r w:rsidRPr="007D031B">
        <w:rPr>
          <w:sz w:val="20"/>
          <w:szCs w:val="20"/>
        </w:rPr>
        <w:t xml:space="preserve"> vii) mise en œuvre des plans par les Paiements pour Services Environnementaux</w:t>
      </w:r>
      <w:r w:rsidR="00BA1ACA">
        <w:rPr>
          <w:sz w:val="20"/>
          <w:szCs w:val="20"/>
        </w:rPr>
        <w:t xml:space="preserve"> (PSE)</w:t>
      </w:r>
      <w:r w:rsidRPr="007D031B">
        <w:rPr>
          <w:sz w:val="20"/>
          <w:szCs w:val="20"/>
        </w:rPr>
        <w:t xml:space="preserve"> et par les autres composantes du projet. Cette composante comprend aussi un volet cogestion de la pêche responsable. Les bénéficiaires de cette activité sont les quelques 600 terroirs du District du Mai-Ndombe voisins des routes et du réseau de voies navigables, ainsi que l’ensemble des Groupements, Secteurs et  Territoires du district. </w:t>
      </w:r>
    </w:p>
    <w:p w:rsidR="007D031B" w:rsidRPr="007D031B" w:rsidRDefault="007D031B" w:rsidP="007D031B">
      <w:pPr>
        <w:contextualSpacing/>
        <w:jc w:val="both"/>
        <w:rPr>
          <w:sz w:val="20"/>
          <w:szCs w:val="20"/>
        </w:rPr>
      </w:pPr>
      <w:r w:rsidRPr="007D031B">
        <w:rPr>
          <w:sz w:val="20"/>
          <w:szCs w:val="20"/>
        </w:rPr>
        <w:t>c.</w:t>
      </w:r>
      <w:r w:rsidRPr="007D031B">
        <w:rPr>
          <w:sz w:val="20"/>
          <w:szCs w:val="20"/>
        </w:rPr>
        <w:tab/>
        <w:t xml:space="preserve">développement de l’agriculture et de l’élevage en savane : cette activité vise à augmenter les terres cultivées en jachère/brulis dans les savanes, pour soulager la pression sur les galeries forestières et les périphéries urbaines. Elle prévoit pour ce faire la plantation de 3 350 ha d’acacia, et de 1 650 ha de palmier à huile distribués par lot de 0,5 ha et la mise en défens de 35 000 ha sur 4 ans. L’activité prévoit également une recherche action pour l’amélioration des pratiques d’élevage et de la gestion des pâturages (gestion des feux, amélioration des pâturages, etc.). Seront concernés les </w:t>
      </w:r>
      <w:r w:rsidR="00FB7F0B">
        <w:rPr>
          <w:sz w:val="20"/>
          <w:szCs w:val="20"/>
        </w:rPr>
        <w:t>7 0</w:t>
      </w:r>
      <w:r w:rsidRPr="007D031B">
        <w:rPr>
          <w:sz w:val="20"/>
          <w:szCs w:val="20"/>
        </w:rPr>
        <w:t xml:space="preserve">00  paysans et  </w:t>
      </w:r>
      <w:r w:rsidR="00FB7F0B">
        <w:rPr>
          <w:sz w:val="20"/>
          <w:szCs w:val="20"/>
        </w:rPr>
        <w:t>50</w:t>
      </w:r>
      <w:r w:rsidRPr="007D031B">
        <w:rPr>
          <w:sz w:val="20"/>
          <w:szCs w:val="20"/>
        </w:rPr>
        <w:t>0 fermiers volontaires ainsi que les 600 communautés impliquées dans des programmes de mise en défens.</w:t>
      </w:r>
    </w:p>
    <w:p w:rsidR="007D031B" w:rsidRPr="007D031B" w:rsidRDefault="007D031B" w:rsidP="007D031B">
      <w:pPr>
        <w:contextualSpacing/>
        <w:jc w:val="both"/>
        <w:rPr>
          <w:sz w:val="20"/>
          <w:szCs w:val="20"/>
        </w:rPr>
      </w:pPr>
      <w:r w:rsidRPr="007D031B">
        <w:rPr>
          <w:sz w:val="20"/>
          <w:szCs w:val="20"/>
        </w:rPr>
        <w:t>d.</w:t>
      </w:r>
      <w:r w:rsidRPr="007D031B">
        <w:rPr>
          <w:sz w:val="20"/>
          <w:szCs w:val="20"/>
        </w:rPr>
        <w:tab/>
        <w:t>amélioration des techniques culturales en forêt et en savane : cette activité comprend : i) des apports de semences améliorées, leur multiplication et leur large diffusion, et ii) des formations liées aux plans simples de gestion portant sur la jachère améliorée et les produits forestiers non ligneux. Les bénéficiaires de cette activité sont potentiellement toutes les communautés impliquées dans le programme (600</w:t>
      </w:r>
      <w:r w:rsidR="00BA1ACA">
        <w:rPr>
          <w:sz w:val="20"/>
          <w:szCs w:val="20"/>
        </w:rPr>
        <w:t xml:space="preserve"> communautés organisées en CLD</w:t>
      </w:r>
      <w:r w:rsidRPr="007D031B">
        <w:rPr>
          <w:sz w:val="20"/>
          <w:szCs w:val="20"/>
        </w:rPr>
        <w:t xml:space="preserve">). </w:t>
      </w:r>
    </w:p>
    <w:p w:rsidR="007D031B" w:rsidRPr="007D031B" w:rsidRDefault="007D031B" w:rsidP="007D031B">
      <w:pPr>
        <w:contextualSpacing/>
        <w:jc w:val="both"/>
        <w:rPr>
          <w:sz w:val="20"/>
          <w:szCs w:val="20"/>
        </w:rPr>
      </w:pPr>
      <w:r w:rsidRPr="007D031B">
        <w:rPr>
          <w:sz w:val="20"/>
          <w:szCs w:val="20"/>
        </w:rPr>
        <w:t>e.</w:t>
      </w:r>
      <w:r w:rsidRPr="007D031B">
        <w:rPr>
          <w:sz w:val="20"/>
          <w:szCs w:val="20"/>
        </w:rPr>
        <w:tab/>
        <w:t xml:space="preserve">développement des cultures pérennes en forêt et de leur chaine de valeur (café, cacao, palmier, hévéa): au total 10 000 ha de cultures pérennes seront mis en production. De plus, le projet prévoit l’appui aux acheteurs du secteur privé intervenant en aval de la production (fonds de roulement pour achat des produits, équipements de </w:t>
      </w:r>
      <w:r w:rsidRPr="007D031B">
        <w:rPr>
          <w:sz w:val="20"/>
          <w:szCs w:val="20"/>
        </w:rPr>
        <w:lastRenderedPageBreak/>
        <w:t>stockage, etc.). Les bénéficiaires sont au nombre de 14 000 paysans communautaires (0,5 ha par ménage) et de 1 000 fermiers (plus de 3 ha par fermier). Au total, entre les forêts et les savanes, le nombre de bénéficiaires direct est de 2</w:t>
      </w:r>
      <w:r w:rsidR="00FB7F0B">
        <w:rPr>
          <w:sz w:val="20"/>
          <w:szCs w:val="20"/>
        </w:rPr>
        <w:t>1</w:t>
      </w:r>
      <w:r w:rsidRPr="007D031B">
        <w:rPr>
          <w:sz w:val="20"/>
          <w:szCs w:val="20"/>
        </w:rPr>
        <w:t xml:space="preserve"> </w:t>
      </w:r>
      <w:r w:rsidR="00FB7F0B">
        <w:rPr>
          <w:sz w:val="20"/>
          <w:szCs w:val="20"/>
        </w:rPr>
        <w:t>0</w:t>
      </w:r>
      <w:r w:rsidRPr="007D031B">
        <w:rPr>
          <w:sz w:val="20"/>
          <w:szCs w:val="20"/>
        </w:rPr>
        <w:t xml:space="preserve">00 paysans communautaires et de 1 </w:t>
      </w:r>
      <w:r w:rsidR="00FB7F0B">
        <w:rPr>
          <w:sz w:val="20"/>
          <w:szCs w:val="20"/>
        </w:rPr>
        <w:t>500</w:t>
      </w:r>
      <w:r w:rsidRPr="007D031B">
        <w:rPr>
          <w:sz w:val="20"/>
          <w:szCs w:val="20"/>
        </w:rPr>
        <w:t xml:space="preserve"> fermiers.</w:t>
      </w:r>
    </w:p>
    <w:p w:rsidR="007D031B" w:rsidRPr="007D031B" w:rsidRDefault="007D031B" w:rsidP="007D031B">
      <w:pPr>
        <w:contextualSpacing/>
        <w:jc w:val="both"/>
        <w:rPr>
          <w:sz w:val="20"/>
          <w:szCs w:val="20"/>
        </w:rPr>
      </w:pPr>
      <w:r w:rsidRPr="007D031B">
        <w:rPr>
          <w:sz w:val="20"/>
          <w:szCs w:val="20"/>
        </w:rPr>
        <w:t>f.</w:t>
      </w:r>
      <w:r w:rsidRPr="007D031B">
        <w:rPr>
          <w:sz w:val="20"/>
          <w:szCs w:val="20"/>
        </w:rPr>
        <w:tab/>
        <w:t>Investissements d’intérêt commun : le projet prévoit l’entretien de routes (500 km dans le District du Mai-Ndombe et 200 dans le</w:t>
      </w:r>
      <w:r w:rsidR="00BA1ACA">
        <w:rPr>
          <w:sz w:val="20"/>
          <w:szCs w:val="20"/>
        </w:rPr>
        <w:t xml:space="preserve"> District du</w:t>
      </w:r>
      <w:r w:rsidRPr="007D031B">
        <w:rPr>
          <w:sz w:val="20"/>
          <w:szCs w:val="20"/>
        </w:rPr>
        <w:t xml:space="preserve"> Plateau), la construction de </w:t>
      </w:r>
      <w:r w:rsidR="00BA1ACA">
        <w:rPr>
          <w:sz w:val="20"/>
          <w:szCs w:val="20"/>
        </w:rPr>
        <w:t>41</w:t>
      </w:r>
      <w:r w:rsidR="00BA1ACA" w:rsidRPr="007D031B">
        <w:rPr>
          <w:sz w:val="20"/>
          <w:szCs w:val="20"/>
        </w:rPr>
        <w:t xml:space="preserve"> </w:t>
      </w:r>
      <w:r w:rsidRPr="007D031B">
        <w:rPr>
          <w:sz w:val="20"/>
          <w:szCs w:val="20"/>
        </w:rPr>
        <w:t>ponts  dont la construction du Pont Ngampoko, qui désenclaverait le Territoire de Yumbi et la mise en place du Bac de Lédiba, sur le Kasaï, passage obligé de toute évacuation économique par la route des produits agricoles des deux districts. Le balisage des rivières au niveau des épaves de bateau et des principaux bancs de sable est également envisagé. La lutte contre les « tracasseries » le long des axes entretenus permettra aussi de réduire les coûts du transport des marchandises. Les bénéficiaires de cette activité sont potentiellement tous les habitants du district ainsi que les commerçants opérant tout au long des chaînes de valeur.</w:t>
      </w:r>
    </w:p>
    <w:p w:rsidR="00B277C0" w:rsidRDefault="007D031B" w:rsidP="007D031B">
      <w:pPr>
        <w:contextualSpacing/>
        <w:jc w:val="both"/>
        <w:rPr>
          <w:sz w:val="20"/>
          <w:szCs w:val="20"/>
        </w:rPr>
      </w:pPr>
      <w:r w:rsidRPr="007D031B">
        <w:rPr>
          <w:sz w:val="20"/>
          <w:szCs w:val="20"/>
        </w:rPr>
        <w:t>g.</w:t>
      </w:r>
      <w:r w:rsidRPr="007D031B">
        <w:rPr>
          <w:sz w:val="20"/>
          <w:szCs w:val="20"/>
        </w:rPr>
        <w:tab/>
        <w:t>Support aux plus vulnérables : Le projet supportera la réalisation de micro-projets à destination des Peuples Autochtones tels qu’ils ont été identifiés dans les Plans de Développement des Peuples Autochtones (PDPA) financés par le Projet Forêt, Conservation de la Nature (PFCN) de la Banque mondiale.</w:t>
      </w:r>
    </w:p>
    <w:p w:rsidR="00BB59E8" w:rsidRDefault="00BB59E8" w:rsidP="00BB59E8">
      <w:pPr>
        <w:contextualSpacing/>
        <w:jc w:val="both"/>
        <w:rPr>
          <w:sz w:val="20"/>
          <w:szCs w:val="20"/>
        </w:rPr>
      </w:pPr>
      <w:r>
        <w:rPr>
          <w:sz w:val="20"/>
          <w:szCs w:val="20"/>
        </w:rPr>
        <w:t>h.</w:t>
      </w:r>
      <w:r>
        <w:rPr>
          <w:sz w:val="20"/>
          <w:szCs w:val="20"/>
        </w:rPr>
        <w:tab/>
        <w:t>Planification familiale : Les</w:t>
      </w:r>
      <w:r w:rsidRPr="00BB59E8">
        <w:rPr>
          <w:sz w:val="20"/>
          <w:szCs w:val="20"/>
        </w:rPr>
        <w:t xml:space="preserve"> 180 000 ménages agricoles du District de Mai-Ndombe </w:t>
      </w:r>
      <w:r>
        <w:rPr>
          <w:sz w:val="20"/>
          <w:szCs w:val="20"/>
        </w:rPr>
        <w:t xml:space="preserve">bénéficieront (i) d’information et de </w:t>
      </w:r>
      <w:r w:rsidRPr="00BB59E8">
        <w:rPr>
          <w:sz w:val="20"/>
          <w:szCs w:val="20"/>
        </w:rPr>
        <w:t>sensibilisation aux méthodes de planification familiale avec le soutien des leaders d’opinion (leaders politiques, coutumiers et religieux), combinée à un accès</w:t>
      </w:r>
      <w:r>
        <w:rPr>
          <w:sz w:val="20"/>
          <w:szCs w:val="20"/>
        </w:rPr>
        <w:t xml:space="preserve"> facilité </w:t>
      </w:r>
      <w:r w:rsidRPr="00BB59E8">
        <w:rPr>
          <w:sz w:val="20"/>
          <w:szCs w:val="20"/>
        </w:rPr>
        <w:t>aux moyens permettant le contrôle des naissances,</w:t>
      </w:r>
      <w:r>
        <w:rPr>
          <w:sz w:val="20"/>
          <w:szCs w:val="20"/>
        </w:rPr>
        <w:t xml:space="preserve"> et (ii) de programmes d’</w:t>
      </w:r>
      <w:r w:rsidRPr="00BB59E8">
        <w:rPr>
          <w:sz w:val="20"/>
          <w:szCs w:val="20"/>
        </w:rPr>
        <w:t>éducation des jeunes, et notamment des jeunes filles, pour favoriser l’accès à l’emploi et la détermination d’objectifs raisonnables en termes de nombre d’enfants par famille.</w:t>
      </w:r>
    </w:p>
    <w:p w:rsidR="00090026" w:rsidRPr="00B5304D" w:rsidRDefault="00090026" w:rsidP="00D33E12">
      <w:pPr>
        <w:spacing w:after="0"/>
        <w:contextualSpacing/>
        <w:jc w:val="both"/>
        <w:rPr>
          <w:sz w:val="20"/>
          <w:szCs w:val="20"/>
        </w:rPr>
      </w:pPr>
    </w:p>
    <w:p w:rsidR="009B30E2" w:rsidRPr="00401544" w:rsidRDefault="009B30E2" w:rsidP="00AD0551">
      <w:pPr>
        <w:pStyle w:val="Heading1"/>
        <w:spacing w:before="0"/>
        <w:ind w:left="360"/>
      </w:pPr>
      <w:bookmarkStart w:id="3" w:name="_Toc469036923"/>
      <w:r w:rsidRPr="00401544">
        <w:t>Analyse de situation et localisation du programme</w:t>
      </w:r>
      <w:bookmarkEnd w:id="3"/>
      <w:r w:rsidRPr="00401544">
        <w:t xml:space="preserve"> </w:t>
      </w:r>
    </w:p>
    <w:p w:rsidR="00296077" w:rsidRDefault="00296077" w:rsidP="00AD0551">
      <w:pPr>
        <w:contextualSpacing/>
        <w:jc w:val="both"/>
        <w:rPr>
          <w:sz w:val="20"/>
        </w:rPr>
      </w:pPr>
    </w:p>
    <w:p w:rsidR="00822B81" w:rsidRPr="00296077" w:rsidRDefault="00296077" w:rsidP="00AD0551">
      <w:pPr>
        <w:contextualSpacing/>
        <w:jc w:val="both"/>
        <w:rPr>
          <w:color w:val="2E74B5" w:themeColor="accent1" w:themeShade="BF"/>
          <w:sz w:val="24"/>
          <w:szCs w:val="24"/>
        </w:rPr>
      </w:pPr>
      <w:r w:rsidRPr="00296077">
        <w:rPr>
          <w:color w:val="2E74B5" w:themeColor="accent1" w:themeShade="BF"/>
          <w:sz w:val="24"/>
          <w:szCs w:val="24"/>
        </w:rPr>
        <w:t>Analyse de la situation</w:t>
      </w:r>
      <w:r w:rsidR="00732E44">
        <w:rPr>
          <w:color w:val="2E74B5" w:themeColor="accent1" w:themeShade="BF"/>
          <w:sz w:val="24"/>
          <w:szCs w:val="24"/>
        </w:rPr>
        <w:t xml:space="preserve"> (Cf. Annexe 4</w:t>
      </w:r>
      <w:r w:rsidR="00D52249">
        <w:rPr>
          <w:color w:val="2E74B5" w:themeColor="accent1" w:themeShade="BF"/>
          <w:sz w:val="24"/>
          <w:szCs w:val="24"/>
        </w:rPr>
        <w:t>a, 4b</w:t>
      </w:r>
      <w:r w:rsidR="00732E44">
        <w:rPr>
          <w:color w:val="2E74B5" w:themeColor="accent1" w:themeShade="BF"/>
          <w:sz w:val="24"/>
          <w:szCs w:val="24"/>
        </w:rPr>
        <w:t xml:space="preserve"> et Annexe 5)</w:t>
      </w:r>
    </w:p>
    <w:p w:rsidR="007F3E17" w:rsidRPr="00090026" w:rsidRDefault="007F3E17" w:rsidP="007F3E17">
      <w:pPr>
        <w:spacing w:after="120"/>
        <w:contextualSpacing/>
        <w:jc w:val="both"/>
        <w:rPr>
          <w:sz w:val="20"/>
          <w:szCs w:val="20"/>
        </w:rPr>
      </w:pPr>
      <w:r>
        <w:rPr>
          <w:sz w:val="20"/>
          <w:szCs w:val="20"/>
        </w:rPr>
        <w:t>La p</w:t>
      </w:r>
      <w:r w:rsidRPr="00090026">
        <w:rPr>
          <w:sz w:val="20"/>
          <w:szCs w:val="20"/>
        </w:rPr>
        <w:t xml:space="preserve">rovince du </w:t>
      </w:r>
      <w:r w:rsidR="00AA6D17">
        <w:rPr>
          <w:sz w:val="20"/>
          <w:szCs w:val="20"/>
        </w:rPr>
        <w:t>Mai-Ndombe</w:t>
      </w:r>
      <w:r w:rsidR="00F412A5">
        <w:rPr>
          <w:sz w:val="20"/>
          <w:szCs w:val="20"/>
        </w:rPr>
        <w:t xml:space="preserve"> (131 393 km2) comprend deux </w:t>
      </w:r>
      <w:r w:rsidR="00931BE8">
        <w:rPr>
          <w:sz w:val="20"/>
          <w:szCs w:val="20"/>
        </w:rPr>
        <w:t xml:space="preserve">Districts, le District </w:t>
      </w:r>
      <w:r w:rsidR="00A5055A">
        <w:rPr>
          <w:sz w:val="20"/>
          <w:szCs w:val="20"/>
        </w:rPr>
        <w:t>du Plateau</w:t>
      </w:r>
      <w:r w:rsidRPr="00090026">
        <w:rPr>
          <w:sz w:val="20"/>
          <w:szCs w:val="20"/>
        </w:rPr>
        <w:t xml:space="preserve">  (31 751 km2) et le District du </w:t>
      </w:r>
      <w:r w:rsidR="00AA6D17">
        <w:rPr>
          <w:sz w:val="20"/>
          <w:szCs w:val="20"/>
        </w:rPr>
        <w:t xml:space="preserve">Mai-Ndombe </w:t>
      </w:r>
      <w:r w:rsidRPr="00090026">
        <w:rPr>
          <w:sz w:val="20"/>
          <w:szCs w:val="20"/>
        </w:rPr>
        <w:t>(99 641 km2). La forêt tropicale humide y occupait en 2012</w:t>
      </w:r>
      <w:r>
        <w:rPr>
          <w:sz w:val="20"/>
          <w:szCs w:val="20"/>
        </w:rPr>
        <w:t xml:space="preserve"> une superficie de 114 038 km2, ou 87 % du total</w:t>
      </w:r>
      <w:r w:rsidRPr="00090026">
        <w:rPr>
          <w:sz w:val="20"/>
          <w:szCs w:val="20"/>
        </w:rPr>
        <w:t xml:space="preserve">. Le District du </w:t>
      </w:r>
      <w:r w:rsidR="00AA6D17">
        <w:rPr>
          <w:sz w:val="20"/>
          <w:szCs w:val="20"/>
        </w:rPr>
        <w:t>Mai-Ndombe</w:t>
      </w:r>
      <w:r w:rsidRPr="00090026">
        <w:rPr>
          <w:sz w:val="20"/>
          <w:szCs w:val="20"/>
        </w:rPr>
        <w:t xml:space="preserve">, avec une superficie trois fois supérieure à celle du District </w:t>
      </w:r>
      <w:r w:rsidR="00A5055A">
        <w:rPr>
          <w:sz w:val="20"/>
          <w:szCs w:val="20"/>
        </w:rPr>
        <w:t>du Plateau</w:t>
      </w:r>
      <w:r w:rsidRPr="00090026">
        <w:rPr>
          <w:sz w:val="20"/>
          <w:szCs w:val="20"/>
        </w:rPr>
        <w:t xml:space="preserve"> et un climat équatorial et subéquatorial, possède les plus belles forêts exondées et les plus vastes forêts inondées (Territoires d’Oshwe, Kiri, Inongo, nord de Kutu) tandis que le Sud</w:t>
      </w:r>
      <w:r w:rsidR="00AA6D17">
        <w:rPr>
          <w:sz w:val="20"/>
          <w:szCs w:val="20"/>
        </w:rPr>
        <w:t>/</w:t>
      </w:r>
      <w:r w:rsidRPr="00090026">
        <w:rPr>
          <w:sz w:val="20"/>
          <w:szCs w:val="20"/>
        </w:rPr>
        <w:t>Sud-Ouest de la Province  (Territoires de Kwamouth, Bolobo, Yumbi</w:t>
      </w:r>
      <w:r w:rsidR="005F08CA">
        <w:rPr>
          <w:sz w:val="20"/>
          <w:szCs w:val="20"/>
        </w:rPr>
        <w:t>, Mushie</w:t>
      </w:r>
      <w:r w:rsidRPr="00090026">
        <w:rPr>
          <w:sz w:val="20"/>
          <w:szCs w:val="20"/>
        </w:rPr>
        <w:t xml:space="preserve"> et sud de Kutu) est le domaine des savanes, de la mosaïque forêts-savanes, des lambeaux forestiers et des galeries forestières. </w:t>
      </w:r>
    </w:p>
    <w:p w:rsidR="007F3E17" w:rsidRDefault="007F3E17" w:rsidP="007F3E17">
      <w:pPr>
        <w:spacing w:after="120"/>
        <w:contextualSpacing/>
        <w:jc w:val="both"/>
        <w:rPr>
          <w:sz w:val="20"/>
          <w:szCs w:val="20"/>
        </w:rPr>
      </w:pPr>
    </w:p>
    <w:p w:rsidR="007F3E17" w:rsidRDefault="007F3E17" w:rsidP="007F3E17">
      <w:pPr>
        <w:spacing w:after="120"/>
        <w:contextualSpacing/>
        <w:jc w:val="both"/>
        <w:rPr>
          <w:sz w:val="20"/>
          <w:szCs w:val="20"/>
        </w:rPr>
      </w:pPr>
      <w:r w:rsidRPr="00090026">
        <w:rPr>
          <w:sz w:val="20"/>
          <w:szCs w:val="20"/>
        </w:rPr>
        <w:t>Les concessions d’exploitation forestière, d’élevage et de conservation, ainsi que les aires protégées représentent 30 % de la superficie totale de</w:t>
      </w:r>
      <w:r w:rsidR="00CA1A81">
        <w:rPr>
          <w:sz w:val="20"/>
          <w:szCs w:val="20"/>
        </w:rPr>
        <w:t xml:space="preserve"> la Province, laissant 70 % du t</w:t>
      </w:r>
      <w:r w:rsidRPr="00090026">
        <w:rPr>
          <w:sz w:val="20"/>
          <w:szCs w:val="20"/>
        </w:rPr>
        <w:t xml:space="preserve">erritoire aux communautés, dont 46% de forêts secondaires et/ou primaires et 54% de savanes. </w:t>
      </w:r>
    </w:p>
    <w:p w:rsidR="007F3E17" w:rsidRPr="00090026" w:rsidRDefault="007F3E17" w:rsidP="007F3E17">
      <w:pPr>
        <w:spacing w:after="120"/>
        <w:contextualSpacing/>
        <w:jc w:val="both"/>
        <w:rPr>
          <w:sz w:val="20"/>
          <w:szCs w:val="20"/>
        </w:rPr>
      </w:pPr>
    </w:p>
    <w:p w:rsidR="007F3E17" w:rsidRPr="00090026" w:rsidRDefault="007F3E17" w:rsidP="007F3E17">
      <w:pPr>
        <w:spacing w:after="120"/>
        <w:contextualSpacing/>
        <w:jc w:val="both"/>
        <w:rPr>
          <w:sz w:val="20"/>
          <w:szCs w:val="20"/>
        </w:rPr>
      </w:pPr>
      <w:r w:rsidRPr="00090026">
        <w:rPr>
          <w:sz w:val="20"/>
          <w:szCs w:val="20"/>
        </w:rPr>
        <w:t xml:space="preserve">90 % des ménages constituant les populations de la Province du </w:t>
      </w:r>
      <w:r w:rsidR="00AA6D17">
        <w:rPr>
          <w:sz w:val="20"/>
          <w:szCs w:val="20"/>
        </w:rPr>
        <w:t>Mai-Ndombe</w:t>
      </w:r>
      <w:r w:rsidR="005F08CA">
        <w:rPr>
          <w:sz w:val="20"/>
          <w:szCs w:val="20"/>
        </w:rPr>
        <w:t xml:space="preserve"> </w:t>
      </w:r>
      <w:r w:rsidRPr="00090026">
        <w:rPr>
          <w:sz w:val="20"/>
          <w:szCs w:val="20"/>
        </w:rPr>
        <w:t xml:space="preserve">(1,5 million d’habitants pour la Province, dont 1,1 million pour le </w:t>
      </w:r>
      <w:r w:rsidR="00AA6D17">
        <w:rPr>
          <w:sz w:val="20"/>
          <w:szCs w:val="20"/>
        </w:rPr>
        <w:t>Mai-Ndombe</w:t>
      </w:r>
      <w:r w:rsidR="005F08CA">
        <w:rPr>
          <w:sz w:val="20"/>
          <w:szCs w:val="20"/>
        </w:rPr>
        <w:t xml:space="preserve"> </w:t>
      </w:r>
      <w:r w:rsidRPr="00090026">
        <w:rPr>
          <w:sz w:val="20"/>
          <w:szCs w:val="20"/>
        </w:rPr>
        <w:t xml:space="preserve">et 400 000 pour </w:t>
      </w:r>
      <w:r w:rsidR="00E31F93">
        <w:rPr>
          <w:sz w:val="20"/>
          <w:szCs w:val="20"/>
        </w:rPr>
        <w:t xml:space="preserve">le district </w:t>
      </w:r>
      <w:r w:rsidR="00A5055A">
        <w:rPr>
          <w:sz w:val="20"/>
          <w:szCs w:val="20"/>
        </w:rPr>
        <w:t>du Plateau</w:t>
      </w:r>
      <w:r w:rsidRPr="00090026">
        <w:rPr>
          <w:sz w:val="20"/>
          <w:szCs w:val="20"/>
        </w:rPr>
        <w:t>, avec une densité moyenne de 11 habitants au km2) vivent de  l’agriculture comme principale source de revenus monétaires, devant la pêche, l’élevage, la chasse et la cueillette. L’enquête réalisée par la mission de préparation</w:t>
      </w:r>
      <w:r w:rsidR="00CA1A81">
        <w:rPr>
          <w:rStyle w:val="FootnoteReference"/>
          <w:sz w:val="20"/>
          <w:szCs w:val="20"/>
        </w:rPr>
        <w:footnoteReference w:id="3"/>
      </w:r>
      <w:r w:rsidRPr="00090026">
        <w:rPr>
          <w:sz w:val="20"/>
          <w:szCs w:val="20"/>
        </w:rPr>
        <w:t xml:space="preserve"> du présent projet auprès d’un échantillon de 400 ménages fait apparaître des revenus</w:t>
      </w:r>
      <w:r w:rsidR="00437F1A">
        <w:rPr>
          <w:sz w:val="20"/>
          <w:szCs w:val="20"/>
        </w:rPr>
        <w:t xml:space="preserve"> annuels</w:t>
      </w:r>
      <w:r w:rsidRPr="00090026">
        <w:rPr>
          <w:sz w:val="20"/>
          <w:szCs w:val="20"/>
        </w:rPr>
        <w:t xml:space="preserve"> médians de 450 dollars par ménage, dont les 2/3 </w:t>
      </w:r>
      <w:r w:rsidR="00437F1A">
        <w:rPr>
          <w:sz w:val="20"/>
          <w:szCs w:val="20"/>
        </w:rPr>
        <w:t xml:space="preserve">sont </w:t>
      </w:r>
      <w:r w:rsidRPr="00090026">
        <w:rPr>
          <w:sz w:val="20"/>
          <w:szCs w:val="20"/>
        </w:rPr>
        <w:t xml:space="preserve">apportés par l’agriculture (manioc, maïs, riz), le reste provenant principalement de la pêche et de l’élevage ainsi que de la chasse, de la cueillette et de la transformation des produits. Les Peuples Autochtones avec quelques 3% de la population totale de la Province ajoutent le salariat agricole comme source de revenus. </w:t>
      </w:r>
    </w:p>
    <w:p w:rsidR="007F3E17" w:rsidRDefault="007F3E17" w:rsidP="007F3E17">
      <w:pPr>
        <w:spacing w:after="120"/>
        <w:contextualSpacing/>
        <w:jc w:val="both"/>
        <w:rPr>
          <w:sz w:val="20"/>
          <w:szCs w:val="20"/>
        </w:rPr>
      </w:pPr>
    </w:p>
    <w:p w:rsidR="00451070" w:rsidRDefault="007F3E17" w:rsidP="007F3E17">
      <w:pPr>
        <w:spacing w:after="120"/>
        <w:contextualSpacing/>
        <w:jc w:val="both"/>
        <w:rPr>
          <w:sz w:val="20"/>
          <w:szCs w:val="20"/>
        </w:rPr>
      </w:pPr>
      <w:r w:rsidRPr="00090026">
        <w:rPr>
          <w:sz w:val="20"/>
          <w:szCs w:val="20"/>
        </w:rPr>
        <w:t>Entre 2000 et 2012 la Province a perdu 2 695 km2 de forêts (WRI) soit 269 500 ha, soit 2% de la superficie forestière totale, et 4% des forêts communautaires exondées, où l’essentiel de la déforestation et de la dégradation forestière se déroule. Les taux de déforestation varient e</w:t>
      </w:r>
      <w:r w:rsidR="00B0727B">
        <w:rPr>
          <w:sz w:val="20"/>
          <w:szCs w:val="20"/>
        </w:rPr>
        <w:t xml:space="preserve">ntre les deux districts et les </w:t>
      </w:r>
      <w:r w:rsidR="004348C0">
        <w:rPr>
          <w:sz w:val="20"/>
          <w:szCs w:val="20"/>
        </w:rPr>
        <w:t>T</w:t>
      </w:r>
      <w:r w:rsidRPr="00090026">
        <w:rPr>
          <w:sz w:val="20"/>
          <w:szCs w:val="20"/>
        </w:rPr>
        <w:t xml:space="preserve">erritoires : i) par rapport à la superficie </w:t>
      </w:r>
      <w:r w:rsidRPr="00090026">
        <w:rPr>
          <w:sz w:val="20"/>
          <w:szCs w:val="20"/>
        </w:rPr>
        <w:lastRenderedPageBreak/>
        <w:t xml:space="preserve">forestière totale, la déforestation dans </w:t>
      </w:r>
      <w:r w:rsidR="00E31F93">
        <w:rPr>
          <w:sz w:val="20"/>
          <w:szCs w:val="20"/>
        </w:rPr>
        <w:t xml:space="preserve">le district </w:t>
      </w:r>
      <w:r w:rsidR="00A5055A">
        <w:rPr>
          <w:sz w:val="20"/>
          <w:szCs w:val="20"/>
        </w:rPr>
        <w:t>du Plateau</w:t>
      </w:r>
      <w:r w:rsidRPr="00090026">
        <w:rPr>
          <w:sz w:val="20"/>
          <w:szCs w:val="20"/>
        </w:rPr>
        <w:t xml:space="preserve"> (5%)  est triple de celle du </w:t>
      </w:r>
      <w:r w:rsidR="00AA6D17">
        <w:rPr>
          <w:sz w:val="20"/>
          <w:szCs w:val="20"/>
        </w:rPr>
        <w:t>Mai-Ndombe</w:t>
      </w:r>
      <w:r w:rsidRPr="00090026">
        <w:rPr>
          <w:sz w:val="20"/>
          <w:szCs w:val="20"/>
        </w:rPr>
        <w:t xml:space="preserve">, et ii) par rapport aux forêts communautaires exondées, la déforestation dans </w:t>
      </w:r>
      <w:r w:rsidR="00E31F93">
        <w:rPr>
          <w:sz w:val="20"/>
          <w:szCs w:val="20"/>
        </w:rPr>
        <w:t xml:space="preserve">le district </w:t>
      </w:r>
      <w:r w:rsidR="00A5055A">
        <w:rPr>
          <w:sz w:val="20"/>
          <w:szCs w:val="20"/>
        </w:rPr>
        <w:t>du Plateau</w:t>
      </w:r>
      <w:r w:rsidRPr="00090026">
        <w:rPr>
          <w:sz w:val="20"/>
          <w:szCs w:val="20"/>
        </w:rPr>
        <w:t xml:space="preserve"> (7,3%) est do</w:t>
      </w:r>
      <w:r w:rsidR="00F412A5">
        <w:rPr>
          <w:sz w:val="20"/>
          <w:szCs w:val="20"/>
        </w:rPr>
        <w:t xml:space="preserve">uble de celle du </w:t>
      </w:r>
      <w:r w:rsidR="00AA6D17">
        <w:rPr>
          <w:sz w:val="20"/>
          <w:szCs w:val="20"/>
        </w:rPr>
        <w:t>Mai-Ndombe</w:t>
      </w:r>
      <w:r w:rsidR="00437F1A">
        <w:rPr>
          <w:sz w:val="20"/>
          <w:szCs w:val="20"/>
        </w:rPr>
        <w:t xml:space="preserve"> </w:t>
      </w:r>
      <w:r w:rsidR="00F412A5">
        <w:rPr>
          <w:sz w:val="20"/>
          <w:szCs w:val="20"/>
        </w:rPr>
        <w:t>(3,25</w:t>
      </w:r>
      <w:r w:rsidR="00437F1A">
        <w:rPr>
          <w:sz w:val="20"/>
          <w:szCs w:val="20"/>
        </w:rPr>
        <w:t>%). D</w:t>
      </w:r>
      <w:r w:rsidRPr="00090026">
        <w:rPr>
          <w:sz w:val="20"/>
          <w:szCs w:val="20"/>
        </w:rPr>
        <w:t xml:space="preserve">ans </w:t>
      </w:r>
      <w:r w:rsidR="00E31F93">
        <w:rPr>
          <w:sz w:val="20"/>
          <w:szCs w:val="20"/>
        </w:rPr>
        <w:t xml:space="preserve">le district </w:t>
      </w:r>
      <w:r w:rsidR="00A5055A">
        <w:rPr>
          <w:sz w:val="20"/>
          <w:szCs w:val="20"/>
        </w:rPr>
        <w:t>du Plateau</w:t>
      </w:r>
      <w:r w:rsidRPr="00090026">
        <w:rPr>
          <w:sz w:val="20"/>
          <w:szCs w:val="20"/>
        </w:rPr>
        <w:t>, la déforestation est</w:t>
      </w:r>
      <w:r w:rsidR="00437F1A">
        <w:rPr>
          <w:sz w:val="20"/>
          <w:szCs w:val="20"/>
        </w:rPr>
        <w:t xml:space="preserve"> au-dessus de 7% dans tous les </w:t>
      </w:r>
      <w:r w:rsidR="004348C0">
        <w:rPr>
          <w:sz w:val="20"/>
          <w:szCs w:val="20"/>
        </w:rPr>
        <w:t>T</w:t>
      </w:r>
      <w:r w:rsidRPr="00090026">
        <w:rPr>
          <w:sz w:val="20"/>
          <w:szCs w:val="20"/>
        </w:rPr>
        <w:t>erritoir</w:t>
      </w:r>
      <w:r w:rsidR="00437F1A">
        <w:rPr>
          <w:sz w:val="20"/>
          <w:szCs w:val="20"/>
        </w:rPr>
        <w:t xml:space="preserve">es, avec un pic à 8,3% pour le </w:t>
      </w:r>
      <w:r w:rsidR="004348C0">
        <w:rPr>
          <w:sz w:val="20"/>
          <w:szCs w:val="20"/>
        </w:rPr>
        <w:t>T</w:t>
      </w:r>
      <w:r w:rsidRPr="00090026">
        <w:rPr>
          <w:sz w:val="20"/>
          <w:szCs w:val="20"/>
        </w:rPr>
        <w:t>erritoire de Kwamouth.</w:t>
      </w:r>
    </w:p>
    <w:p w:rsidR="00451070" w:rsidRDefault="00451070" w:rsidP="007F3E17">
      <w:pPr>
        <w:spacing w:after="120"/>
        <w:contextualSpacing/>
        <w:jc w:val="both"/>
        <w:rPr>
          <w:sz w:val="20"/>
          <w:szCs w:val="20"/>
        </w:rPr>
      </w:pPr>
    </w:p>
    <w:p w:rsidR="007F3E17" w:rsidRPr="00090026" w:rsidRDefault="007F3E17" w:rsidP="007F3E17">
      <w:pPr>
        <w:spacing w:after="120"/>
        <w:contextualSpacing/>
        <w:jc w:val="both"/>
        <w:rPr>
          <w:sz w:val="20"/>
          <w:szCs w:val="20"/>
        </w:rPr>
      </w:pPr>
      <w:r w:rsidRPr="00090026">
        <w:rPr>
          <w:sz w:val="20"/>
          <w:szCs w:val="20"/>
        </w:rPr>
        <w:t xml:space="preserve">L’agriculture sur jachère brulis est la principale cause de la déforestation et de la dégradation forestière. D’après l’enquête réalisée par la mission BioCFplus </w:t>
      </w:r>
      <w:r w:rsidR="00F356C7">
        <w:rPr>
          <w:sz w:val="20"/>
          <w:szCs w:val="20"/>
        </w:rPr>
        <w:t xml:space="preserve">dans le </w:t>
      </w:r>
      <w:r w:rsidR="00AA6D17">
        <w:rPr>
          <w:sz w:val="20"/>
          <w:szCs w:val="20"/>
        </w:rPr>
        <w:t>Mai-Ndombe</w:t>
      </w:r>
      <w:r w:rsidRPr="00090026">
        <w:rPr>
          <w:sz w:val="20"/>
          <w:szCs w:val="20"/>
        </w:rPr>
        <w:t>, chaque famille « médiane » exploite 5 ha de forêts, sachant que les savanes ne sont que marginalement cultivées, voire pas du tout. Sur ces 5 ha, chaque ménage cultive annuellement quelques 0,6 ha, avant de les abandonner à une jachère de 5 ans. Avec un taux de croissance démographique annuel de 3%, chaque année amène une population agricole supplémentaire de 6 500 ménages, qui devront chacun, pour stabiliser leur système de production agricole, prendre 5 ha à la forêt primaire (ou à la vieille forêt secondaire), soit 32 500 ha.</w:t>
      </w:r>
    </w:p>
    <w:p w:rsidR="007F3E17" w:rsidRDefault="007F3E17" w:rsidP="007F3E17">
      <w:pPr>
        <w:spacing w:after="120"/>
        <w:contextualSpacing/>
        <w:jc w:val="both"/>
        <w:rPr>
          <w:sz w:val="20"/>
          <w:szCs w:val="20"/>
        </w:rPr>
      </w:pPr>
    </w:p>
    <w:p w:rsidR="007F3E17" w:rsidRPr="00090026" w:rsidRDefault="007F3E17" w:rsidP="007F3E17">
      <w:pPr>
        <w:spacing w:after="120"/>
        <w:contextualSpacing/>
        <w:jc w:val="both"/>
        <w:rPr>
          <w:sz w:val="20"/>
          <w:szCs w:val="20"/>
        </w:rPr>
      </w:pPr>
      <w:r w:rsidRPr="00090026">
        <w:rPr>
          <w:sz w:val="20"/>
          <w:szCs w:val="20"/>
        </w:rPr>
        <w:t>La deuxième cause de la destruction d</w:t>
      </w:r>
      <w:r w:rsidR="00F356C7">
        <w:rPr>
          <w:sz w:val="20"/>
          <w:szCs w:val="20"/>
        </w:rPr>
        <w:t xml:space="preserve">e la forêt est la production de charbon de bois. La </w:t>
      </w:r>
      <w:r w:rsidRPr="00090026">
        <w:rPr>
          <w:sz w:val="20"/>
          <w:szCs w:val="20"/>
        </w:rPr>
        <w:t xml:space="preserve">Province est devenue l’une sinon la principale source d’approvisionnement en charbon de bois de la ville de Kinshasa, après l’épuisement des forêts du Bas Congo entre 2000 et 2010. C’est à partir de 2005 que ce report s’est manifesté avec le plus d’ampleur et rien ne laisse espérer à moyen terme la réduction de cette activité. </w:t>
      </w:r>
    </w:p>
    <w:p w:rsidR="007F3E17" w:rsidRDefault="007F3E17" w:rsidP="007F3E17">
      <w:pPr>
        <w:spacing w:after="120"/>
        <w:contextualSpacing/>
        <w:jc w:val="both"/>
        <w:rPr>
          <w:sz w:val="20"/>
          <w:szCs w:val="20"/>
        </w:rPr>
      </w:pPr>
    </w:p>
    <w:p w:rsidR="00D52249" w:rsidRDefault="007F3E17" w:rsidP="007F3E17">
      <w:pPr>
        <w:spacing w:after="120"/>
        <w:contextualSpacing/>
        <w:jc w:val="both"/>
        <w:rPr>
          <w:sz w:val="20"/>
          <w:szCs w:val="20"/>
        </w:rPr>
      </w:pPr>
      <w:r w:rsidRPr="00090026">
        <w:rPr>
          <w:sz w:val="20"/>
          <w:szCs w:val="20"/>
        </w:rPr>
        <w:t>L’exploitation forestière, surtout artisanale,  est également une source de destruction de la forêt, mais difficile à distinguer de l’agriculture ou du charbonnage, dont elle favorise la pénétration en profondeur de la forêt, par effet d’aubaine.</w:t>
      </w:r>
    </w:p>
    <w:p w:rsidR="00D52249" w:rsidRDefault="00D52249" w:rsidP="007F3E17">
      <w:pPr>
        <w:spacing w:after="120"/>
        <w:contextualSpacing/>
        <w:jc w:val="both"/>
        <w:rPr>
          <w:sz w:val="20"/>
          <w:szCs w:val="20"/>
        </w:rPr>
      </w:pPr>
    </w:p>
    <w:p w:rsidR="007F3E17" w:rsidRDefault="00D52249" w:rsidP="007F3E17">
      <w:pPr>
        <w:spacing w:after="120"/>
        <w:contextualSpacing/>
        <w:jc w:val="both"/>
        <w:rPr>
          <w:sz w:val="20"/>
          <w:szCs w:val="20"/>
        </w:rPr>
      </w:pPr>
      <w:r>
        <w:rPr>
          <w:sz w:val="20"/>
          <w:szCs w:val="20"/>
        </w:rPr>
        <w:t>L’analyse détaillée des moteurs de la déforestation et de la dégradation des forêts dans la Province du Mai-Ndombe est présentée dans les annexes 4a</w:t>
      </w:r>
      <w:r w:rsidR="003E1194" w:rsidRPr="003E1194">
        <w:t xml:space="preserve"> </w:t>
      </w:r>
      <w:r w:rsidR="003E1194">
        <w:t>(</w:t>
      </w:r>
      <w:r w:rsidR="003E1194" w:rsidRPr="003E1194">
        <w:rPr>
          <w:sz w:val="20"/>
          <w:szCs w:val="20"/>
        </w:rPr>
        <w:t>Contexte de la Province du Mai-Ndombe</w:t>
      </w:r>
      <w:r w:rsidR="003E1194">
        <w:rPr>
          <w:sz w:val="20"/>
          <w:szCs w:val="20"/>
        </w:rPr>
        <w:t>)</w:t>
      </w:r>
      <w:r>
        <w:rPr>
          <w:sz w:val="20"/>
          <w:szCs w:val="20"/>
        </w:rPr>
        <w:t xml:space="preserve"> et 4b (Document du Programme de Réduction des Emissions du Mai-Ndombe).</w:t>
      </w:r>
    </w:p>
    <w:p w:rsidR="0013505A" w:rsidRDefault="0013505A" w:rsidP="007F3E17">
      <w:pPr>
        <w:spacing w:after="120"/>
        <w:contextualSpacing/>
        <w:jc w:val="both"/>
        <w:rPr>
          <w:sz w:val="20"/>
          <w:szCs w:val="20"/>
        </w:rPr>
      </w:pPr>
    </w:p>
    <w:p w:rsidR="0013505A" w:rsidRDefault="0013505A" w:rsidP="0013505A">
      <w:pPr>
        <w:pBdr>
          <w:top w:val="single" w:sz="4" w:space="1" w:color="auto"/>
          <w:left w:val="single" w:sz="4" w:space="4" w:color="auto"/>
          <w:bottom w:val="single" w:sz="4" w:space="1" w:color="auto"/>
          <w:right w:val="single" w:sz="4" w:space="4" w:color="auto"/>
        </w:pBdr>
        <w:spacing w:after="120"/>
        <w:contextualSpacing/>
        <w:jc w:val="both"/>
        <w:rPr>
          <w:sz w:val="20"/>
          <w:szCs w:val="20"/>
        </w:rPr>
      </w:pPr>
      <w:r>
        <w:rPr>
          <w:sz w:val="20"/>
          <w:szCs w:val="20"/>
        </w:rPr>
        <w:t xml:space="preserve">Forte de ce constat, la RDC s’est engagée dans la mise en </w:t>
      </w:r>
      <w:r w:rsidRPr="0013505A">
        <w:rPr>
          <w:sz w:val="20"/>
          <w:szCs w:val="20"/>
        </w:rPr>
        <w:t xml:space="preserve">œuvre </w:t>
      </w:r>
      <w:r>
        <w:rPr>
          <w:sz w:val="20"/>
          <w:szCs w:val="20"/>
        </w:rPr>
        <w:t>d’</w:t>
      </w:r>
      <w:r w:rsidR="00A95447">
        <w:rPr>
          <w:sz w:val="20"/>
          <w:szCs w:val="20"/>
        </w:rPr>
        <w:t>un</w:t>
      </w:r>
      <w:r w:rsidRPr="0013505A">
        <w:rPr>
          <w:sz w:val="20"/>
          <w:szCs w:val="20"/>
        </w:rPr>
        <w:t xml:space="preserve"> </w:t>
      </w:r>
      <w:r w:rsidR="00A95447">
        <w:rPr>
          <w:sz w:val="20"/>
          <w:szCs w:val="20"/>
        </w:rPr>
        <w:t>développement vert à grande échelle</w:t>
      </w:r>
      <w:r w:rsidRPr="0013505A">
        <w:rPr>
          <w:sz w:val="20"/>
          <w:szCs w:val="20"/>
        </w:rPr>
        <w:t xml:space="preserve"> en offrant des alternatives à la déforestation et en octroyant des primes à la performance afin de relever les défis du changement climatique, de la réduction de la pauvreté, de la gestion des ressources naturelles et de la protection de la biodiversité.</w:t>
      </w:r>
      <w:r>
        <w:rPr>
          <w:sz w:val="20"/>
          <w:szCs w:val="20"/>
        </w:rPr>
        <w:t xml:space="preserve"> Le PIREDD Mai-Ndombe concoure à cet objectif de développement pour la Province du Mai-Ndombe, en apportant une part significative des investissements initiaux. </w:t>
      </w:r>
    </w:p>
    <w:p w:rsidR="007F3E17" w:rsidRDefault="007F3E17">
      <w:pPr>
        <w:spacing w:after="160" w:line="259" w:lineRule="auto"/>
        <w:rPr>
          <w:sz w:val="20"/>
        </w:rPr>
      </w:pPr>
    </w:p>
    <w:p w:rsidR="00F5585E" w:rsidRDefault="00F5585E">
      <w:pPr>
        <w:spacing w:after="160" w:line="259" w:lineRule="auto"/>
        <w:rPr>
          <w:color w:val="2E74B5" w:themeColor="accent1" w:themeShade="BF"/>
          <w:sz w:val="24"/>
          <w:szCs w:val="24"/>
        </w:rPr>
      </w:pPr>
      <w:r>
        <w:rPr>
          <w:color w:val="2E74B5" w:themeColor="accent1" w:themeShade="BF"/>
          <w:sz w:val="24"/>
          <w:szCs w:val="24"/>
        </w:rPr>
        <w:br w:type="page"/>
      </w:r>
    </w:p>
    <w:p w:rsidR="00296077" w:rsidRPr="00296077" w:rsidRDefault="00296077" w:rsidP="00296077">
      <w:pPr>
        <w:contextualSpacing/>
        <w:jc w:val="both"/>
        <w:rPr>
          <w:color w:val="2E74B5" w:themeColor="accent1" w:themeShade="BF"/>
          <w:sz w:val="24"/>
          <w:szCs w:val="24"/>
        </w:rPr>
      </w:pPr>
      <w:r>
        <w:rPr>
          <w:color w:val="2E74B5" w:themeColor="accent1" w:themeShade="BF"/>
          <w:sz w:val="24"/>
          <w:szCs w:val="24"/>
        </w:rPr>
        <w:lastRenderedPageBreak/>
        <w:t>Localisation du PIREDD Mai-Ndombe</w:t>
      </w:r>
    </w:p>
    <w:p w:rsidR="008A7A60" w:rsidRDefault="00296077">
      <w:pPr>
        <w:spacing w:after="160" w:line="259" w:lineRule="auto"/>
        <w:rPr>
          <w:sz w:val="20"/>
        </w:rPr>
      </w:pPr>
      <w:r>
        <w:rPr>
          <w:sz w:val="20"/>
        </w:rPr>
        <w:t xml:space="preserve">Le PIREDD Mai-Ndombe </w:t>
      </w:r>
      <w:r w:rsidR="008A7A60">
        <w:rPr>
          <w:sz w:val="20"/>
        </w:rPr>
        <w:t>étend et complète</w:t>
      </w:r>
      <w:r>
        <w:rPr>
          <w:sz w:val="20"/>
        </w:rPr>
        <w:t xml:space="preserve"> </w:t>
      </w:r>
      <w:r w:rsidR="008A7A60">
        <w:rPr>
          <w:sz w:val="20"/>
        </w:rPr>
        <w:t>les dispositions de la</w:t>
      </w:r>
      <w:r w:rsidR="008A7A60" w:rsidRPr="008A7A60">
        <w:t xml:space="preserve"> </w:t>
      </w:r>
      <w:r w:rsidR="008A7A60" w:rsidRPr="008A7A60">
        <w:rPr>
          <w:sz w:val="20"/>
        </w:rPr>
        <w:t>Composante 1 du P</w:t>
      </w:r>
      <w:r w:rsidR="008A7A60">
        <w:rPr>
          <w:sz w:val="20"/>
        </w:rPr>
        <w:t xml:space="preserve">rojet de </w:t>
      </w:r>
      <w:r w:rsidR="008A7A60" w:rsidRPr="008A7A60">
        <w:rPr>
          <w:sz w:val="20"/>
        </w:rPr>
        <w:t>G</w:t>
      </w:r>
      <w:r w:rsidR="008A7A60">
        <w:rPr>
          <w:sz w:val="20"/>
        </w:rPr>
        <w:t xml:space="preserve">estion </w:t>
      </w:r>
      <w:r w:rsidR="008A7A60" w:rsidRPr="008A7A60">
        <w:rPr>
          <w:sz w:val="20"/>
        </w:rPr>
        <w:t>A</w:t>
      </w:r>
      <w:r w:rsidR="008A7A60">
        <w:rPr>
          <w:sz w:val="20"/>
        </w:rPr>
        <w:t>méliorée des Paysages Forestiers (PGA</w:t>
      </w:r>
      <w:r w:rsidR="008A7A60" w:rsidRPr="008A7A60">
        <w:rPr>
          <w:sz w:val="20"/>
        </w:rPr>
        <w:t>PF</w:t>
      </w:r>
      <w:r w:rsidR="008A7A60">
        <w:rPr>
          <w:sz w:val="20"/>
        </w:rPr>
        <w:t>)</w:t>
      </w:r>
      <w:r w:rsidR="008A7A60" w:rsidRPr="008A7A60">
        <w:rPr>
          <w:sz w:val="20"/>
        </w:rPr>
        <w:t xml:space="preserve"> du P</w:t>
      </w:r>
      <w:r w:rsidR="008A7A60">
        <w:rPr>
          <w:sz w:val="20"/>
        </w:rPr>
        <w:t>rogramme pour l’Investissement Forestier (P</w:t>
      </w:r>
      <w:r w:rsidR="008A7A60" w:rsidRPr="008A7A60">
        <w:rPr>
          <w:sz w:val="20"/>
        </w:rPr>
        <w:t>IF</w:t>
      </w:r>
      <w:r w:rsidR="008A7A60">
        <w:rPr>
          <w:sz w:val="20"/>
        </w:rPr>
        <w:t>), plus communément connue sous le nom de PIREDD Plateau, à l’ensemble de la Province du Mai-Ndombe.</w:t>
      </w:r>
    </w:p>
    <w:p w:rsidR="007E4203" w:rsidRDefault="00F412A5" w:rsidP="007E4203">
      <w:pPr>
        <w:spacing w:after="160" w:line="259" w:lineRule="auto"/>
        <w:jc w:val="center"/>
        <w:rPr>
          <w:sz w:val="20"/>
        </w:rPr>
      </w:pPr>
      <w:r>
        <w:rPr>
          <w:noProof/>
          <w:sz w:val="20"/>
        </w:rPr>
        <w:drawing>
          <wp:inline distT="0" distB="0" distL="0" distR="0">
            <wp:extent cx="1805940" cy="3081697"/>
            <wp:effectExtent l="19050" t="19050" r="2286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09" t="2640" r="1427" b="9257"/>
                    <a:stretch/>
                  </pic:blipFill>
                  <pic:spPr bwMode="auto">
                    <a:xfrm>
                      <a:off x="0" y="0"/>
                      <a:ext cx="1902947" cy="3247232"/>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W w:w="11387" w:type="dxa"/>
        <w:tblInd w:w="-1175" w:type="dxa"/>
        <w:tblLook w:val="04A0" w:firstRow="1" w:lastRow="0" w:firstColumn="1" w:lastColumn="0" w:noHBand="0" w:noVBand="1"/>
      </w:tblPr>
      <w:tblGrid>
        <w:gridCol w:w="3216"/>
        <w:gridCol w:w="8196"/>
      </w:tblGrid>
      <w:tr w:rsidR="007E4203" w:rsidTr="007E4203">
        <w:tc>
          <w:tcPr>
            <w:tcW w:w="3731" w:type="dxa"/>
          </w:tcPr>
          <w:p w:rsidR="007E4203" w:rsidRDefault="007E4203" w:rsidP="00CC312B">
            <w:pPr>
              <w:spacing w:after="160" w:line="259" w:lineRule="auto"/>
              <w:rPr>
                <w:sz w:val="20"/>
              </w:rPr>
            </w:pPr>
            <w:r>
              <w:rPr>
                <w:noProof/>
                <w:sz w:val="20"/>
              </w:rPr>
              <w:drawing>
                <wp:inline distT="0" distB="0" distL="0" distR="0">
                  <wp:extent cx="1864457" cy="3625795"/>
                  <wp:effectExtent l="19050" t="19050" r="2159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89" t="1226" r="2496" b="11340"/>
                          <a:stretch/>
                        </pic:blipFill>
                        <pic:spPr bwMode="auto">
                          <a:xfrm>
                            <a:off x="0" y="0"/>
                            <a:ext cx="1915546" cy="3725148"/>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656" w:type="dxa"/>
          </w:tcPr>
          <w:p w:rsidR="007E4203" w:rsidRDefault="007E4203" w:rsidP="00CC312B">
            <w:pPr>
              <w:spacing w:after="160" w:line="259" w:lineRule="auto"/>
              <w:rPr>
                <w:sz w:val="20"/>
              </w:rPr>
            </w:pPr>
            <w:r>
              <w:rPr>
                <w:noProof/>
                <w:sz w:val="20"/>
              </w:rPr>
              <w:drawing>
                <wp:inline distT="0" distB="0" distL="0" distR="0">
                  <wp:extent cx="5033176" cy="3637904"/>
                  <wp:effectExtent l="19050" t="19050" r="1524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0" r="180" b="13639"/>
                          <a:stretch/>
                        </pic:blipFill>
                        <pic:spPr bwMode="auto">
                          <a:xfrm>
                            <a:off x="0" y="0"/>
                            <a:ext cx="5131892" cy="370925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bl>
    <w:p w:rsidR="007E4203" w:rsidRDefault="007E4203" w:rsidP="007E4203">
      <w:pPr>
        <w:spacing w:after="160" w:line="259" w:lineRule="auto"/>
        <w:rPr>
          <w:sz w:val="20"/>
        </w:rPr>
      </w:pPr>
    </w:p>
    <w:p w:rsidR="00CC312B" w:rsidRDefault="005A6AB6">
      <w:pPr>
        <w:spacing w:after="160" w:line="259" w:lineRule="auto"/>
        <w:rPr>
          <w:b/>
          <w:color w:val="002060"/>
          <w:sz w:val="20"/>
        </w:rPr>
      </w:pPr>
      <w:r w:rsidRPr="005A6AB6">
        <w:rPr>
          <w:b/>
          <w:color w:val="002060"/>
          <w:sz w:val="20"/>
        </w:rPr>
        <w:t>Figure 1 :</w:t>
      </w:r>
      <w:r>
        <w:rPr>
          <w:b/>
          <w:color w:val="002060"/>
          <w:sz w:val="20"/>
        </w:rPr>
        <w:t xml:space="preserve"> Programme</w:t>
      </w:r>
      <w:r w:rsidR="00F356C7">
        <w:rPr>
          <w:b/>
          <w:color w:val="002060"/>
          <w:sz w:val="20"/>
        </w:rPr>
        <w:t xml:space="preserve"> de Réduction des Emissions du Mai-Ndombe</w:t>
      </w:r>
      <w:r>
        <w:rPr>
          <w:b/>
          <w:color w:val="002060"/>
          <w:sz w:val="20"/>
        </w:rPr>
        <w:t xml:space="preserve">, PIREDD </w:t>
      </w:r>
      <w:r w:rsidR="0009077D">
        <w:rPr>
          <w:b/>
          <w:color w:val="002060"/>
          <w:sz w:val="20"/>
        </w:rPr>
        <w:t>Mai-Ndombe</w:t>
      </w:r>
      <w:r>
        <w:rPr>
          <w:b/>
          <w:color w:val="002060"/>
          <w:sz w:val="20"/>
        </w:rPr>
        <w:t>, PIREDD Plateau et Projet DGM</w:t>
      </w:r>
    </w:p>
    <w:p w:rsidR="00E97C3A" w:rsidRPr="00073CA6" w:rsidRDefault="00E97C3A" w:rsidP="00E97C3A">
      <w:pPr>
        <w:spacing w:after="0" w:line="259" w:lineRule="auto"/>
        <w:rPr>
          <w:b/>
          <w:color w:val="002060"/>
          <w:sz w:val="20"/>
        </w:rPr>
      </w:pPr>
    </w:p>
    <w:p w:rsidR="00F356C7" w:rsidRDefault="00CE3050" w:rsidP="00AD0551">
      <w:pPr>
        <w:pStyle w:val="Heading1"/>
        <w:spacing w:before="0"/>
        <w:ind w:left="360"/>
      </w:pPr>
      <w:bookmarkStart w:id="4" w:name="_Toc469036924"/>
      <w:r w:rsidRPr="00401544">
        <w:lastRenderedPageBreak/>
        <w:t>Contexte du programme REDD+</w:t>
      </w:r>
      <w:bookmarkEnd w:id="4"/>
    </w:p>
    <w:p w:rsidR="00AD0551" w:rsidRDefault="00AD0551" w:rsidP="00D33E12">
      <w:pPr>
        <w:spacing w:after="0"/>
        <w:contextualSpacing/>
        <w:jc w:val="both"/>
        <w:rPr>
          <w:color w:val="2E74B5" w:themeColor="accent1" w:themeShade="BF"/>
          <w:sz w:val="24"/>
          <w:szCs w:val="24"/>
        </w:rPr>
      </w:pPr>
    </w:p>
    <w:p w:rsidR="008A7A60" w:rsidRPr="00AD0551" w:rsidRDefault="008A7A60" w:rsidP="00AD0551">
      <w:pPr>
        <w:spacing w:after="0"/>
        <w:contextualSpacing/>
        <w:jc w:val="both"/>
        <w:rPr>
          <w:color w:val="2E74B5" w:themeColor="accent1" w:themeShade="BF"/>
          <w:sz w:val="24"/>
          <w:szCs w:val="24"/>
        </w:rPr>
      </w:pPr>
      <w:r w:rsidRPr="00AD0551">
        <w:rPr>
          <w:color w:val="2E74B5" w:themeColor="accent1" w:themeShade="BF"/>
          <w:sz w:val="24"/>
          <w:szCs w:val="24"/>
        </w:rPr>
        <w:t>Cadre et Contexte</w:t>
      </w:r>
    </w:p>
    <w:p w:rsidR="005B020E" w:rsidRPr="005B020E" w:rsidRDefault="005B020E" w:rsidP="00AD0551">
      <w:pPr>
        <w:spacing w:after="0"/>
        <w:jc w:val="both"/>
        <w:rPr>
          <w:b/>
          <w:sz w:val="20"/>
        </w:rPr>
      </w:pPr>
      <w:r w:rsidRPr="005B020E">
        <w:rPr>
          <w:b/>
          <w:sz w:val="20"/>
        </w:rPr>
        <w:t>Réduire les Emissions de la Déforestation et de la Dégradation Forestière (REDD+) en RDC</w:t>
      </w:r>
    </w:p>
    <w:p w:rsidR="00D92895" w:rsidRPr="00822B81" w:rsidRDefault="00D92895" w:rsidP="00D92895">
      <w:pPr>
        <w:jc w:val="both"/>
        <w:rPr>
          <w:sz w:val="20"/>
        </w:rPr>
      </w:pPr>
      <w:r w:rsidRPr="00822B81">
        <w:rPr>
          <w:sz w:val="20"/>
        </w:rPr>
        <w:t>En vue d’améliorer le bien-être des populations en liaison avec les Objectifs du Millénaire pour le Développement (OMD), en particulier la réduction de la pauvreté et la faim, la RDC a élaboré un Document de Stratégie de Croissance et de Réduction de la Pauvreté (DSCRP), co</w:t>
      </w:r>
      <w:r w:rsidR="007E4203">
        <w:rPr>
          <w:sz w:val="20"/>
        </w:rPr>
        <w:t>uvrant la période 2011-2015. Ce document</w:t>
      </w:r>
      <w:r w:rsidRPr="00822B81">
        <w:rPr>
          <w:sz w:val="20"/>
        </w:rPr>
        <w:t xml:space="preserve"> repose sur quatre piliers dont le 4ème s’articule autour de </w:t>
      </w:r>
      <w:r w:rsidR="007E4203">
        <w:rPr>
          <w:sz w:val="20"/>
        </w:rPr>
        <w:t>deux volets principaux, dont</w:t>
      </w:r>
      <w:r w:rsidRPr="00822B81">
        <w:rPr>
          <w:sz w:val="20"/>
        </w:rPr>
        <w:t xml:space="preserve">: i) </w:t>
      </w:r>
      <w:r w:rsidR="007E4203">
        <w:rPr>
          <w:sz w:val="20"/>
        </w:rPr>
        <w:t>la gestion et la protection de l’environnement et d</w:t>
      </w:r>
      <w:r w:rsidRPr="00822B81">
        <w:rPr>
          <w:sz w:val="20"/>
        </w:rPr>
        <w:t xml:space="preserve">es ressources naturelles impliquant la gestion durable de l’environnement ainsi que des ressources naturelles renouvelables, et ii) </w:t>
      </w:r>
      <w:r w:rsidR="007E4203">
        <w:rPr>
          <w:sz w:val="20"/>
        </w:rPr>
        <w:t>la lutte</w:t>
      </w:r>
      <w:r w:rsidRPr="00822B81">
        <w:rPr>
          <w:sz w:val="20"/>
        </w:rPr>
        <w:t xml:space="preserve"> contre le changement climatique </w:t>
      </w:r>
      <w:r w:rsidR="00A95447">
        <w:rPr>
          <w:sz w:val="20"/>
        </w:rPr>
        <w:t>dans ses deux dimensions que sont</w:t>
      </w:r>
      <w:r w:rsidRPr="00822B81">
        <w:rPr>
          <w:sz w:val="20"/>
        </w:rPr>
        <w:t xml:space="preserve"> l’atténuation et l’adaptation. </w:t>
      </w:r>
    </w:p>
    <w:p w:rsidR="00D92895" w:rsidRPr="00822B81" w:rsidRDefault="00D92895" w:rsidP="00D92895">
      <w:pPr>
        <w:jc w:val="both"/>
        <w:rPr>
          <w:sz w:val="20"/>
        </w:rPr>
      </w:pPr>
      <w:r w:rsidRPr="00822B81">
        <w:rPr>
          <w:sz w:val="20"/>
        </w:rPr>
        <w:t>De grandes contributions à ces objec</w:t>
      </w:r>
      <w:r w:rsidR="00F356C7">
        <w:rPr>
          <w:sz w:val="20"/>
        </w:rPr>
        <w:t>tifs ont été réalisées dans le secteur forestier</w:t>
      </w:r>
      <w:r w:rsidRPr="00822B81">
        <w:rPr>
          <w:sz w:val="20"/>
        </w:rPr>
        <w:t xml:space="preserve"> appuyé par la Banque mondiale et </w:t>
      </w:r>
      <w:r w:rsidR="007E4203">
        <w:rPr>
          <w:sz w:val="20"/>
        </w:rPr>
        <w:t>la communauté de bailleurs. On peut citer</w:t>
      </w:r>
      <w:r w:rsidRPr="00822B81">
        <w:rPr>
          <w:sz w:val="20"/>
        </w:rPr>
        <w:t xml:space="preserve"> : i) la promulgation du Code Forestier, en 2002, qui protège les droits des Communautés Locales et des Peuples Autochtones, tout en fixant des règles de gestion durable à l’exploitation forestière industrielle, ii) la revue légale participative du secteur forestier qui a abouti à la réduction des concessions forestières de 22,4 millions d’hectares en 2005 à 12,2 millions d’ha en titres reconvertis en 2011, tout en maintenant un moratoire toujours en vigueur sur l’attribution de nouvelles concessions, et iii) la signature de contrats de cahiers des charges pour quelques 80 concessions forestières les autres étant en cours de négociation entre les communautés locales et les exploitant</w:t>
      </w:r>
      <w:r w:rsidR="007E4203">
        <w:rPr>
          <w:sz w:val="20"/>
        </w:rPr>
        <w:t>s</w:t>
      </w:r>
      <w:r w:rsidRPr="00822B81">
        <w:rPr>
          <w:sz w:val="20"/>
        </w:rPr>
        <w:t xml:space="preserve"> forestiers, sous l’égide du Projet Forêt et Conservation de la Nature de la Banque mondiale. D’importants efforts de renforcement de capacité sont par ailleurs en cours avec </w:t>
      </w:r>
      <w:r w:rsidR="00D93EE5">
        <w:rPr>
          <w:sz w:val="20"/>
        </w:rPr>
        <w:t xml:space="preserve">le Ministère de l’Environnement, </w:t>
      </w:r>
      <w:r w:rsidR="00D93EE5" w:rsidRPr="00D93EE5">
        <w:rPr>
          <w:sz w:val="20"/>
        </w:rPr>
        <w:t xml:space="preserve">Conservation de la Nature </w:t>
      </w:r>
      <w:r w:rsidRPr="00822B81">
        <w:rPr>
          <w:sz w:val="20"/>
        </w:rPr>
        <w:t>et Développement Durable (ME</w:t>
      </w:r>
      <w:r w:rsidR="0091294E">
        <w:rPr>
          <w:sz w:val="20"/>
        </w:rPr>
        <w:t>CN</w:t>
      </w:r>
      <w:r w:rsidRPr="00822B81">
        <w:rPr>
          <w:sz w:val="20"/>
        </w:rPr>
        <w:t>DD), ex Ministère de l’Environnement, Conservation de la Nature et Tourisme (MECNT).</w:t>
      </w:r>
    </w:p>
    <w:p w:rsidR="00D92895" w:rsidRPr="00822B81" w:rsidRDefault="00D92895" w:rsidP="00D92895">
      <w:pPr>
        <w:jc w:val="both"/>
        <w:rPr>
          <w:sz w:val="20"/>
        </w:rPr>
      </w:pPr>
      <w:r w:rsidRPr="00822B81">
        <w:rPr>
          <w:sz w:val="20"/>
        </w:rPr>
        <w:t xml:space="preserve">Le processus de préparation (« Readiness » en anglais) à la REDD+ en RDC est en lien direct avec le 4ème pilier du DSCRP. Initié en 2009, il a fait des progrès sensibles : un Comité de Pilotage est constitué au niveau national. La Coordination Nationale REDD+ (CN-REDD), bras opérationnel de la REDD+ en RDC et placée au sein du </w:t>
      </w:r>
      <w:r w:rsidR="00D93EE5">
        <w:rPr>
          <w:sz w:val="20"/>
        </w:rPr>
        <w:t>MECNDD</w:t>
      </w:r>
      <w:r w:rsidRPr="00822B81">
        <w:rPr>
          <w:sz w:val="20"/>
        </w:rPr>
        <w:t>, a bénéficié d’un premier don du FCPF qui lui a permis d’élaborer et d’achever sa Proposition de Préparation à la REDD+ (Readiness Prepar</w:t>
      </w:r>
      <w:r w:rsidR="00D93EE5">
        <w:rPr>
          <w:sz w:val="20"/>
        </w:rPr>
        <w:t>ation Proposal ou R-PP) en 2011. Supportée aussi par le programme ONU-REDD, la RDC a produit dans la foulée une</w:t>
      </w:r>
      <w:r w:rsidRPr="00822B81">
        <w:rPr>
          <w:sz w:val="20"/>
        </w:rPr>
        <w:t xml:space="preserve"> Stratégie Nationale Cadre REDD+ en décembre 2012 (approuvée en Conseil des Ministres). Un deuxième don</w:t>
      </w:r>
      <w:r w:rsidR="00D93EE5">
        <w:rPr>
          <w:sz w:val="20"/>
        </w:rPr>
        <w:t xml:space="preserve"> du FCPF</w:t>
      </w:r>
      <w:r w:rsidRPr="00822B81">
        <w:rPr>
          <w:sz w:val="20"/>
        </w:rPr>
        <w:t>, mis en place en 2014 a permis de produire les instruments de sauvegarde environnementale et sociale (</w:t>
      </w:r>
      <w:r w:rsidR="0024009E" w:rsidRPr="0024009E">
        <w:rPr>
          <w:sz w:val="20"/>
        </w:rPr>
        <w:t xml:space="preserve">Evaluation Environnementale et Sociale Stratégique </w:t>
      </w:r>
      <w:r w:rsidR="0024009E">
        <w:rPr>
          <w:sz w:val="20"/>
        </w:rPr>
        <w:t>(</w:t>
      </w:r>
      <w:r w:rsidRPr="00822B81">
        <w:rPr>
          <w:sz w:val="20"/>
        </w:rPr>
        <w:t>EESS</w:t>
      </w:r>
      <w:r w:rsidR="0024009E">
        <w:rPr>
          <w:sz w:val="20"/>
        </w:rPr>
        <w:t>)</w:t>
      </w:r>
      <w:r w:rsidRPr="00822B81">
        <w:rPr>
          <w:sz w:val="20"/>
        </w:rPr>
        <w:t xml:space="preserve"> et Cadres de Gestion) et d’engager les dernières études permettant, d’ici à la fin 201</w:t>
      </w:r>
      <w:r w:rsidR="0024009E">
        <w:rPr>
          <w:sz w:val="20"/>
        </w:rPr>
        <w:t>6</w:t>
      </w:r>
      <w:r w:rsidRPr="00822B81">
        <w:rPr>
          <w:sz w:val="20"/>
        </w:rPr>
        <w:t xml:space="preserve">, de mettre au point le Registre ainsi que les procédures détaillées d’homologation et de suivi-évaluation des réalisations des projets. Ces dernières études incluent  l’application des sauvegardes, la mesure de la performance des projets en matière de lutte contre la déforestation et la dégradation des forêts pour enfin créer le cadre opérationnel des règles s’appliquant à la prise en charge des coûts et au partage des bénéfices de la REDD+. C’est dans ce contexte que la RDC a finalisé en mars 2015 son document  d’auto-évaluation participative du dossier </w:t>
      </w:r>
      <w:r w:rsidR="00D93EE5">
        <w:rPr>
          <w:sz w:val="20"/>
        </w:rPr>
        <w:t>préparatoire à la REDD+ qui a été approuvé par les</w:t>
      </w:r>
      <w:r w:rsidRPr="00822B81">
        <w:rPr>
          <w:sz w:val="20"/>
        </w:rPr>
        <w:t xml:space="preserve"> participants du</w:t>
      </w:r>
      <w:r w:rsidR="00D93EE5">
        <w:rPr>
          <w:sz w:val="20"/>
        </w:rPr>
        <w:t xml:space="preserve"> Fonds de Préparation du FCPF</w:t>
      </w:r>
      <w:r w:rsidRPr="00822B81">
        <w:rPr>
          <w:sz w:val="20"/>
        </w:rPr>
        <w:t xml:space="preserve"> en mai 2015.</w:t>
      </w:r>
    </w:p>
    <w:p w:rsidR="00D92895" w:rsidRPr="00DA49F8" w:rsidRDefault="00D92895" w:rsidP="00DA49F8">
      <w:pPr>
        <w:jc w:val="both"/>
        <w:rPr>
          <w:sz w:val="20"/>
        </w:rPr>
      </w:pPr>
      <w:r w:rsidRPr="00DA49F8">
        <w:rPr>
          <w:sz w:val="20"/>
        </w:rPr>
        <w:t>La Stratégie Nationale Cadre REDD+ de la RDC s’appuie sur 7 piliers pour traiter les causes directes et sous-jacentes de la déforestation tout en permettant le développement durable et la lutte contre la pauvreté :</w:t>
      </w:r>
    </w:p>
    <w:p w:rsidR="00D92895" w:rsidRPr="00DA49F8" w:rsidRDefault="00D92895" w:rsidP="002E3A02">
      <w:pPr>
        <w:pStyle w:val="ListParagraph"/>
        <w:numPr>
          <w:ilvl w:val="0"/>
          <w:numId w:val="6"/>
        </w:numPr>
        <w:spacing w:after="120"/>
        <w:jc w:val="both"/>
        <w:rPr>
          <w:rFonts w:asciiTheme="minorHAnsi" w:eastAsiaTheme="minorEastAsia" w:hAnsiTheme="minorHAnsi" w:cstheme="minorBidi"/>
          <w:sz w:val="20"/>
          <w:szCs w:val="22"/>
        </w:rPr>
      </w:pPr>
      <w:r w:rsidRPr="00DA49F8">
        <w:rPr>
          <w:rFonts w:asciiTheme="minorHAnsi" w:eastAsiaTheme="minorEastAsia" w:hAnsiTheme="minorHAnsi" w:cstheme="minorBidi"/>
          <w:sz w:val="20"/>
          <w:szCs w:val="22"/>
        </w:rPr>
        <w:t>un pilier agriculture, axé sur la diversification des pratiques agricoles actuellement dominées par la jachère brulis en forêt : culture et reconquête forestière des savanes, cultures pérennes, amélioration des performances de la jachère brulis, etc.;</w:t>
      </w:r>
    </w:p>
    <w:p w:rsidR="00D92895" w:rsidRPr="00DA49F8" w:rsidRDefault="00D92895" w:rsidP="002E3A02">
      <w:pPr>
        <w:pStyle w:val="ListParagraph"/>
        <w:numPr>
          <w:ilvl w:val="0"/>
          <w:numId w:val="6"/>
        </w:numPr>
        <w:spacing w:after="120"/>
        <w:jc w:val="both"/>
        <w:rPr>
          <w:rFonts w:asciiTheme="minorHAnsi" w:eastAsiaTheme="minorEastAsia" w:hAnsiTheme="minorHAnsi" w:cstheme="minorBidi"/>
          <w:sz w:val="20"/>
          <w:szCs w:val="22"/>
        </w:rPr>
      </w:pPr>
      <w:r w:rsidRPr="00DA49F8">
        <w:rPr>
          <w:rFonts w:asciiTheme="minorHAnsi" w:eastAsiaTheme="minorEastAsia" w:hAnsiTheme="minorHAnsi" w:cstheme="minorBidi"/>
          <w:sz w:val="20"/>
          <w:szCs w:val="22"/>
        </w:rPr>
        <w:t>un pilier aménagement du Territoire, afin d’identifier les opportunités de mise en valeur et de conservation des ressources naturelles, aux différents niveaux d’organisation des Territoires, ainsi que les besoins d’investissements collectifs et privés associés;</w:t>
      </w:r>
    </w:p>
    <w:p w:rsidR="00D92895" w:rsidRPr="00DA49F8" w:rsidRDefault="00D92895" w:rsidP="002E3A02">
      <w:pPr>
        <w:pStyle w:val="ListParagraph"/>
        <w:numPr>
          <w:ilvl w:val="0"/>
          <w:numId w:val="6"/>
        </w:numPr>
        <w:spacing w:after="120"/>
        <w:jc w:val="both"/>
        <w:rPr>
          <w:rFonts w:asciiTheme="minorHAnsi" w:eastAsiaTheme="minorEastAsia" w:hAnsiTheme="minorHAnsi" w:cstheme="minorBidi"/>
          <w:sz w:val="20"/>
          <w:szCs w:val="22"/>
        </w:rPr>
      </w:pPr>
      <w:r w:rsidRPr="00DA49F8">
        <w:rPr>
          <w:rFonts w:asciiTheme="minorHAnsi" w:eastAsiaTheme="minorEastAsia" w:hAnsiTheme="minorHAnsi" w:cstheme="minorBidi"/>
          <w:sz w:val="20"/>
          <w:szCs w:val="22"/>
        </w:rPr>
        <w:t>un pilier  forêt, pour une exploitation durable des forêts à bénéfices partagés: application du Code Forestier, lutte contre l’exploitation forestière illégale, élaboration et application des Plans de Gestion Durable, mise en œuvre des cahiers des charges et expérimentation des concessions d’exploitation communautaire des forêts;</w:t>
      </w:r>
    </w:p>
    <w:p w:rsidR="00D92895" w:rsidRPr="00DA49F8" w:rsidRDefault="00D92895" w:rsidP="002E3A02">
      <w:pPr>
        <w:pStyle w:val="ListParagraph"/>
        <w:numPr>
          <w:ilvl w:val="0"/>
          <w:numId w:val="6"/>
        </w:numPr>
        <w:spacing w:after="120"/>
        <w:jc w:val="both"/>
        <w:rPr>
          <w:rFonts w:asciiTheme="minorHAnsi" w:eastAsiaTheme="minorEastAsia" w:hAnsiTheme="minorHAnsi" w:cstheme="minorBidi"/>
          <w:sz w:val="20"/>
          <w:szCs w:val="22"/>
        </w:rPr>
      </w:pPr>
      <w:r w:rsidRPr="00DA49F8">
        <w:rPr>
          <w:rFonts w:asciiTheme="minorHAnsi" w:eastAsiaTheme="minorEastAsia" w:hAnsiTheme="minorHAnsi" w:cstheme="minorBidi"/>
          <w:sz w:val="20"/>
          <w:szCs w:val="22"/>
        </w:rPr>
        <w:lastRenderedPageBreak/>
        <w:t>un pilier foncier, pour une affectation équitable des terres agricoles et rendre possible, en les sécurisant, les investissements locaux et/ou étrangers;</w:t>
      </w:r>
    </w:p>
    <w:p w:rsidR="00D92895" w:rsidRPr="00DA49F8" w:rsidRDefault="00D92895" w:rsidP="002E3A02">
      <w:pPr>
        <w:pStyle w:val="ListParagraph"/>
        <w:numPr>
          <w:ilvl w:val="0"/>
          <w:numId w:val="6"/>
        </w:numPr>
        <w:spacing w:after="120"/>
        <w:jc w:val="both"/>
        <w:rPr>
          <w:rFonts w:asciiTheme="minorHAnsi" w:eastAsiaTheme="minorEastAsia" w:hAnsiTheme="minorHAnsi" w:cstheme="minorBidi"/>
          <w:sz w:val="20"/>
          <w:szCs w:val="22"/>
        </w:rPr>
      </w:pPr>
      <w:r w:rsidRPr="00DA49F8">
        <w:rPr>
          <w:rFonts w:asciiTheme="minorHAnsi" w:eastAsiaTheme="minorEastAsia" w:hAnsiTheme="minorHAnsi" w:cstheme="minorBidi"/>
          <w:sz w:val="20"/>
          <w:szCs w:val="22"/>
        </w:rPr>
        <w:t>un pilier énergie, axé sur l’amélioration des performances de la filière bois énergie (plantations agroforestières, amélioration des techniques de carbonisation) et l’optimisation énergétique des foyers améliorés;</w:t>
      </w:r>
    </w:p>
    <w:p w:rsidR="00D92895" w:rsidRPr="00DA49F8" w:rsidRDefault="00D92895" w:rsidP="002E3A02">
      <w:pPr>
        <w:pStyle w:val="ListParagraph"/>
        <w:numPr>
          <w:ilvl w:val="0"/>
          <w:numId w:val="6"/>
        </w:numPr>
        <w:spacing w:after="120"/>
        <w:jc w:val="both"/>
        <w:rPr>
          <w:rFonts w:asciiTheme="minorHAnsi" w:eastAsiaTheme="minorEastAsia" w:hAnsiTheme="minorHAnsi" w:cstheme="minorBidi"/>
          <w:sz w:val="20"/>
          <w:szCs w:val="22"/>
        </w:rPr>
      </w:pPr>
      <w:r w:rsidRPr="00DA49F8">
        <w:rPr>
          <w:rFonts w:asciiTheme="minorHAnsi" w:eastAsiaTheme="minorEastAsia" w:hAnsiTheme="minorHAnsi" w:cstheme="minorBidi"/>
          <w:sz w:val="20"/>
          <w:szCs w:val="22"/>
        </w:rPr>
        <w:t>un pilier gouvernance, pour renforcer les capacités de l’ensemble des acteurs du développement rural dans les processus d’affectation des terres agricoles, d’élevage et forestières, d’application  rigoureuse et simplifiée des codes et règlements et de lutte contre les tracasseries et la mégestion;</w:t>
      </w:r>
    </w:p>
    <w:p w:rsidR="00D92895" w:rsidRPr="00DA49F8" w:rsidRDefault="00D92895" w:rsidP="002E3A02">
      <w:pPr>
        <w:pStyle w:val="ListParagraph"/>
        <w:numPr>
          <w:ilvl w:val="0"/>
          <w:numId w:val="6"/>
        </w:numPr>
        <w:jc w:val="both"/>
        <w:rPr>
          <w:rFonts w:asciiTheme="minorHAnsi" w:hAnsiTheme="minorHAnsi"/>
          <w:sz w:val="20"/>
        </w:rPr>
      </w:pPr>
      <w:r w:rsidRPr="00DA49F8">
        <w:rPr>
          <w:rFonts w:asciiTheme="minorHAnsi" w:eastAsiaTheme="minorEastAsia" w:hAnsiTheme="minorHAnsi" w:cstheme="minorBidi"/>
          <w:sz w:val="20"/>
          <w:szCs w:val="22"/>
        </w:rPr>
        <w:t>un pilier</w:t>
      </w:r>
      <w:r w:rsidRPr="00DA49F8">
        <w:rPr>
          <w:rFonts w:asciiTheme="minorHAnsi" w:hAnsiTheme="minorHAnsi"/>
          <w:sz w:val="20"/>
        </w:rPr>
        <w:t xml:space="preserve"> démographie, pour aider la RDC à maîtriser une démographie dont les taux élevés de croissance, tant urbaine que rurale, contribuent autant à la déforestation qu’à la pauvreté des populations. </w:t>
      </w:r>
    </w:p>
    <w:p w:rsidR="00DA49F8" w:rsidRPr="00D92895" w:rsidRDefault="00DA49F8" w:rsidP="00DA49F8">
      <w:pPr>
        <w:pStyle w:val="ListParagraph"/>
        <w:jc w:val="both"/>
        <w:rPr>
          <w:sz w:val="20"/>
        </w:rPr>
      </w:pPr>
    </w:p>
    <w:p w:rsidR="00E97C3A" w:rsidRDefault="00D92895" w:rsidP="00DA49F8">
      <w:pPr>
        <w:jc w:val="both"/>
        <w:rPr>
          <w:sz w:val="20"/>
        </w:rPr>
      </w:pPr>
      <w:r w:rsidRPr="00D92895">
        <w:rPr>
          <w:sz w:val="20"/>
        </w:rPr>
        <w:t>L’ensemble du processus de préparation à la REDD+, y compris celui du PIF a fait l’objet d’intenses consultations avec l’ensemble des parties prenantes à la REDD+, avec notamment la société civile, le secteur privé et toutes les administrations concernées. Le Groupe de Travail Climat REDD+ (GTCR</w:t>
      </w:r>
      <w:r w:rsidR="00AB2881">
        <w:rPr>
          <w:sz w:val="20"/>
        </w:rPr>
        <w:t xml:space="preserve"> rénové</w:t>
      </w:r>
      <w:r w:rsidRPr="00D92895">
        <w:rPr>
          <w:sz w:val="20"/>
        </w:rPr>
        <w:t xml:space="preserve">) a été constitué dès 2009 pour devenir l’interlocuteur permanent de la CN-REDD au nom de la Société Civile et pour participer à ses instances de pilotage. Le GTCR </w:t>
      </w:r>
      <w:r w:rsidR="00AB2881" w:rsidRPr="00AB2881">
        <w:rPr>
          <w:sz w:val="20"/>
        </w:rPr>
        <w:t xml:space="preserve">rénové </w:t>
      </w:r>
      <w:r w:rsidRPr="00D92895">
        <w:rPr>
          <w:sz w:val="20"/>
        </w:rPr>
        <w:t>représente l’ensemble des ONG environnementales de la RDC et les peuples autochtones,  à Kinshasa comme dans les Provinces où il dispose de points focaux. Tous les textes de la REDD+ (Stratégie Cadre, études de sauvegardes, projet PIF) ont fait l’objet de multiples consultations, impliquant des centai</w:t>
      </w:r>
      <w:r w:rsidR="00AD0551">
        <w:rPr>
          <w:sz w:val="20"/>
        </w:rPr>
        <w:t>nes d’acteurs de tous horizons.</w:t>
      </w:r>
    </w:p>
    <w:p w:rsidR="00E115A0" w:rsidRPr="00D92895" w:rsidRDefault="00AD0551" w:rsidP="00E115A0">
      <w:pPr>
        <w:pBdr>
          <w:top w:val="single" w:sz="4" w:space="1" w:color="auto"/>
          <w:left w:val="single" w:sz="4" w:space="4" w:color="auto"/>
          <w:bottom w:val="single" w:sz="4" w:space="1" w:color="auto"/>
          <w:right w:val="single" w:sz="4" w:space="4" w:color="auto"/>
        </w:pBdr>
        <w:jc w:val="both"/>
        <w:rPr>
          <w:sz w:val="20"/>
        </w:rPr>
      </w:pPr>
      <w:r>
        <w:rPr>
          <w:sz w:val="20"/>
        </w:rPr>
        <w:t xml:space="preserve">La RDC dispose depuis mai 2015 d’une infrastructure nationale REDD+ qui lui permet d’envisager l’étape d’après, celle des paiements sur </w:t>
      </w:r>
      <w:r w:rsidR="00E115A0">
        <w:rPr>
          <w:sz w:val="20"/>
        </w:rPr>
        <w:t>résultats, le tout dans un cadre social et environnemental sécurisé et harmonieux. Mais cette nouvelle étape nécessite des investissements de départ que la plupart des parties prenantes ne sont pas en mesure de produire. Le présent projet se propose de lever ces barrières financières</w:t>
      </w:r>
      <w:r w:rsidR="0038513C">
        <w:rPr>
          <w:sz w:val="20"/>
        </w:rPr>
        <w:t xml:space="preserve"> afin de pouvoir</w:t>
      </w:r>
      <w:r w:rsidR="00E115A0">
        <w:rPr>
          <w:sz w:val="20"/>
        </w:rPr>
        <w:t xml:space="preserve"> expérimenter le processus REDD+ dans l’atteinte de ses objectifs ultimes. Sa conception et sa mise en œuvre </w:t>
      </w:r>
      <w:r w:rsidR="0038513C">
        <w:rPr>
          <w:sz w:val="20"/>
        </w:rPr>
        <w:t>s’inscrivent dans le cadre d’une approche programmatique alignant diverses initiatives (PIF, ONU-REDD</w:t>
      </w:r>
      <w:r w:rsidR="0024009E">
        <w:rPr>
          <w:sz w:val="20"/>
        </w:rPr>
        <w:t xml:space="preserve">, </w:t>
      </w:r>
      <w:r w:rsidR="0038513C">
        <w:rPr>
          <w:sz w:val="20"/>
        </w:rPr>
        <w:t>FCPF) pour en optimiser les synergies et leurs impacts transformationnels.</w:t>
      </w:r>
    </w:p>
    <w:p w:rsidR="00D92895" w:rsidRPr="00D33E12" w:rsidRDefault="005B020E" w:rsidP="00DA49F8">
      <w:pPr>
        <w:jc w:val="both"/>
        <w:rPr>
          <w:b/>
          <w:sz w:val="20"/>
        </w:rPr>
      </w:pPr>
      <w:r w:rsidRPr="005B020E">
        <w:rPr>
          <w:b/>
          <w:sz w:val="20"/>
        </w:rPr>
        <w:t>Le Projet d’Investissement Forestier de la RDC</w:t>
      </w:r>
      <w:r w:rsidR="00D33E12">
        <w:rPr>
          <w:b/>
          <w:sz w:val="20"/>
        </w:rPr>
        <w:t xml:space="preserve">. </w:t>
      </w:r>
      <w:r w:rsidR="00D92895" w:rsidRPr="00D92895">
        <w:rPr>
          <w:sz w:val="20"/>
        </w:rPr>
        <w:t>Engagée ainsi depuis janvier 2009 dans le processus de préparation à la REDD+, la RDC a été sélectionnée en 2010 parmi les huit pays pilote du Programme d’Investissement pour la Forêt (PIF), l’un des trois Programmes du Fonds  Stratégique pour le Climat (FSC). Le PIF de la RDC s’insère dans le processus national REDD+ en tant que première source de financement devant permettre à la RDC d’entrer dans une phase d’investissement pour engager un déploiement opérationnel et à grande échelle de la REDD+ et engager les premiers programmes de transformation sectoriels à partir du premier trimestre 2015.</w:t>
      </w:r>
    </w:p>
    <w:p w:rsidR="00D92895" w:rsidRPr="00D92895" w:rsidRDefault="00D92895" w:rsidP="00DA49F8">
      <w:pPr>
        <w:jc w:val="both"/>
        <w:rPr>
          <w:sz w:val="20"/>
        </w:rPr>
      </w:pPr>
      <w:r w:rsidRPr="00D92895">
        <w:rPr>
          <w:sz w:val="20"/>
        </w:rPr>
        <w:t xml:space="preserve">En juin 2011, le </w:t>
      </w:r>
      <w:r w:rsidRPr="00B60667">
        <w:rPr>
          <w:b/>
          <w:sz w:val="20"/>
        </w:rPr>
        <w:t>Plan d’Investissement du PIF de la RDC</w:t>
      </w:r>
      <w:r w:rsidRPr="00D92895">
        <w:rPr>
          <w:sz w:val="20"/>
        </w:rPr>
        <w:t xml:space="preserve"> a été approuvé et validé par le Sous-Comité du PIF pour un montant d’environ 60 millions de dollars américains de don. Ce plan d’investissement est exécuté à travers deux projets prioritaires : i) le Projet de gestion améliorée des paysages forestiers (PGAPF : 36,9 millions $US), supervisé par la Banque mondiale, et ii) le Projet intégré REDD+ dans les bassins de Mbuji-Mayi/Kananga et de Kisangani (PIREDD/MBKIS : 22,3 millions $US), supervisé par  la Banque Africaine de Développement. Dans les deux cas, les projets se réfèrent aux trois objectifs principaux du Plan d’Investissement à savoir : i) concentrer les investissements sur les « points chauds » de la déforestation dans les bassins d’approvisionnement des grandes villes, ii) canaliser les investissements vers les secteurs d’activités permettant de répondre aux causes directes de la déforestation et de générer des réductions d’émission mesurables et valorisables, et iii) apporter les appuis nécessaires à la création des conditions favorables à l’essor de ces secteurs et à la durabilité des actions tout en  permettant de  traiter certaines causes sous-jacentes de la déforestation. Au niveau local, il s’agit d’apporter un appui concret au développement des projets des communautés locales et Peuples Autochtones et du secteur privé.</w:t>
      </w:r>
    </w:p>
    <w:p w:rsidR="00D92895" w:rsidRPr="00D92895" w:rsidRDefault="00D92895" w:rsidP="00DA49F8">
      <w:pPr>
        <w:jc w:val="both"/>
        <w:rPr>
          <w:sz w:val="20"/>
        </w:rPr>
      </w:pPr>
      <w:r w:rsidRPr="00B60667">
        <w:rPr>
          <w:b/>
          <w:sz w:val="20"/>
        </w:rPr>
        <w:t xml:space="preserve">Le Projet de Gestion Améliorée des Paysages Forestiers (PGAPF) </w:t>
      </w:r>
      <w:r w:rsidRPr="00D92895">
        <w:rPr>
          <w:sz w:val="20"/>
        </w:rPr>
        <w:t xml:space="preserve">: l’objectif global de ce projet est d’améliorer les conditions de vie et la gestion des paysages forestiers, afin de réduire les émissions de gaz à effet de serre issues de la déforestation et de la dégradation forestière. Son financement est de 36.9 millions $US.  Il comprend 4 composantes. La composante 1, d’un montant de 14,2 millions $US, est le Projet Intégré REDD+ </w:t>
      </w:r>
      <w:r w:rsidR="00A5055A">
        <w:rPr>
          <w:sz w:val="20"/>
        </w:rPr>
        <w:t>du Plateau</w:t>
      </w:r>
      <w:r w:rsidRPr="00D92895">
        <w:rPr>
          <w:sz w:val="20"/>
        </w:rPr>
        <w:t xml:space="preserve"> (le PIREDD Plateau, le</w:t>
      </w:r>
      <w:r w:rsidR="00E31F93">
        <w:rPr>
          <w:sz w:val="20"/>
        </w:rPr>
        <w:t xml:space="preserve"> district </w:t>
      </w:r>
      <w:r w:rsidR="00A5055A">
        <w:rPr>
          <w:sz w:val="20"/>
        </w:rPr>
        <w:t>du Plateau</w:t>
      </w:r>
      <w:r w:rsidRPr="00D92895">
        <w:rPr>
          <w:sz w:val="20"/>
        </w:rPr>
        <w:t xml:space="preserve"> étant l’un des deux dis</w:t>
      </w:r>
      <w:r w:rsidR="00E12DC6">
        <w:rPr>
          <w:sz w:val="20"/>
        </w:rPr>
        <w:t>tricts constitutifs de la</w:t>
      </w:r>
      <w:r w:rsidRPr="00D92895">
        <w:rPr>
          <w:sz w:val="20"/>
        </w:rPr>
        <w:t xml:space="preserve"> Province du </w:t>
      </w:r>
      <w:r w:rsidR="00AA6D17">
        <w:rPr>
          <w:sz w:val="20"/>
        </w:rPr>
        <w:t>Mai-Ndombe</w:t>
      </w:r>
      <w:r w:rsidR="00E12DC6">
        <w:rPr>
          <w:sz w:val="20"/>
        </w:rPr>
        <w:t>). Il est</w:t>
      </w:r>
      <w:r w:rsidRPr="00D92895">
        <w:rPr>
          <w:sz w:val="20"/>
        </w:rPr>
        <w:t xml:space="preserve"> mis en œuvre par une Agence Locale d’Exécution (ALE) Internationale, le World Wildlife Fund (WWF) mais s’appuiera également sur les Services </w:t>
      </w:r>
      <w:r w:rsidRPr="00D92895">
        <w:rPr>
          <w:sz w:val="20"/>
        </w:rPr>
        <w:lastRenderedPageBreak/>
        <w:t>Techniques de l’Environnement et de l’Agriculture. La composante 2a, d’un montant de 5,9 millions $US, concerne les plantations agroforestières en savane (de 50 à 500 ha). Elle est dirigée vers le secte</w:t>
      </w:r>
      <w:r w:rsidR="00E12DC6">
        <w:rPr>
          <w:sz w:val="20"/>
        </w:rPr>
        <w:t>ur privé, en cofinancement, et vient de faire</w:t>
      </w:r>
      <w:r w:rsidRPr="00D92895">
        <w:rPr>
          <w:sz w:val="20"/>
        </w:rPr>
        <w:t xml:space="preserve"> l’objet d’un appel à propositions. La composante 2b, d’un montant de 2,1 millions $US, cible la diminution de la consommation de bois énergie par les ménages urbains, en particulier à Kinshasa, en soutien aux entrepreneurs privés engagés dans la diffusion de foyers améliorés aux performances certifiées. La composante 3, d’un montant </w:t>
      </w:r>
      <w:r w:rsidR="00E12DC6">
        <w:rPr>
          <w:sz w:val="20"/>
        </w:rPr>
        <w:t>de 10,5 millions $US, soutient</w:t>
      </w:r>
      <w:r w:rsidRPr="00D92895">
        <w:rPr>
          <w:sz w:val="20"/>
        </w:rPr>
        <w:t xml:space="preserve"> 7 Agences Locales d’Exécution (ALE) majoritairement situées dans la Province du Bas Congo, mais aussi sur le Plate</w:t>
      </w:r>
      <w:r w:rsidR="00E12DC6">
        <w:rPr>
          <w:sz w:val="20"/>
        </w:rPr>
        <w:t xml:space="preserve">au des Bateke et une partie du </w:t>
      </w:r>
      <w:r w:rsidR="004348C0">
        <w:rPr>
          <w:sz w:val="20"/>
        </w:rPr>
        <w:t>T</w:t>
      </w:r>
      <w:r w:rsidRPr="00D92895">
        <w:rPr>
          <w:sz w:val="20"/>
        </w:rPr>
        <w:t xml:space="preserve">erritoire de Kenge (Bukanga Lonzo) pour y diffuser l’agroforesterie communautaire et privée à petite échelle (de 1 à 50 ha), en savane. La composante 4  d’un montant de 4,2 millions $US concerne la gestion du projet par l’Unité de Coordination du PIF (UC-PIF) qui coordonne également le PIREDD MBKIS. </w:t>
      </w:r>
    </w:p>
    <w:p w:rsidR="00D92895" w:rsidRPr="00BE5B5E" w:rsidRDefault="00D92895" w:rsidP="00DA49F8">
      <w:pPr>
        <w:jc w:val="both"/>
        <w:rPr>
          <w:sz w:val="20"/>
        </w:rPr>
      </w:pPr>
      <w:r w:rsidRPr="00B60667">
        <w:rPr>
          <w:b/>
          <w:sz w:val="20"/>
        </w:rPr>
        <w:t xml:space="preserve">Le Projet Intégré REDD+ </w:t>
      </w:r>
      <w:r w:rsidR="00A5055A">
        <w:rPr>
          <w:b/>
          <w:sz w:val="20"/>
        </w:rPr>
        <w:t>du Plateau</w:t>
      </w:r>
      <w:r w:rsidRPr="00B60667">
        <w:rPr>
          <w:b/>
          <w:sz w:val="20"/>
        </w:rPr>
        <w:t xml:space="preserve">  </w:t>
      </w:r>
      <w:r w:rsidRPr="00B76E63">
        <w:rPr>
          <w:sz w:val="20"/>
        </w:rPr>
        <w:t>(PIREDD Plateau, composante</w:t>
      </w:r>
      <w:r w:rsidRPr="00D92895">
        <w:rPr>
          <w:sz w:val="20"/>
        </w:rPr>
        <w:t xml:space="preserve"> 1 du PGAPF, 14,2 millions $US) prévoit la réduction globale des émissions de gaz à effet de serre sur l’ensemble d’une juridiction, ici le district </w:t>
      </w:r>
      <w:r w:rsidR="00A5055A">
        <w:rPr>
          <w:sz w:val="20"/>
        </w:rPr>
        <w:t>du Plateau</w:t>
      </w:r>
      <w:r w:rsidRPr="00D92895">
        <w:rPr>
          <w:sz w:val="20"/>
        </w:rPr>
        <w:t>, dont la superficie est de 31</w:t>
      </w:r>
      <w:r w:rsidR="00AD3BA1">
        <w:rPr>
          <w:sz w:val="20"/>
        </w:rPr>
        <w:t xml:space="preserve"> </w:t>
      </w:r>
      <w:r w:rsidRPr="00D92895">
        <w:rPr>
          <w:sz w:val="20"/>
        </w:rPr>
        <w:t>751 km2 dont 23 169 km2 de forêt (69 %). Trois secteurs d’activité y contribuent : l’agriculture, l’environnement et le développement rural (organisation communautaire, infrastructures et équipement). La stratégie du projet est de renforcer les capacités aux différ</w:t>
      </w:r>
      <w:r w:rsidR="00E12DC6">
        <w:rPr>
          <w:sz w:val="20"/>
        </w:rPr>
        <w:t>ents niveaux de la gestion des t</w:t>
      </w:r>
      <w:r w:rsidRPr="00D92895">
        <w:rPr>
          <w:sz w:val="20"/>
        </w:rPr>
        <w:t xml:space="preserve">erritoires (terroirs coutumiers, comités locaux de développement, entités territoriales décentralisées) pour qu’y </w:t>
      </w:r>
      <w:r w:rsidRPr="00BE5B5E">
        <w:rPr>
          <w:sz w:val="20"/>
        </w:rPr>
        <w:t>soient formulés des Plans de Développement Durable (PDD)</w:t>
      </w:r>
      <w:r w:rsidR="003576EE">
        <w:rPr>
          <w:sz w:val="20"/>
        </w:rPr>
        <w:t xml:space="preserve"> et des Plans Simples de Gestion (PSG)</w:t>
      </w:r>
      <w:r w:rsidRPr="00BE5B5E">
        <w:rPr>
          <w:sz w:val="20"/>
        </w:rPr>
        <w:t xml:space="preserve">  qui combinent : </w:t>
      </w:r>
    </w:p>
    <w:p w:rsidR="00D92895" w:rsidRPr="00BE5B5E" w:rsidRDefault="00D92895" w:rsidP="002E3A02">
      <w:pPr>
        <w:pStyle w:val="ListParagraph"/>
        <w:numPr>
          <w:ilvl w:val="0"/>
          <w:numId w:val="10"/>
        </w:numPr>
        <w:spacing w:after="120"/>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la protection des espaces forestiers dont les stocks de carbone sont les plus élevés,</w:t>
      </w:r>
    </w:p>
    <w:p w:rsidR="00D92895" w:rsidRPr="00BE5B5E" w:rsidRDefault="00D92895" w:rsidP="002E3A02">
      <w:pPr>
        <w:pStyle w:val="ListParagraph"/>
        <w:numPr>
          <w:ilvl w:val="0"/>
          <w:numId w:val="10"/>
        </w:numPr>
        <w:spacing w:after="120"/>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la mise en défens des savanes pour favoriser la régénération naturelle assistée et les cultures vivrières ou pérennes adaptées,</w:t>
      </w:r>
    </w:p>
    <w:p w:rsidR="00D92895" w:rsidRPr="00BE5B5E" w:rsidRDefault="00D92895" w:rsidP="002E3A02">
      <w:pPr>
        <w:pStyle w:val="ListParagraph"/>
        <w:numPr>
          <w:ilvl w:val="0"/>
          <w:numId w:val="10"/>
        </w:numPr>
        <w:spacing w:after="120"/>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l’amélioration des performances des cultures vivrières à cycle court sur jachère forestière, notamment par le renouvellement du matériel végétal et la gestion améliorée de la jachère,</w:t>
      </w:r>
    </w:p>
    <w:p w:rsidR="00D92895" w:rsidRPr="00BE5B5E" w:rsidRDefault="00D92895" w:rsidP="002E3A02">
      <w:pPr>
        <w:pStyle w:val="ListParagraph"/>
        <w:numPr>
          <w:ilvl w:val="0"/>
          <w:numId w:val="10"/>
        </w:numPr>
        <w:spacing w:after="120"/>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le développement des cultures pérennes permettant de fixer davantage la part des superficies agricoles génératrices de revenus monétaires,</w:t>
      </w:r>
    </w:p>
    <w:p w:rsidR="00D92895" w:rsidRPr="00BE5B5E" w:rsidRDefault="00D92895" w:rsidP="002E3A02">
      <w:pPr>
        <w:pStyle w:val="ListParagraph"/>
        <w:numPr>
          <w:ilvl w:val="0"/>
          <w:numId w:val="10"/>
        </w:numPr>
        <w:spacing w:after="120"/>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la diversification des cultures et des activités agricoles comme la pisciculture ou l’apiculture,</w:t>
      </w:r>
    </w:p>
    <w:p w:rsidR="00D92895" w:rsidRPr="00BE5B5E" w:rsidRDefault="00D92895" w:rsidP="002E3A02">
      <w:pPr>
        <w:pStyle w:val="ListParagraph"/>
        <w:numPr>
          <w:ilvl w:val="0"/>
          <w:numId w:val="10"/>
        </w:numPr>
        <w:jc w:val="both"/>
        <w:rPr>
          <w:rFonts w:asciiTheme="minorHAnsi" w:hAnsiTheme="minorHAnsi"/>
          <w:sz w:val="20"/>
        </w:rPr>
      </w:pPr>
      <w:r w:rsidRPr="00BE5B5E">
        <w:rPr>
          <w:rFonts w:asciiTheme="minorHAnsi" w:eastAsiaTheme="minorEastAsia" w:hAnsiTheme="minorHAnsi" w:cstheme="minorBidi"/>
          <w:sz w:val="20"/>
          <w:szCs w:val="22"/>
        </w:rPr>
        <w:t>le développement d’infrastructures vitales (ponts, routes, équipements de transformation) permettant de maximiser les revenus commerciaux en diminuant les coûts de transport et en ajoutant de la valeur aux produits par leur transformation</w:t>
      </w:r>
      <w:r w:rsidRPr="00BE5B5E">
        <w:rPr>
          <w:rFonts w:asciiTheme="minorHAnsi" w:hAnsiTheme="minorHAnsi"/>
          <w:sz w:val="20"/>
        </w:rPr>
        <w:t xml:space="preserve">. </w:t>
      </w:r>
    </w:p>
    <w:p w:rsidR="00BE5B5E" w:rsidRDefault="00BE5B5E" w:rsidP="00BE5B5E">
      <w:pPr>
        <w:spacing w:after="0" w:line="240" w:lineRule="auto"/>
        <w:jc w:val="both"/>
        <w:rPr>
          <w:sz w:val="20"/>
        </w:rPr>
      </w:pPr>
    </w:p>
    <w:p w:rsidR="00D92895" w:rsidRPr="00D92895" w:rsidRDefault="00BE5B5E" w:rsidP="00DA49F8">
      <w:pPr>
        <w:jc w:val="both"/>
        <w:rPr>
          <w:sz w:val="20"/>
        </w:rPr>
      </w:pPr>
      <w:r>
        <w:rPr>
          <w:sz w:val="20"/>
        </w:rPr>
        <w:t xml:space="preserve">Le </w:t>
      </w:r>
      <w:r w:rsidR="00D92895" w:rsidRPr="00D92895">
        <w:rPr>
          <w:sz w:val="20"/>
        </w:rPr>
        <w:t>projet prévoit</w:t>
      </w:r>
      <w:r w:rsidR="004348C0">
        <w:rPr>
          <w:sz w:val="20"/>
        </w:rPr>
        <w:t>, en plus des PDD de Territoire et de S</w:t>
      </w:r>
      <w:r w:rsidR="003576EE">
        <w:rPr>
          <w:sz w:val="20"/>
        </w:rPr>
        <w:t>ecteur,</w:t>
      </w:r>
      <w:r w:rsidR="00D92895" w:rsidRPr="00D92895">
        <w:rPr>
          <w:sz w:val="20"/>
        </w:rPr>
        <w:t xml:space="preserve"> 175 </w:t>
      </w:r>
      <w:r w:rsidR="003576EE" w:rsidRPr="00D92895">
        <w:rPr>
          <w:sz w:val="20"/>
        </w:rPr>
        <w:t>P</w:t>
      </w:r>
      <w:r w:rsidR="003576EE">
        <w:rPr>
          <w:sz w:val="20"/>
        </w:rPr>
        <w:t>SG</w:t>
      </w:r>
      <w:r w:rsidR="003576EE" w:rsidRPr="00D92895">
        <w:rPr>
          <w:sz w:val="20"/>
        </w:rPr>
        <w:t xml:space="preserve"> </w:t>
      </w:r>
      <w:r w:rsidR="00D92895" w:rsidRPr="00D92895">
        <w:rPr>
          <w:sz w:val="20"/>
        </w:rPr>
        <w:t>avec les CLD de terroir, avec une mise en œuvre au travers de Paiements pour Services Environnementaux (PSE). Ces derniers intéresseront plus particulièrement des mises en défens (9000 ha de mises en défens en savane, permettant la régénération naturelle améliorée et la séquestration de 131 000 tonnes de carbone) et la plantation de 5000 ha en agroforesterie à cycle court (75</w:t>
      </w:r>
      <w:r w:rsidR="00AD3BA1">
        <w:rPr>
          <w:sz w:val="20"/>
        </w:rPr>
        <w:t xml:space="preserve"> </w:t>
      </w:r>
      <w:r w:rsidR="00D92895" w:rsidRPr="00D92895">
        <w:rPr>
          <w:sz w:val="20"/>
        </w:rPr>
        <w:t>000 tonnes de carbone séquestré).</w:t>
      </w:r>
    </w:p>
    <w:p w:rsidR="00D92895" w:rsidRPr="00D92895" w:rsidRDefault="00D92895" w:rsidP="00DA49F8">
      <w:pPr>
        <w:jc w:val="both"/>
        <w:rPr>
          <w:sz w:val="20"/>
        </w:rPr>
      </w:pPr>
      <w:r w:rsidRPr="00D92895">
        <w:rPr>
          <w:sz w:val="20"/>
        </w:rPr>
        <w:t xml:space="preserve">Le PIREDD Plateau </w:t>
      </w:r>
      <w:r w:rsidR="00AD3BA1">
        <w:rPr>
          <w:sz w:val="20"/>
        </w:rPr>
        <w:t>est</w:t>
      </w:r>
      <w:r w:rsidRPr="00D92895">
        <w:rPr>
          <w:sz w:val="20"/>
        </w:rPr>
        <w:t xml:space="preserve"> orienté par un Comité de Pilotage présidé par le Ministre de l’Environnement de l</w:t>
      </w:r>
      <w:r w:rsidR="00184186">
        <w:rPr>
          <w:sz w:val="20"/>
        </w:rPr>
        <w:t xml:space="preserve">a Province du </w:t>
      </w:r>
      <w:r w:rsidR="00AA6D17">
        <w:rPr>
          <w:sz w:val="20"/>
        </w:rPr>
        <w:t>Mai-Ndombe</w:t>
      </w:r>
      <w:r w:rsidR="00184186">
        <w:rPr>
          <w:sz w:val="20"/>
        </w:rPr>
        <w:t>. L’agence locale d’exécution</w:t>
      </w:r>
      <w:r w:rsidRPr="00D92895">
        <w:rPr>
          <w:sz w:val="20"/>
        </w:rPr>
        <w:t xml:space="preserve"> (World Wildlife Fund, WWF), en charge de la mise en œuvre du projet au travers d’un contrat de maitr</w:t>
      </w:r>
      <w:r w:rsidR="00184186">
        <w:rPr>
          <w:sz w:val="20"/>
        </w:rPr>
        <w:t>ise d’ouvrage déléguée, dispose</w:t>
      </w:r>
      <w:r w:rsidR="006D724A">
        <w:rPr>
          <w:sz w:val="20"/>
        </w:rPr>
        <w:t xml:space="preserve"> d’une base par </w:t>
      </w:r>
      <w:r w:rsidR="004348C0">
        <w:rPr>
          <w:sz w:val="20"/>
        </w:rPr>
        <w:t>T</w:t>
      </w:r>
      <w:r w:rsidRPr="00D92895">
        <w:rPr>
          <w:sz w:val="20"/>
        </w:rPr>
        <w:t>erritoire, avec des équipes chargées de réaliser les activités (plans de gestion, contrats avec les ONGs locales et le secteur privé, organisation des paiements et des investissements, suivi-évaluation des proxys).</w:t>
      </w:r>
    </w:p>
    <w:p w:rsidR="00D92895" w:rsidRPr="00D92895" w:rsidRDefault="00184186" w:rsidP="00DA49F8">
      <w:pPr>
        <w:jc w:val="both"/>
        <w:rPr>
          <w:sz w:val="20"/>
        </w:rPr>
      </w:pPr>
      <w:r>
        <w:rPr>
          <w:sz w:val="20"/>
        </w:rPr>
        <w:t>Le projet renforce</w:t>
      </w:r>
      <w:r w:rsidR="00D92895" w:rsidRPr="00D92895">
        <w:rPr>
          <w:sz w:val="20"/>
        </w:rPr>
        <w:t xml:space="preserve"> les capacités des Services Techniques de l’Environnement et de l’Agriculture en :</w:t>
      </w:r>
    </w:p>
    <w:p w:rsidR="00D92895" w:rsidRPr="00BE5B5E" w:rsidRDefault="00D92895" w:rsidP="002E3A02">
      <w:pPr>
        <w:pStyle w:val="ListParagraph"/>
        <w:numPr>
          <w:ilvl w:val="0"/>
          <w:numId w:val="7"/>
        </w:numPr>
        <w:spacing w:after="120"/>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intégrant à la structure opérationnelle de l’ALE des agents sélectionnés de ces structures, leur permettant d’acquérir les savoir-faire techniques et d’animation en lien avec la gestion améliorée des ressources naturelles,</w:t>
      </w:r>
    </w:p>
    <w:p w:rsidR="00D92895" w:rsidRPr="00BE5B5E" w:rsidRDefault="00D92895" w:rsidP="002E3A02">
      <w:pPr>
        <w:pStyle w:val="ListParagraph"/>
        <w:numPr>
          <w:ilvl w:val="0"/>
          <w:numId w:val="7"/>
        </w:numPr>
        <w:spacing w:after="120"/>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confiant aux Services Techniques de ces Ministères des fonctions de Suivi Evaluation régulier,</w:t>
      </w:r>
    </w:p>
    <w:p w:rsidR="00D92895" w:rsidRDefault="00D92895" w:rsidP="002E3A02">
      <w:pPr>
        <w:pStyle w:val="ListParagraph"/>
        <w:numPr>
          <w:ilvl w:val="0"/>
          <w:numId w:val="7"/>
        </w:numPr>
        <w:jc w:val="both"/>
        <w:rPr>
          <w:rFonts w:asciiTheme="minorHAnsi" w:eastAsiaTheme="minorEastAsia" w:hAnsiTheme="minorHAnsi" w:cstheme="minorBidi"/>
          <w:sz w:val="20"/>
          <w:szCs w:val="22"/>
        </w:rPr>
      </w:pPr>
      <w:r w:rsidRPr="00BE5B5E">
        <w:rPr>
          <w:rFonts w:asciiTheme="minorHAnsi" w:eastAsiaTheme="minorEastAsia" w:hAnsiTheme="minorHAnsi" w:cstheme="minorBidi"/>
          <w:sz w:val="20"/>
          <w:szCs w:val="22"/>
        </w:rPr>
        <w:t>appuyant ces services pour qu’ils contrôlent mieux l’exploitation forestière et la production du charbon de bois.</w:t>
      </w:r>
    </w:p>
    <w:p w:rsidR="00B60667" w:rsidRDefault="00B60667" w:rsidP="00D33E12">
      <w:pPr>
        <w:spacing w:after="0"/>
        <w:jc w:val="both"/>
        <w:rPr>
          <w:sz w:val="20"/>
        </w:rPr>
      </w:pPr>
    </w:p>
    <w:p w:rsidR="00A744CA" w:rsidRPr="00A744CA" w:rsidRDefault="00A744CA" w:rsidP="00A744CA">
      <w:pPr>
        <w:jc w:val="both"/>
        <w:rPr>
          <w:sz w:val="20"/>
        </w:rPr>
      </w:pPr>
      <w:r w:rsidRPr="00A744CA">
        <w:rPr>
          <w:b/>
          <w:sz w:val="20"/>
        </w:rPr>
        <w:t>Le Mécanisme Spécial de Dons (MSD).</w:t>
      </w:r>
      <w:r>
        <w:rPr>
          <w:sz w:val="20"/>
        </w:rPr>
        <w:t xml:space="preserve"> </w:t>
      </w:r>
      <w:r w:rsidRPr="00A744CA">
        <w:rPr>
          <w:sz w:val="20"/>
        </w:rPr>
        <w:t xml:space="preserve">Le MSD est conçu et développé comme une fenêtre spéciale dans le cadre du PIF afin d’octroyer des subventions aux Peuples Autochtones et aux communautés locales. Il est destiné à améliorer leurs </w:t>
      </w:r>
      <w:r w:rsidRPr="00A744CA">
        <w:rPr>
          <w:sz w:val="20"/>
        </w:rPr>
        <w:lastRenderedPageBreak/>
        <w:t>moyens d’action et à soutenir les initiatives pour renforcer leur participation au PIF et à d'autres processus REDD+. Le projet débutera en 2017 et sera réalisé sur une période de cinq ans pour un montant de 6 millions USD et comprend 3 composantes :</w:t>
      </w:r>
    </w:p>
    <w:p w:rsidR="00A744CA" w:rsidRPr="00A744CA" w:rsidRDefault="00A744CA" w:rsidP="00A744CA">
      <w:pPr>
        <w:jc w:val="both"/>
        <w:rPr>
          <w:sz w:val="20"/>
        </w:rPr>
      </w:pPr>
      <w:r w:rsidRPr="00A744CA">
        <w:rPr>
          <w:sz w:val="20"/>
        </w:rPr>
        <w:t>•</w:t>
      </w:r>
      <w:r w:rsidRPr="00A744CA">
        <w:rPr>
          <w:sz w:val="20"/>
        </w:rPr>
        <w:tab/>
        <w:t xml:space="preserve">La composante 1a (0,5 million USD) est destinée à constituer des moyens d'action au niveau national en vue du renforcement des possibilités d’expression des avis des peuples autochtones et des communautés locales concernant les politiques foncières et forestières, en particulier en ce qui concerne la reconnaissance et la promotion des droits des Peuples Autochtones. </w:t>
      </w:r>
    </w:p>
    <w:p w:rsidR="00A744CA" w:rsidRPr="00A744CA" w:rsidRDefault="00A744CA" w:rsidP="00A744CA">
      <w:pPr>
        <w:jc w:val="both"/>
        <w:rPr>
          <w:sz w:val="20"/>
        </w:rPr>
      </w:pPr>
      <w:r w:rsidRPr="00A744CA">
        <w:rPr>
          <w:sz w:val="20"/>
        </w:rPr>
        <w:t>•</w:t>
      </w:r>
      <w:r w:rsidRPr="00A744CA">
        <w:rPr>
          <w:sz w:val="20"/>
        </w:rPr>
        <w:tab/>
        <w:t xml:space="preserve">La composante 1b (1 million USD) déploiera des activités habilitantes (des formations) en vue du renforcement de la représentation des peuples autochtones et des communautés locales au niveau local (le </w:t>
      </w:r>
      <w:r w:rsidR="006379AE">
        <w:rPr>
          <w:sz w:val="20"/>
        </w:rPr>
        <w:t>T</w:t>
      </w:r>
      <w:r w:rsidRPr="00A744CA">
        <w:rPr>
          <w:sz w:val="20"/>
        </w:rPr>
        <w:t>erritoire) et de l’accroissement de la capacité de leurs organisations à participer à l'aménagement du territoire et à la gestion des forêts.</w:t>
      </w:r>
    </w:p>
    <w:p w:rsidR="00A744CA" w:rsidRPr="00A744CA" w:rsidRDefault="00A744CA" w:rsidP="00A744CA">
      <w:pPr>
        <w:jc w:val="both"/>
        <w:rPr>
          <w:sz w:val="20"/>
        </w:rPr>
      </w:pPr>
      <w:r w:rsidRPr="00A744CA">
        <w:rPr>
          <w:sz w:val="20"/>
        </w:rPr>
        <w:t>•</w:t>
      </w:r>
      <w:r w:rsidRPr="00A744CA">
        <w:rPr>
          <w:sz w:val="20"/>
        </w:rPr>
        <w:tab/>
        <w:t xml:space="preserve">La composante 2a (2,1 millions USD) octroiera des subventions aux communautés afin de s’engager dans des moyens de subsistance alternatifs ou d’accentuer le caractère durable de leurs moyens d’existence actuels. Son objectif sera de démontrer la capacité des peuples autochtones et des communautés locales à mettre en œuvre des micro-projets et donc de bénéficier des projets de la REDD+. </w:t>
      </w:r>
    </w:p>
    <w:p w:rsidR="00A744CA" w:rsidRPr="00A744CA" w:rsidRDefault="00A744CA" w:rsidP="00A744CA">
      <w:pPr>
        <w:jc w:val="both"/>
        <w:rPr>
          <w:sz w:val="20"/>
        </w:rPr>
      </w:pPr>
      <w:r w:rsidRPr="00A744CA">
        <w:rPr>
          <w:sz w:val="20"/>
        </w:rPr>
        <w:t>•</w:t>
      </w:r>
      <w:r w:rsidRPr="00A744CA">
        <w:rPr>
          <w:sz w:val="20"/>
        </w:rPr>
        <w:tab/>
        <w:t>La composante 2b (0,5 million USD) vise à explorer des méthodes novatrices afin de sécuriser les activités de la gestion forestière des peuples autochtones et des communautés locales et de reconnaître les systèmes traditionnels de gouvernance. Cela nécessitera un travail à la fois sur le statut juridique des terres (les périmètres protégés et la concession forestière de la communauté) et sur le système de gouvernance qui sera mis en place en vue de la gestion des droits des utilisateurs, en faisant appel pour ce dernier aspect aux expériences internationales telles que les Aires du Patrimoine Autochtone et Communautaire (APAC).</w:t>
      </w:r>
    </w:p>
    <w:p w:rsidR="00A744CA" w:rsidRDefault="00A744CA" w:rsidP="00A744CA">
      <w:pPr>
        <w:jc w:val="both"/>
        <w:rPr>
          <w:sz w:val="20"/>
        </w:rPr>
      </w:pPr>
      <w:r w:rsidRPr="00A744CA">
        <w:rPr>
          <w:sz w:val="20"/>
        </w:rPr>
        <w:t>•</w:t>
      </w:r>
      <w:r w:rsidRPr="00A744CA">
        <w:rPr>
          <w:sz w:val="20"/>
        </w:rPr>
        <w:tab/>
        <w:t>La composante 3 (1,8 million USD) augmentera les moyens d’action afin de mettre en œuvre des activités de développement et de synthétiser les retours d'information.</w:t>
      </w:r>
    </w:p>
    <w:p w:rsidR="006E0430" w:rsidRPr="00B60667" w:rsidRDefault="00B60667" w:rsidP="00B60667">
      <w:pPr>
        <w:jc w:val="both"/>
        <w:rPr>
          <w:b/>
          <w:sz w:val="20"/>
        </w:rPr>
      </w:pPr>
      <w:r w:rsidRPr="00B60667">
        <w:rPr>
          <w:b/>
          <w:sz w:val="20"/>
        </w:rPr>
        <w:t xml:space="preserve">Liens avec le FCPF et le Programme </w:t>
      </w:r>
      <w:r w:rsidR="007E17F3">
        <w:rPr>
          <w:b/>
          <w:sz w:val="20"/>
        </w:rPr>
        <w:t>de Réduction des Emissions</w:t>
      </w:r>
      <w:r w:rsidR="00C369F2">
        <w:rPr>
          <w:b/>
          <w:sz w:val="20"/>
        </w:rPr>
        <w:t xml:space="preserve"> (</w:t>
      </w:r>
      <w:r w:rsidR="00790C26">
        <w:rPr>
          <w:b/>
          <w:sz w:val="20"/>
        </w:rPr>
        <w:t xml:space="preserve">Programme </w:t>
      </w:r>
      <w:r w:rsidR="00C369F2">
        <w:rPr>
          <w:b/>
          <w:sz w:val="20"/>
        </w:rPr>
        <w:t>RE</w:t>
      </w:r>
      <w:r w:rsidR="00B76E63">
        <w:rPr>
          <w:b/>
          <w:sz w:val="20"/>
        </w:rPr>
        <w:t>)</w:t>
      </w:r>
      <w:r w:rsidR="006D724A">
        <w:rPr>
          <w:b/>
          <w:sz w:val="20"/>
        </w:rPr>
        <w:t xml:space="preserve"> du Mai-Ndombe</w:t>
      </w:r>
    </w:p>
    <w:p w:rsidR="007E17F3" w:rsidRPr="007E17F3" w:rsidRDefault="007E17F3" w:rsidP="007E17F3">
      <w:pPr>
        <w:jc w:val="both"/>
        <w:rPr>
          <w:sz w:val="20"/>
        </w:rPr>
      </w:pPr>
      <w:r w:rsidRPr="007E17F3">
        <w:rPr>
          <w:sz w:val="20"/>
        </w:rPr>
        <w:t>La Proposition de la RDC pour la Préparation à la REDD+ (R-PP) fut acceptée par le Comité des Participants du FCPF en 2010. Après cinq ans d’efforts, le pays dispose désormais de tous les éléments de la préparation à la REDD+ : Cadre de Mise en Œuvre, Stratégie, Sauvegardes, Registre, etc. Ces instruments peuvent être encore améliorés, mais surtout méritent d’être testés, ce qui</w:t>
      </w:r>
      <w:r w:rsidR="00C369F2">
        <w:rPr>
          <w:sz w:val="20"/>
        </w:rPr>
        <w:t xml:space="preserve"> sera fait dans le cadre du PIF.</w:t>
      </w:r>
    </w:p>
    <w:p w:rsidR="007E17F3" w:rsidRPr="007E17F3" w:rsidRDefault="006D724A" w:rsidP="007E17F3">
      <w:pPr>
        <w:jc w:val="both"/>
        <w:rPr>
          <w:sz w:val="20"/>
        </w:rPr>
      </w:pPr>
      <w:r>
        <w:rPr>
          <w:sz w:val="20"/>
        </w:rPr>
        <w:t>En parallèle</w:t>
      </w:r>
      <w:r w:rsidR="007E17F3" w:rsidRPr="007E17F3">
        <w:rPr>
          <w:sz w:val="20"/>
        </w:rPr>
        <w:t xml:space="preserve">, le Gouvernement de la RDC a </w:t>
      </w:r>
      <w:r>
        <w:rPr>
          <w:sz w:val="20"/>
        </w:rPr>
        <w:t>lancé</w:t>
      </w:r>
      <w:r w:rsidR="00C30B94">
        <w:rPr>
          <w:sz w:val="20"/>
        </w:rPr>
        <w:t xml:space="preserve"> dès 2012</w:t>
      </w:r>
      <w:r>
        <w:rPr>
          <w:sz w:val="20"/>
        </w:rPr>
        <w:t xml:space="preserve"> la conception d’un</w:t>
      </w:r>
      <w:r w:rsidR="00C369F2">
        <w:rPr>
          <w:sz w:val="20"/>
        </w:rPr>
        <w:t xml:space="preserve"> premier</w:t>
      </w:r>
      <w:r w:rsidR="007E17F3" w:rsidRPr="007E17F3">
        <w:rPr>
          <w:sz w:val="20"/>
        </w:rPr>
        <w:t xml:space="preserve"> Programme de Réduction des Emissions (</w:t>
      </w:r>
      <w:r w:rsidR="003C0222" w:rsidRPr="007E17F3">
        <w:rPr>
          <w:sz w:val="20"/>
        </w:rPr>
        <w:t>Programme</w:t>
      </w:r>
      <w:r w:rsidR="00C369F2">
        <w:rPr>
          <w:sz w:val="20"/>
        </w:rPr>
        <w:t xml:space="preserve"> RE</w:t>
      </w:r>
      <w:r>
        <w:rPr>
          <w:sz w:val="20"/>
        </w:rPr>
        <w:t xml:space="preserve">) à grande échelle, </w:t>
      </w:r>
      <w:r w:rsidR="00790C26">
        <w:rPr>
          <w:sz w:val="20"/>
        </w:rPr>
        <w:t>couvrant</w:t>
      </w:r>
      <w:r>
        <w:rPr>
          <w:sz w:val="20"/>
        </w:rPr>
        <w:t xml:space="preserve"> la</w:t>
      </w:r>
      <w:r w:rsidR="0039660F">
        <w:rPr>
          <w:sz w:val="20"/>
        </w:rPr>
        <w:t xml:space="preserve"> Province du </w:t>
      </w:r>
      <w:r w:rsidR="00AA6D17">
        <w:rPr>
          <w:sz w:val="20"/>
        </w:rPr>
        <w:t>Mai-Ndombe</w:t>
      </w:r>
      <w:r w:rsidR="00790C26">
        <w:rPr>
          <w:sz w:val="20"/>
        </w:rPr>
        <w:t xml:space="preserve"> d’une surface de</w:t>
      </w:r>
      <w:r w:rsidR="007E17F3" w:rsidRPr="007E17F3">
        <w:rPr>
          <w:sz w:val="20"/>
        </w:rPr>
        <w:t xml:space="preserve"> 12,3 millions d’ha, dont 9,</w:t>
      </w:r>
      <w:r w:rsidR="00C30B94">
        <w:rPr>
          <w:sz w:val="20"/>
        </w:rPr>
        <w:t>8 millions d’hectares de forêts</w:t>
      </w:r>
      <w:r w:rsidR="00C369F2">
        <w:rPr>
          <w:sz w:val="20"/>
        </w:rPr>
        <w:t>.</w:t>
      </w:r>
      <w:r w:rsidR="007E17F3" w:rsidRPr="007E17F3">
        <w:rPr>
          <w:sz w:val="20"/>
        </w:rPr>
        <w:t xml:space="preserve"> </w:t>
      </w:r>
      <w:r>
        <w:rPr>
          <w:sz w:val="20"/>
        </w:rPr>
        <w:t>Afin d’augmenter les chances de réussite</w:t>
      </w:r>
      <w:r w:rsidR="00C369F2">
        <w:rPr>
          <w:sz w:val="20"/>
        </w:rPr>
        <w:t xml:space="preserve"> de son premier</w:t>
      </w:r>
      <w:r>
        <w:rPr>
          <w:sz w:val="20"/>
        </w:rPr>
        <w:t xml:space="preserve"> programme</w:t>
      </w:r>
      <w:r w:rsidR="00C369F2">
        <w:rPr>
          <w:sz w:val="20"/>
        </w:rPr>
        <w:t xml:space="preserve"> RE</w:t>
      </w:r>
      <w:r>
        <w:rPr>
          <w:sz w:val="20"/>
        </w:rPr>
        <w:t>, la RDC s’</w:t>
      </w:r>
      <w:r w:rsidR="00C369F2">
        <w:rPr>
          <w:sz w:val="20"/>
        </w:rPr>
        <w:t>est</w:t>
      </w:r>
      <w:r>
        <w:rPr>
          <w:sz w:val="20"/>
        </w:rPr>
        <w:t xml:space="preserve"> </w:t>
      </w:r>
      <w:r w:rsidR="00C30B94">
        <w:rPr>
          <w:sz w:val="20"/>
        </w:rPr>
        <w:t>adjointe le</w:t>
      </w:r>
      <w:r>
        <w:rPr>
          <w:sz w:val="20"/>
        </w:rPr>
        <w:t xml:space="preserve"> soutien de partenaires public et privé, comme le WWF et la société Wildlife Works Carbon (WWC). </w:t>
      </w:r>
      <w:r w:rsidR="00C369F2">
        <w:rPr>
          <w:sz w:val="20"/>
        </w:rPr>
        <w:t>C’est dans ce contexte que</w:t>
      </w:r>
      <w:r w:rsidR="007E17F3" w:rsidRPr="007E17F3">
        <w:rPr>
          <w:sz w:val="20"/>
        </w:rPr>
        <w:t xml:space="preserve"> la RDC a </w:t>
      </w:r>
      <w:r w:rsidR="00C369F2">
        <w:rPr>
          <w:sz w:val="20"/>
        </w:rPr>
        <w:t>pu soumettre</w:t>
      </w:r>
      <w:r w:rsidR="007E17F3" w:rsidRPr="007E17F3">
        <w:rPr>
          <w:sz w:val="20"/>
        </w:rPr>
        <w:t xml:space="preserve"> </w:t>
      </w:r>
      <w:r w:rsidR="00C369F2">
        <w:rPr>
          <w:sz w:val="20"/>
        </w:rPr>
        <w:t>son programme</w:t>
      </w:r>
      <w:r w:rsidR="007E17F3" w:rsidRPr="007E17F3">
        <w:rPr>
          <w:sz w:val="20"/>
        </w:rPr>
        <w:t xml:space="preserve"> au Fonds Carbone du FCPF</w:t>
      </w:r>
      <w:r w:rsidR="00C369F2">
        <w:rPr>
          <w:sz w:val="20"/>
        </w:rPr>
        <w:t xml:space="preserve"> </w:t>
      </w:r>
      <w:r w:rsidR="00790C26">
        <w:rPr>
          <w:sz w:val="20"/>
        </w:rPr>
        <w:t>dans le cadre d’un processus de sélection compétitif</w:t>
      </w:r>
      <w:r w:rsidR="00C369F2">
        <w:rPr>
          <w:sz w:val="20"/>
        </w:rPr>
        <w:t>. La soumission a été jugée de qualité, ce qui a permis la signature</w:t>
      </w:r>
      <w:r w:rsidR="00C369F2" w:rsidRPr="00C369F2">
        <w:t xml:space="preserve"> </w:t>
      </w:r>
      <w:r w:rsidR="00C369F2" w:rsidRPr="00C369F2">
        <w:rPr>
          <w:sz w:val="20"/>
        </w:rPr>
        <w:t>en Juin 2014</w:t>
      </w:r>
      <w:r w:rsidR="00C369F2">
        <w:rPr>
          <w:sz w:val="20"/>
        </w:rPr>
        <w:t xml:space="preserve"> d’une </w:t>
      </w:r>
      <w:r w:rsidR="007E17F3" w:rsidRPr="007E17F3">
        <w:rPr>
          <w:sz w:val="20"/>
        </w:rPr>
        <w:t xml:space="preserve"> lettre d’intention entre le gouvernement de la RDC et la Banque mondiale </w:t>
      </w:r>
      <w:r w:rsidR="00C369F2">
        <w:rPr>
          <w:sz w:val="20"/>
        </w:rPr>
        <w:t>portant sur la vente / achat de 10 millions de tonnes de CO2 évitées issu</w:t>
      </w:r>
      <w:r w:rsidR="00C30B94">
        <w:rPr>
          <w:sz w:val="20"/>
        </w:rPr>
        <w:t>e</w:t>
      </w:r>
      <w:r w:rsidR="00790C26">
        <w:rPr>
          <w:sz w:val="20"/>
        </w:rPr>
        <w:t>s du</w:t>
      </w:r>
      <w:r w:rsidR="00C369F2">
        <w:rPr>
          <w:sz w:val="20"/>
        </w:rPr>
        <w:t xml:space="preserve"> programme d’</w:t>
      </w:r>
      <w:r w:rsidR="00C30B94">
        <w:rPr>
          <w:sz w:val="20"/>
        </w:rPr>
        <w:t>activités</w:t>
      </w:r>
      <w:r w:rsidR="00C369F2">
        <w:rPr>
          <w:sz w:val="20"/>
        </w:rPr>
        <w:t xml:space="preserve"> mis</w:t>
      </w:r>
      <w:r w:rsidR="00C30B94">
        <w:rPr>
          <w:sz w:val="20"/>
        </w:rPr>
        <w:t>e</w:t>
      </w:r>
      <w:r w:rsidR="00C369F2">
        <w:rPr>
          <w:sz w:val="20"/>
        </w:rPr>
        <w:t xml:space="preserve"> en </w:t>
      </w:r>
      <w:r w:rsidR="00C30B94">
        <w:rPr>
          <w:sz w:val="20"/>
        </w:rPr>
        <w:t>œuvre</w:t>
      </w:r>
      <w:r w:rsidR="00C369F2">
        <w:rPr>
          <w:sz w:val="20"/>
        </w:rPr>
        <w:t xml:space="preserve"> </w:t>
      </w:r>
      <w:r w:rsidR="00C30B94">
        <w:rPr>
          <w:sz w:val="20"/>
        </w:rPr>
        <w:t>dans la</w:t>
      </w:r>
      <w:r w:rsidR="00C369F2">
        <w:rPr>
          <w:sz w:val="20"/>
        </w:rPr>
        <w:t xml:space="preserve"> Province du Mai-Ndombe</w:t>
      </w:r>
      <w:r w:rsidR="00790C26">
        <w:rPr>
          <w:sz w:val="20"/>
        </w:rPr>
        <w:t xml:space="preserve">, tel que décrit dans le document de Programme RE du </w:t>
      </w:r>
      <w:r w:rsidR="0009077D">
        <w:rPr>
          <w:sz w:val="20"/>
        </w:rPr>
        <w:t>Mai-Ndombe</w:t>
      </w:r>
      <w:r w:rsidR="00790C26">
        <w:rPr>
          <w:sz w:val="20"/>
        </w:rPr>
        <w:t xml:space="preserve"> récemment </w:t>
      </w:r>
      <w:r w:rsidR="007E17F3" w:rsidRPr="007E17F3">
        <w:rPr>
          <w:sz w:val="20"/>
        </w:rPr>
        <w:t>sou</w:t>
      </w:r>
      <w:r w:rsidR="00EC21B0">
        <w:rPr>
          <w:sz w:val="20"/>
        </w:rPr>
        <w:t>mis au Fonds Carbone du FCPF et</w:t>
      </w:r>
      <w:r>
        <w:rPr>
          <w:sz w:val="20"/>
        </w:rPr>
        <w:t xml:space="preserve"> approuvé</w:t>
      </w:r>
      <w:r w:rsidR="00C30B94">
        <w:rPr>
          <w:sz w:val="20"/>
        </w:rPr>
        <w:t xml:space="preserve"> officiellement</w:t>
      </w:r>
      <w:r>
        <w:rPr>
          <w:sz w:val="20"/>
        </w:rPr>
        <w:t xml:space="preserve"> le 22 juin 2016</w:t>
      </w:r>
      <w:r w:rsidR="00EC21B0">
        <w:rPr>
          <w:sz w:val="20"/>
        </w:rPr>
        <w:t xml:space="preserve">. Cette sélection formelle du Programme RE de </w:t>
      </w:r>
      <w:r w:rsidR="0009077D">
        <w:rPr>
          <w:sz w:val="20"/>
        </w:rPr>
        <w:t>Mai-Ndombe</w:t>
      </w:r>
      <w:r w:rsidR="00EC21B0">
        <w:rPr>
          <w:sz w:val="20"/>
        </w:rPr>
        <w:t xml:space="preserve"> dans le portefeuille du fonds Carbone du FCPF ouvre</w:t>
      </w:r>
      <w:r>
        <w:rPr>
          <w:sz w:val="20"/>
        </w:rPr>
        <w:t xml:space="preserve"> la voie à une possible signature d’un contrat d’achat / vente de réductions d’</w:t>
      </w:r>
      <w:r w:rsidR="00C30B94">
        <w:rPr>
          <w:sz w:val="20"/>
        </w:rPr>
        <w:t>émission dans l’année qui vient.</w:t>
      </w:r>
      <w:r>
        <w:rPr>
          <w:sz w:val="20"/>
        </w:rPr>
        <w:t xml:space="preserve"> </w:t>
      </w:r>
      <w:r w:rsidR="007E17F3" w:rsidRPr="007E17F3">
        <w:rPr>
          <w:sz w:val="20"/>
        </w:rPr>
        <w:t xml:space="preserve"> L’objectif de réduction</w:t>
      </w:r>
      <w:r w:rsidR="00C30B94">
        <w:rPr>
          <w:sz w:val="20"/>
        </w:rPr>
        <w:t xml:space="preserve"> nette</w:t>
      </w:r>
      <w:r w:rsidR="007E17F3" w:rsidRPr="007E17F3">
        <w:rPr>
          <w:sz w:val="20"/>
        </w:rPr>
        <w:t xml:space="preserve"> des émissions visé est d</w:t>
      </w:r>
      <w:r w:rsidR="00C30B94">
        <w:rPr>
          <w:sz w:val="20"/>
        </w:rPr>
        <w:t>e 25 MtCO2e pour la période 2017-2021</w:t>
      </w:r>
      <w:r w:rsidR="007E17F3" w:rsidRPr="007E17F3">
        <w:rPr>
          <w:sz w:val="20"/>
        </w:rPr>
        <w:t>.</w:t>
      </w:r>
    </w:p>
    <w:p w:rsidR="007E17F3" w:rsidRPr="007E17F3" w:rsidRDefault="007E17F3" w:rsidP="007E17F3">
      <w:pPr>
        <w:jc w:val="both"/>
        <w:rPr>
          <w:sz w:val="20"/>
        </w:rPr>
      </w:pPr>
      <w:r w:rsidRPr="007E17F3">
        <w:rPr>
          <w:sz w:val="20"/>
        </w:rPr>
        <w:t xml:space="preserve">Le but du Programme </w:t>
      </w:r>
      <w:r w:rsidR="00C30B94">
        <w:rPr>
          <w:sz w:val="20"/>
        </w:rPr>
        <w:t>intégré</w:t>
      </w:r>
      <w:r w:rsidRPr="007E17F3">
        <w:rPr>
          <w:sz w:val="20"/>
        </w:rPr>
        <w:t xml:space="preserve"> du </w:t>
      </w:r>
      <w:r w:rsidR="00AA6D17">
        <w:rPr>
          <w:sz w:val="20"/>
        </w:rPr>
        <w:t>Mai-Ndombe</w:t>
      </w:r>
      <w:r w:rsidR="00C30B94">
        <w:rPr>
          <w:sz w:val="20"/>
        </w:rPr>
        <w:t xml:space="preserve"> </w:t>
      </w:r>
      <w:r w:rsidRPr="007E17F3">
        <w:rPr>
          <w:sz w:val="20"/>
        </w:rPr>
        <w:t>est de développer un modèle juridictionnel provincial de développement vert qui offre des alternatives et des incitations basées sur le résultat pour affronter les défis du changement climatique, réduire la pauvreté, conserver les ressources et protéger la biodiversité. En tant que premier programme REDD+ à grande échelle et de développement vert du</w:t>
      </w:r>
      <w:r w:rsidR="00184186">
        <w:rPr>
          <w:sz w:val="20"/>
        </w:rPr>
        <w:t xml:space="preserve"> Bassin du Congo, le </w:t>
      </w:r>
      <w:r w:rsidR="00EC21B0">
        <w:rPr>
          <w:sz w:val="20"/>
        </w:rPr>
        <w:t>Programme RE</w:t>
      </w:r>
      <w:r w:rsidRPr="007E17F3">
        <w:rPr>
          <w:sz w:val="20"/>
        </w:rPr>
        <w:t xml:space="preserve"> du </w:t>
      </w:r>
      <w:r w:rsidR="00AA6D17">
        <w:rPr>
          <w:sz w:val="20"/>
        </w:rPr>
        <w:t>Mai-Ndombe</w:t>
      </w:r>
      <w:r w:rsidR="00EC21B0">
        <w:rPr>
          <w:sz w:val="20"/>
        </w:rPr>
        <w:t xml:space="preserve"> </w:t>
      </w:r>
      <w:r w:rsidRPr="007E17F3">
        <w:rPr>
          <w:sz w:val="20"/>
        </w:rPr>
        <w:t xml:space="preserve">cherche à expérimenter des actions d’atténuation du changement climatique grâce à une approche  coordonnée et holistique de </w:t>
      </w:r>
      <w:r w:rsidRPr="007E17F3">
        <w:rPr>
          <w:sz w:val="20"/>
        </w:rPr>
        <w:lastRenderedPageBreak/>
        <w:t>renforcement des capacités et d’u</w:t>
      </w:r>
      <w:r w:rsidR="00045435">
        <w:rPr>
          <w:sz w:val="20"/>
        </w:rPr>
        <w:t>tilisation</w:t>
      </w:r>
      <w:r w:rsidRPr="007E17F3">
        <w:rPr>
          <w:sz w:val="20"/>
        </w:rPr>
        <w:t xml:space="preserve"> durable</w:t>
      </w:r>
      <w:r w:rsidR="00045435">
        <w:rPr>
          <w:sz w:val="20"/>
        </w:rPr>
        <w:t xml:space="preserve"> de terre</w:t>
      </w:r>
      <w:r w:rsidRPr="007E17F3">
        <w:rPr>
          <w:sz w:val="20"/>
        </w:rPr>
        <w:t>, afin de réduire la pression sur les forêts naturelles. Il est conçu pour impliquer tous les acteurs concernés dans une stratégie provinciale de développement local et d’atténuation du changement climatique en ligne avec la Stratégie Nationale Cadre de la REDD+.</w:t>
      </w:r>
    </w:p>
    <w:p w:rsidR="00184186" w:rsidRDefault="00184186" w:rsidP="00184186">
      <w:pPr>
        <w:jc w:val="both"/>
        <w:rPr>
          <w:sz w:val="20"/>
        </w:rPr>
      </w:pPr>
      <w:r>
        <w:rPr>
          <w:sz w:val="20"/>
        </w:rPr>
        <w:t xml:space="preserve">Dans le cadre de la </w:t>
      </w:r>
      <w:r w:rsidR="007E17F3" w:rsidRPr="007E17F3">
        <w:rPr>
          <w:sz w:val="20"/>
        </w:rPr>
        <w:t xml:space="preserve">Province du </w:t>
      </w:r>
      <w:r w:rsidR="00AA6D17">
        <w:rPr>
          <w:sz w:val="20"/>
        </w:rPr>
        <w:t>Mai-Ndombe</w:t>
      </w:r>
      <w:r w:rsidR="007E17F3" w:rsidRPr="007E17F3">
        <w:rPr>
          <w:sz w:val="20"/>
        </w:rPr>
        <w:t xml:space="preserve"> (cf. Figure 1), la Composante 1 du PGAPF du PIF (PIREDD Plateau) </w:t>
      </w:r>
      <w:r w:rsidR="0039660F">
        <w:rPr>
          <w:sz w:val="20"/>
        </w:rPr>
        <w:t>est déjà en train de financer</w:t>
      </w:r>
      <w:r w:rsidR="007E17F3" w:rsidRPr="007E17F3">
        <w:rPr>
          <w:sz w:val="20"/>
        </w:rPr>
        <w:t xml:space="preserve"> les activités de réduction des émissions de gaz à effet de serre (CO2e) pour un total de 14,2 millions $US. Ces fonds faciliteront le changement des pratiques agricoles et de gestion de l’usage des terres qui conduiront à des réductions d’émissions enregistrées puis payées par le FCPF au travers du Programme RE. La compos</w:t>
      </w:r>
      <w:r>
        <w:rPr>
          <w:sz w:val="20"/>
        </w:rPr>
        <w:t xml:space="preserve">ante 1 du PIF et le </w:t>
      </w:r>
      <w:r w:rsidR="00EC21B0">
        <w:rPr>
          <w:sz w:val="20"/>
        </w:rPr>
        <w:t>Programme RE</w:t>
      </w:r>
      <w:r w:rsidR="007E17F3" w:rsidRPr="007E17F3">
        <w:rPr>
          <w:sz w:val="20"/>
        </w:rPr>
        <w:t xml:space="preserve"> ont été conçus pour se compléter mutuellement: le Projet PIF financera les investissements initiaux et les activités habilitantes quand le Fonds Carbone du FCPF achètera les réductions d’émissions observées et vérifiées issues de ces premiers investissements. Les flux monétaires qui en résulteront seront à leur tour réinvestis sur le terrain pour pérenniser ce cycle vertueux de réduction des émissions de gaz à effet de serre.</w:t>
      </w:r>
    </w:p>
    <w:p w:rsidR="00EC21B0" w:rsidRPr="008626FF" w:rsidRDefault="00EC21B0" w:rsidP="008626FF">
      <w:pPr>
        <w:pBdr>
          <w:top w:val="single" w:sz="4" w:space="1" w:color="auto"/>
          <w:left w:val="single" w:sz="4" w:space="4" w:color="auto"/>
          <w:bottom w:val="single" w:sz="4" w:space="1" w:color="auto"/>
          <w:right w:val="single" w:sz="4" w:space="4" w:color="auto"/>
        </w:pBdr>
        <w:jc w:val="both"/>
        <w:rPr>
          <w:i/>
          <w:sz w:val="20"/>
        </w:rPr>
      </w:pPr>
      <w:r w:rsidRPr="008626FF">
        <w:rPr>
          <w:i/>
          <w:sz w:val="20"/>
        </w:rPr>
        <w:t xml:space="preserve">Mais cet investissement (PIREDD Plateau du </w:t>
      </w:r>
      <w:r w:rsidR="003576EE">
        <w:rPr>
          <w:i/>
          <w:sz w:val="20"/>
        </w:rPr>
        <w:t>PIF</w:t>
      </w:r>
      <w:r w:rsidRPr="008626FF">
        <w:rPr>
          <w:i/>
          <w:sz w:val="20"/>
        </w:rPr>
        <w:t xml:space="preserve">) seul n’est pas suffisant pour assurer la performance globale du Programme RE du Mai-Ndombe et donc les paiements devant en résulter, d’où l’importance capitale de la </w:t>
      </w:r>
      <w:r w:rsidR="008626FF" w:rsidRPr="008626FF">
        <w:rPr>
          <w:i/>
          <w:sz w:val="20"/>
        </w:rPr>
        <w:t>présente</w:t>
      </w:r>
      <w:r w:rsidRPr="008626FF">
        <w:rPr>
          <w:i/>
          <w:sz w:val="20"/>
        </w:rPr>
        <w:t xml:space="preserve"> proposition</w:t>
      </w:r>
      <w:r w:rsidR="008626FF" w:rsidRPr="008626FF">
        <w:rPr>
          <w:i/>
          <w:sz w:val="20"/>
        </w:rPr>
        <w:t>, celle du développement</w:t>
      </w:r>
      <w:r w:rsidRPr="008626FF">
        <w:rPr>
          <w:i/>
          <w:sz w:val="20"/>
        </w:rPr>
        <w:t xml:space="preserve"> d’un </w:t>
      </w:r>
      <w:r w:rsidR="008626FF" w:rsidRPr="008626FF">
        <w:rPr>
          <w:i/>
          <w:sz w:val="20"/>
        </w:rPr>
        <w:t>deuxième</w:t>
      </w:r>
      <w:r w:rsidRPr="008626FF">
        <w:rPr>
          <w:i/>
          <w:sz w:val="20"/>
        </w:rPr>
        <w:t xml:space="preserve"> PIREDD</w:t>
      </w:r>
      <w:r w:rsidR="008626FF" w:rsidRPr="008626FF">
        <w:rPr>
          <w:i/>
          <w:sz w:val="20"/>
        </w:rPr>
        <w:t xml:space="preserve"> (PIREDD Mai-Ndombe)</w:t>
      </w:r>
      <w:r w:rsidRPr="008626FF">
        <w:rPr>
          <w:i/>
          <w:sz w:val="20"/>
        </w:rPr>
        <w:t xml:space="preserve"> dans la zone du Programme RE</w:t>
      </w:r>
      <w:r w:rsidR="008626FF" w:rsidRPr="008626FF">
        <w:rPr>
          <w:i/>
          <w:sz w:val="20"/>
        </w:rPr>
        <w:t xml:space="preserve"> centré sur le district du Mai-Ndombe. La présente proposition visera en outre à compléter certaines dispositions du PIREDD Plateau, notamment en matière de développement de filière et d’accès aux marchés, pour avoir une cohérence d’actions et de moyens à l’échelle de la Province.</w:t>
      </w:r>
      <w:r w:rsidR="008626FF">
        <w:rPr>
          <w:i/>
          <w:sz w:val="20"/>
        </w:rPr>
        <w:t xml:space="preserve"> Administrativement, la Banque mondiale se propose de traiter le PIREDD Mai-Ndombe comme un financement additionnel du PIF pour en accélérer son opérationnalisation, cette dernière pouvant</w:t>
      </w:r>
      <w:r w:rsidR="007E5E36">
        <w:rPr>
          <w:i/>
          <w:sz w:val="20"/>
        </w:rPr>
        <w:t xml:space="preserve"> alors</w:t>
      </w:r>
      <w:r w:rsidR="008626FF">
        <w:rPr>
          <w:i/>
          <w:sz w:val="20"/>
        </w:rPr>
        <w:t xml:space="preserve"> intervenir </w:t>
      </w:r>
      <w:r w:rsidR="007E5E36">
        <w:rPr>
          <w:i/>
          <w:sz w:val="20"/>
        </w:rPr>
        <w:t>dès</w:t>
      </w:r>
      <w:r w:rsidR="0013505A">
        <w:rPr>
          <w:i/>
          <w:sz w:val="20"/>
        </w:rPr>
        <w:t xml:space="preserve"> </w:t>
      </w:r>
      <w:r w:rsidR="008626FF">
        <w:rPr>
          <w:i/>
          <w:sz w:val="20"/>
        </w:rPr>
        <w:t xml:space="preserve"> janvier 2017.</w:t>
      </w:r>
    </w:p>
    <w:p w:rsidR="00B60667" w:rsidRDefault="008626FF" w:rsidP="00B60667">
      <w:pPr>
        <w:jc w:val="both"/>
        <w:rPr>
          <w:sz w:val="20"/>
        </w:rPr>
      </w:pPr>
      <w:r>
        <w:rPr>
          <w:sz w:val="20"/>
        </w:rPr>
        <w:t>Cette complémentarité de</w:t>
      </w:r>
      <w:r w:rsidR="00184186" w:rsidRPr="007E17F3">
        <w:rPr>
          <w:sz w:val="20"/>
        </w:rPr>
        <w:t xml:space="preserve"> projets permettra, grâce aux investissements rapides</w:t>
      </w:r>
      <w:r w:rsidR="007E5E36">
        <w:rPr>
          <w:sz w:val="20"/>
        </w:rPr>
        <w:t xml:space="preserve"> et combinés des PIREDD Plateau et PIREDD Mai-Ndombe</w:t>
      </w:r>
      <w:r w:rsidR="00184186" w:rsidRPr="007E17F3">
        <w:rPr>
          <w:sz w:val="20"/>
        </w:rPr>
        <w:t>, d’obtenir des résultats significatifs dans le d</w:t>
      </w:r>
      <w:r w:rsidR="00EC21B0">
        <w:rPr>
          <w:sz w:val="20"/>
        </w:rPr>
        <w:t>élai court du Programme RE (2017-2021</w:t>
      </w:r>
      <w:r w:rsidR="007E5E36">
        <w:rPr>
          <w:sz w:val="20"/>
        </w:rPr>
        <w:t>)</w:t>
      </w:r>
      <w:r w:rsidR="007E5E36" w:rsidRPr="007E5E36">
        <w:rPr>
          <w:sz w:val="20"/>
        </w:rPr>
        <w:t>.</w:t>
      </w:r>
      <w:r w:rsidR="007E5E36">
        <w:rPr>
          <w:sz w:val="20"/>
        </w:rPr>
        <w:t xml:space="preserve"> Ces résultats génèreront des paiements issus du</w:t>
      </w:r>
      <w:r w:rsidR="00184186" w:rsidRPr="007E17F3">
        <w:rPr>
          <w:sz w:val="20"/>
        </w:rPr>
        <w:t xml:space="preserve"> produit des ventes des réductions d’émission</w:t>
      </w:r>
      <w:r w:rsidR="007E5E36">
        <w:rPr>
          <w:sz w:val="20"/>
        </w:rPr>
        <w:t>, qui à leur tour permettront alors</w:t>
      </w:r>
      <w:r w:rsidR="00184186" w:rsidRPr="007E17F3">
        <w:rPr>
          <w:sz w:val="20"/>
        </w:rPr>
        <w:t xml:space="preserve"> à la RDC de</w:t>
      </w:r>
      <w:r w:rsidR="007E5E36">
        <w:rPr>
          <w:sz w:val="20"/>
        </w:rPr>
        <w:t xml:space="preserve"> pérenniser les effets des initiatives PIF et CAFI</w:t>
      </w:r>
      <w:r w:rsidR="00BC1321">
        <w:rPr>
          <w:sz w:val="20"/>
        </w:rPr>
        <w:t xml:space="preserve"> (Central African Forest Initiative)</w:t>
      </w:r>
      <w:r w:rsidR="007E5E36">
        <w:rPr>
          <w:sz w:val="20"/>
        </w:rPr>
        <w:t xml:space="preserve"> avec une capacité de réinvestissement sur le terrain restaurée et sécurisée</w:t>
      </w:r>
      <w:r w:rsidR="00184186" w:rsidRPr="007E17F3">
        <w:rPr>
          <w:sz w:val="20"/>
        </w:rPr>
        <w:t xml:space="preserve">. </w:t>
      </w:r>
      <w:r w:rsidR="007E5E36">
        <w:rPr>
          <w:sz w:val="20"/>
        </w:rPr>
        <w:t>Cette approche programmatique consistant à aligner différents instruments financiers au fil du temps est le gage</w:t>
      </w:r>
      <w:r w:rsidR="007E5E36" w:rsidRPr="007E17F3">
        <w:rPr>
          <w:sz w:val="20"/>
        </w:rPr>
        <w:t xml:space="preserve"> </w:t>
      </w:r>
      <w:r w:rsidR="007E5E36">
        <w:rPr>
          <w:sz w:val="20"/>
        </w:rPr>
        <w:t>d’une consolidation d</w:t>
      </w:r>
      <w:r w:rsidR="00184186" w:rsidRPr="007E17F3">
        <w:rPr>
          <w:sz w:val="20"/>
        </w:rPr>
        <w:t xml:space="preserve">es changements de pratiques </w:t>
      </w:r>
      <w:r w:rsidR="007D0930">
        <w:rPr>
          <w:sz w:val="20"/>
        </w:rPr>
        <w:t>agricoles et de gestion des</w:t>
      </w:r>
      <w:r w:rsidR="00184186" w:rsidRPr="007E17F3">
        <w:rPr>
          <w:sz w:val="20"/>
        </w:rPr>
        <w:t xml:space="preserve"> forêt</w:t>
      </w:r>
      <w:r w:rsidR="007D0930">
        <w:rPr>
          <w:sz w:val="20"/>
        </w:rPr>
        <w:t>s</w:t>
      </w:r>
      <w:r w:rsidR="00184186" w:rsidRPr="007E17F3">
        <w:rPr>
          <w:sz w:val="20"/>
        </w:rPr>
        <w:t>.</w:t>
      </w:r>
      <w:r w:rsidR="007D0930">
        <w:rPr>
          <w:sz w:val="20"/>
        </w:rPr>
        <w:t xml:space="preserve"> Les coûts de transaction en sont  d</w:t>
      </w:r>
      <w:r w:rsidR="00184186" w:rsidRPr="007E17F3">
        <w:rPr>
          <w:sz w:val="20"/>
        </w:rPr>
        <w:t>e  plus</w:t>
      </w:r>
      <w:r w:rsidR="007D0930">
        <w:rPr>
          <w:sz w:val="20"/>
        </w:rPr>
        <w:t xml:space="preserve"> réduits</w:t>
      </w:r>
      <w:r w:rsidR="00184186" w:rsidRPr="007E17F3">
        <w:rPr>
          <w:sz w:val="20"/>
        </w:rPr>
        <w:t>,</w:t>
      </w:r>
      <w:r w:rsidR="007D0930">
        <w:rPr>
          <w:sz w:val="20"/>
        </w:rPr>
        <w:t xml:space="preserve"> car l’alignement des instruments financiers permet de multiples synergies entre « projets »</w:t>
      </w:r>
      <w:r w:rsidR="00184186" w:rsidRPr="007E17F3">
        <w:rPr>
          <w:sz w:val="20"/>
        </w:rPr>
        <w:t>.</w:t>
      </w:r>
    </w:p>
    <w:p w:rsidR="007E17F3" w:rsidRDefault="007E17F3" w:rsidP="007E17F3">
      <w:pPr>
        <w:spacing w:after="0" w:line="240" w:lineRule="auto"/>
        <w:jc w:val="center"/>
        <w:rPr>
          <w:b/>
          <w:color w:val="002060"/>
          <w:sz w:val="20"/>
        </w:rPr>
      </w:pPr>
      <w:r>
        <w:rPr>
          <w:noProof/>
        </w:rPr>
        <w:lastRenderedPageBreak/>
        <w:drawing>
          <wp:inline distT="0" distB="0" distL="0" distR="0">
            <wp:extent cx="4546660" cy="6332220"/>
            <wp:effectExtent l="0" t="0" r="6350" b="0"/>
            <wp:docPr id="18" name="Image 233" descr="C:\Users\marc\AppData\Local\Microsoft\Windows\INetCache\Content.Word\PIR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ppData\Local\Microsoft\Windows\INetCache\Content.Word\PIRED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4671" cy="6357305"/>
                    </a:xfrm>
                    <a:prstGeom prst="rect">
                      <a:avLst/>
                    </a:prstGeom>
                    <a:noFill/>
                    <a:ln>
                      <a:noFill/>
                    </a:ln>
                  </pic:spPr>
                </pic:pic>
              </a:graphicData>
            </a:graphic>
          </wp:inline>
        </w:drawing>
      </w:r>
    </w:p>
    <w:p w:rsidR="007E17F3" w:rsidRDefault="002826EC" w:rsidP="007E17F3">
      <w:pPr>
        <w:spacing w:after="0" w:line="240" w:lineRule="auto"/>
        <w:jc w:val="center"/>
        <w:rPr>
          <w:b/>
          <w:color w:val="002060"/>
          <w:sz w:val="20"/>
        </w:rPr>
      </w:pPr>
      <w:r>
        <w:rPr>
          <w:b/>
          <w:color w:val="002060"/>
          <w:sz w:val="20"/>
        </w:rPr>
        <w:t>Figure 2</w:t>
      </w:r>
      <w:r w:rsidR="007E17F3">
        <w:rPr>
          <w:b/>
          <w:color w:val="002060"/>
          <w:sz w:val="20"/>
        </w:rPr>
        <w:t xml:space="preserve"> –</w:t>
      </w:r>
      <w:r w:rsidR="007E17F3" w:rsidRPr="007E17F3">
        <w:rPr>
          <w:b/>
          <w:color w:val="002060"/>
          <w:sz w:val="20"/>
        </w:rPr>
        <w:t xml:space="preserve"> localisation des différents projets : PIREDD Plateau, PIREDD </w:t>
      </w:r>
      <w:r w:rsidR="00AA6D17">
        <w:rPr>
          <w:b/>
          <w:color w:val="002060"/>
          <w:sz w:val="20"/>
        </w:rPr>
        <w:t>Mai-Ndombe</w:t>
      </w:r>
      <w:r w:rsidR="00652992">
        <w:rPr>
          <w:b/>
          <w:color w:val="002060"/>
          <w:sz w:val="20"/>
        </w:rPr>
        <w:t xml:space="preserve"> </w:t>
      </w:r>
      <w:r w:rsidR="007E17F3" w:rsidRPr="007E17F3">
        <w:rPr>
          <w:b/>
          <w:color w:val="002060"/>
          <w:sz w:val="20"/>
        </w:rPr>
        <w:t>et Programme de Réduction des Emissions</w:t>
      </w:r>
    </w:p>
    <w:p w:rsidR="00F5585E" w:rsidRDefault="00F5585E" w:rsidP="007E17F3">
      <w:pPr>
        <w:spacing w:after="0" w:line="240" w:lineRule="auto"/>
        <w:jc w:val="center"/>
        <w:rPr>
          <w:b/>
          <w:color w:val="002060"/>
          <w:sz w:val="20"/>
        </w:rPr>
      </w:pPr>
    </w:p>
    <w:p w:rsidR="0038513C" w:rsidRDefault="0038513C" w:rsidP="0038513C">
      <w:pPr>
        <w:spacing w:after="0"/>
        <w:contextualSpacing/>
        <w:jc w:val="both"/>
        <w:rPr>
          <w:color w:val="2E74B5" w:themeColor="accent1" w:themeShade="BF"/>
          <w:sz w:val="24"/>
          <w:szCs w:val="24"/>
        </w:rPr>
      </w:pPr>
      <w:r w:rsidRPr="0038513C">
        <w:rPr>
          <w:color w:val="2E74B5" w:themeColor="accent1" w:themeShade="BF"/>
          <w:sz w:val="24"/>
          <w:szCs w:val="24"/>
        </w:rPr>
        <w:t>Initiatives/programmes existants dans le secteur participant aux mêmes objectifs le cas échéant</w:t>
      </w:r>
    </w:p>
    <w:p w:rsidR="00E97C3A" w:rsidRDefault="00E97C3A" w:rsidP="0038513C">
      <w:pPr>
        <w:spacing w:after="0"/>
        <w:contextualSpacing/>
        <w:jc w:val="both"/>
        <w:rPr>
          <w:color w:val="2E74B5" w:themeColor="accent1" w:themeShade="BF"/>
          <w:sz w:val="24"/>
          <w:szCs w:val="24"/>
        </w:rPr>
      </w:pPr>
    </w:p>
    <w:p w:rsidR="00880CD4" w:rsidRDefault="00E231FE" w:rsidP="008D1B7D">
      <w:pPr>
        <w:spacing w:after="0"/>
        <w:jc w:val="both"/>
        <w:rPr>
          <w:sz w:val="20"/>
        </w:rPr>
      </w:pPr>
      <w:r>
        <w:rPr>
          <w:sz w:val="20"/>
        </w:rPr>
        <w:t>La connaissance d’initiatives et/ou de programmes existants dans la zone est capitale pour éviter toute compétition entre acteurs. Elle participe en outre à l’identification des besoins non couverts</w:t>
      </w:r>
      <w:r w:rsidR="006C76DC">
        <w:rPr>
          <w:sz w:val="20"/>
        </w:rPr>
        <w:t>. Elle permet</w:t>
      </w:r>
      <w:r w:rsidR="008D1B7D">
        <w:rPr>
          <w:sz w:val="20"/>
        </w:rPr>
        <w:t xml:space="preserve"> aussi </w:t>
      </w:r>
      <w:r w:rsidR="006C76DC">
        <w:rPr>
          <w:sz w:val="20"/>
        </w:rPr>
        <w:t xml:space="preserve">le </w:t>
      </w:r>
      <w:r w:rsidR="008D1B7D">
        <w:rPr>
          <w:sz w:val="20"/>
        </w:rPr>
        <w:t>recueil d</w:t>
      </w:r>
      <w:r w:rsidR="006C76DC">
        <w:rPr>
          <w:sz w:val="20"/>
        </w:rPr>
        <w:t>’</w:t>
      </w:r>
      <w:r w:rsidR="008D1B7D">
        <w:rPr>
          <w:sz w:val="20"/>
        </w:rPr>
        <w:t>informations utiles à la conception du PIREDD Mai-Ndombe</w:t>
      </w:r>
      <w:r>
        <w:rPr>
          <w:sz w:val="20"/>
        </w:rPr>
        <w:t>.</w:t>
      </w:r>
      <w:r w:rsidR="008D1B7D">
        <w:rPr>
          <w:sz w:val="20"/>
        </w:rPr>
        <w:t xml:space="preserve"> L’existence de</w:t>
      </w:r>
      <w:r w:rsidR="008D1B7D" w:rsidRPr="008D1B7D">
        <w:t xml:space="preserve"> </w:t>
      </w:r>
      <w:r w:rsidR="008D1B7D" w:rsidRPr="008D1B7D">
        <w:rPr>
          <w:sz w:val="20"/>
        </w:rPr>
        <w:t xml:space="preserve">Plans de Développement des Peuples Autochtones Pygmées (PDPA) </w:t>
      </w:r>
      <w:r w:rsidR="008D1B7D">
        <w:rPr>
          <w:sz w:val="20"/>
        </w:rPr>
        <w:t>en est une illustration.</w:t>
      </w:r>
      <w:r w:rsidR="005A295E">
        <w:rPr>
          <w:sz w:val="20"/>
        </w:rPr>
        <w:t xml:space="preserve"> Non mis en œuvre à ce jour, ils pourront l’être grâce au PIREDD Mai-Ndombe</w:t>
      </w:r>
      <w:r w:rsidR="00931BE8">
        <w:rPr>
          <w:sz w:val="20"/>
        </w:rPr>
        <w:t>.</w:t>
      </w:r>
      <w:r w:rsidR="008D1B7D">
        <w:rPr>
          <w:sz w:val="20"/>
        </w:rPr>
        <w:t xml:space="preserve"> </w:t>
      </w:r>
    </w:p>
    <w:p w:rsidR="00880CD4" w:rsidRDefault="00880CD4" w:rsidP="008D1B7D">
      <w:pPr>
        <w:spacing w:after="0"/>
        <w:jc w:val="both"/>
        <w:rPr>
          <w:sz w:val="20"/>
        </w:rPr>
      </w:pPr>
    </w:p>
    <w:p w:rsidR="008D1B7D" w:rsidRDefault="00E231FE" w:rsidP="008D1B7D">
      <w:pPr>
        <w:spacing w:after="0"/>
        <w:jc w:val="both"/>
        <w:rPr>
          <w:sz w:val="20"/>
        </w:rPr>
      </w:pPr>
      <w:r>
        <w:rPr>
          <w:sz w:val="20"/>
        </w:rPr>
        <w:t xml:space="preserve">A ce jour, </w:t>
      </w:r>
      <w:r w:rsidR="008D1B7D">
        <w:rPr>
          <w:sz w:val="20"/>
        </w:rPr>
        <w:t>on peut citer les initiatives suivantes:</w:t>
      </w:r>
    </w:p>
    <w:p w:rsidR="00003EAD" w:rsidRDefault="00003EAD" w:rsidP="008D1B7D">
      <w:pPr>
        <w:spacing w:after="0"/>
        <w:jc w:val="both"/>
        <w:rPr>
          <w:sz w:val="20"/>
        </w:rPr>
      </w:pPr>
    </w:p>
    <w:p w:rsidR="0013505A" w:rsidRDefault="0013505A" w:rsidP="002E3A02">
      <w:pPr>
        <w:pStyle w:val="ListParagraph"/>
        <w:numPr>
          <w:ilvl w:val="0"/>
          <w:numId w:val="22"/>
        </w:numPr>
        <w:jc w:val="both"/>
        <w:rPr>
          <w:rFonts w:asciiTheme="minorHAnsi" w:eastAsiaTheme="minorEastAsia" w:hAnsiTheme="minorHAnsi" w:cstheme="minorBidi"/>
          <w:sz w:val="20"/>
          <w:szCs w:val="22"/>
        </w:rPr>
      </w:pPr>
      <w:r w:rsidRPr="008D1B7D">
        <w:rPr>
          <w:rFonts w:asciiTheme="minorHAnsi" w:eastAsiaTheme="minorEastAsia" w:hAnsiTheme="minorHAnsi" w:cstheme="minorBidi"/>
          <w:sz w:val="20"/>
          <w:szCs w:val="22"/>
        </w:rPr>
        <w:t>La concession de c</w:t>
      </w:r>
      <w:r w:rsidR="008D1B7D" w:rsidRPr="008D1B7D">
        <w:rPr>
          <w:rFonts w:asciiTheme="minorHAnsi" w:eastAsiaTheme="minorEastAsia" w:hAnsiTheme="minorHAnsi" w:cstheme="minorBidi"/>
          <w:sz w:val="20"/>
          <w:szCs w:val="22"/>
        </w:rPr>
        <w:t>onservation de</w:t>
      </w:r>
      <w:r w:rsidRPr="008D1B7D">
        <w:rPr>
          <w:rFonts w:asciiTheme="minorHAnsi" w:eastAsiaTheme="minorEastAsia" w:hAnsiTheme="minorHAnsi" w:cstheme="minorBidi"/>
          <w:sz w:val="20"/>
          <w:szCs w:val="22"/>
        </w:rPr>
        <w:t xml:space="preserve"> </w:t>
      </w:r>
      <w:r w:rsidR="00C94522">
        <w:rPr>
          <w:rFonts w:asciiTheme="minorHAnsi" w:eastAsiaTheme="minorEastAsia" w:hAnsiTheme="minorHAnsi" w:cstheme="minorBidi"/>
          <w:sz w:val="20"/>
          <w:szCs w:val="22"/>
        </w:rPr>
        <w:t>WWC</w:t>
      </w:r>
      <w:r w:rsidR="008D1B7D">
        <w:rPr>
          <w:rFonts w:asciiTheme="minorHAnsi" w:eastAsiaTheme="minorEastAsia" w:hAnsiTheme="minorHAnsi" w:cstheme="minorBidi"/>
          <w:sz w:val="20"/>
          <w:szCs w:val="22"/>
        </w:rPr>
        <w:t>, sur les bords du Lac Mai-Ndombe,</w:t>
      </w:r>
      <w:r w:rsidR="008D1B7D" w:rsidRPr="008D1B7D">
        <w:rPr>
          <w:rFonts w:asciiTheme="minorHAnsi" w:eastAsiaTheme="minorEastAsia" w:hAnsiTheme="minorHAnsi" w:cstheme="minorBidi"/>
          <w:sz w:val="20"/>
          <w:szCs w:val="22"/>
        </w:rPr>
        <w:t xml:space="preserve"> validés par les standards VCS et CCBA en décembre 2012</w:t>
      </w:r>
      <w:r w:rsidR="008D1B7D">
        <w:rPr>
          <w:rFonts w:asciiTheme="minorHAnsi" w:eastAsiaTheme="minorEastAsia" w:hAnsiTheme="minorHAnsi" w:cstheme="minorBidi"/>
          <w:sz w:val="20"/>
          <w:szCs w:val="22"/>
        </w:rPr>
        <w:t xml:space="preserve">. </w:t>
      </w:r>
      <w:r w:rsidR="008D1B7D" w:rsidRPr="008D1B7D">
        <w:rPr>
          <w:rFonts w:asciiTheme="minorHAnsi" w:eastAsiaTheme="minorEastAsia" w:hAnsiTheme="minorHAnsi" w:cstheme="minorBidi"/>
          <w:sz w:val="20"/>
          <w:szCs w:val="22"/>
        </w:rPr>
        <w:t>L’objectif</w:t>
      </w:r>
      <w:r w:rsidRPr="008D1B7D">
        <w:rPr>
          <w:rFonts w:asciiTheme="minorHAnsi" w:eastAsiaTheme="minorEastAsia" w:hAnsiTheme="minorHAnsi" w:cstheme="minorBidi"/>
          <w:sz w:val="20"/>
          <w:szCs w:val="22"/>
        </w:rPr>
        <w:t xml:space="preserve"> du projet est de lutter contre les facteurs de déforestation et de </w:t>
      </w:r>
      <w:r w:rsidRPr="008D1B7D">
        <w:rPr>
          <w:rFonts w:asciiTheme="minorHAnsi" w:eastAsiaTheme="minorEastAsia" w:hAnsiTheme="minorHAnsi" w:cstheme="minorBidi"/>
          <w:sz w:val="20"/>
          <w:szCs w:val="22"/>
        </w:rPr>
        <w:lastRenderedPageBreak/>
        <w:t>dégradation comme l’exploitation forestière, l’agriculture itinérante sur brûlis et la production intensive de charbon de bois. Les activités sont pour la plupa</w:t>
      </w:r>
      <w:r w:rsidR="00931BE8">
        <w:rPr>
          <w:rFonts w:asciiTheme="minorHAnsi" w:eastAsiaTheme="minorEastAsia" w:hAnsiTheme="minorHAnsi" w:cstheme="minorBidi"/>
          <w:sz w:val="20"/>
          <w:szCs w:val="22"/>
        </w:rPr>
        <w:t>rt à l'échelle de la communauté,</w:t>
      </w:r>
    </w:p>
    <w:p w:rsidR="008D1B7D" w:rsidRPr="008D1B7D" w:rsidRDefault="008D1B7D" w:rsidP="008D1B7D">
      <w:pPr>
        <w:pStyle w:val="ListParagraph"/>
        <w:jc w:val="both"/>
        <w:rPr>
          <w:rFonts w:asciiTheme="minorHAnsi" w:eastAsiaTheme="minorEastAsia" w:hAnsiTheme="minorHAnsi" w:cstheme="minorBidi"/>
          <w:sz w:val="20"/>
          <w:szCs w:val="22"/>
        </w:rPr>
      </w:pPr>
    </w:p>
    <w:p w:rsidR="0013505A" w:rsidRDefault="0013505A" w:rsidP="002E3A02">
      <w:pPr>
        <w:pStyle w:val="ListParagraph"/>
        <w:numPr>
          <w:ilvl w:val="0"/>
          <w:numId w:val="22"/>
        </w:numPr>
        <w:jc w:val="both"/>
        <w:rPr>
          <w:rFonts w:asciiTheme="minorHAnsi" w:eastAsiaTheme="minorEastAsia" w:hAnsiTheme="minorHAnsi" w:cstheme="minorBidi"/>
          <w:sz w:val="20"/>
          <w:szCs w:val="22"/>
        </w:rPr>
      </w:pPr>
      <w:r w:rsidRPr="008D1B7D">
        <w:rPr>
          <w:rFonts w:asciiTheme="minorHAnsi" w:eastAsiaTheme="minorEastAsia" w:hAnsiTheme="minorHAnsi" w:cstheme="minorBidi"/>
          <w:sz w:val="20"/>
          <w:szCs w:val="22"/>
        </w:rPr>
        <w:t xml:space="preserve">Les activités de la société Novacel, en particulier le projet Sud-Kwamouth Novacel. La société Novacel a lancé le premier projet de </w:t>
      </w:r>
      <w:r w:rsidR="00931BE8">
        <w:rPr>
          <w:rFonts w:asciiTheme="minorHAnsi" w:eastAsiaTheme="minorEastAsia" w:hAnsiTheme="minorHAnsi" w:cstheme="minorBidi"/>
          <w:sz w:val="20"/>
          <w:szCs w:val="22"/>
        </w:rPr>
        <w:t>boisement / reboisement</w:t>
      </w:r>
      <w:r w:rsidRPr="008D1B7D">
        <w:rPr>
          <w:rFonts w:asciiTheme="minorHAnsi" w:eastAsiaTheme="minorEastAsia" w:hAnsiTheme="minorHAnsi" w:cstheme="minorBidi"/>
          <w:sz w:val="20"/>
          <w:szCs w:val="22"/>
        </w:rPr>
        <w:t xml:space="preserve"> en Afrique</w:t>
      </w:r>
      <w:r w:rsidR="00931BE8">
        <w:rPr>
          <w:rFonts w:asciiTheme="minorHAnsi" w:eastAsiaTheme="minorEastAsia" w:hAnsiTheme="minorHAnsi" w:cstheme="minorBidi"/>
          <w:sz w:val="20"/>
          <w:szCs w:val="22"/>
        </w:rPr>
        <w:t xml:space="preserve"> Centrale</w:t>
      </w:r>
      <w:r w:rsidRPr="008D1B7D">
        <w:rPr>
          <w:rFonts w:asciiTheme="minorHAnsi" w:eastAsiaTheme="minorEastAsia" w:hAnsiTheme="minorHAnsi" w:cstheme="minorBidi"/>
          <w:sz w:val="20"/>
          <w:szCs w:val="22"/>
        </w:rPr>
        <w:t xml:space="preserve"> dans le village d'Ibi à la périphérie de Kinshasa</w:t>
      </w:r>
      <w:r w:rsidR="00931BE8">
        <w:rPr>
          <w:rFonts w:asciiTheme="minorHAnsi" w:eastAsiaTheme="minorEastAsia" w:hAnsiTheme="minorHAnsi" w:cstheme="minorBidi"/>
          <w:sz w:val="20"/>
          <w:szCs w:val="22"/>
        </w:rPr>
        <w:t>, dans le cadre du Mécanisme de Développement Propre du Protocole de Kyoto</w:t>
      </w:r>
      <w:r w:rsidRPr="008D1B7D">
        <w:rPr>
          <w:rFonts w:asciiTheme="minorHAnsi" w:eastAsiaTheme="minorEastAsia" w:hAnsiTheme="minorHAnsi" w:cstheme="minorBidi"/>
          <w:sz w:val="20"/>
          <w:szCs w:val="22"/>
        </w:rPr>
        <w:t xml:space="preserve">. </w:t>
      </w:r>
      <w:r w:rsidR="00931BE8">
        <w:rPr>
          <w:rFonts w:asciiTheme="minorHAnsi" w:eastAsiaTheme="minorEastAsia" w:hAnsiTheme="minorHAnsi" w:cstheme="minorBidi"/>
          <w:sz w:val="20"/>
          <w:szCs w:val="22"/>
        </w:rPr>
        <w:t>Novacel</w:t>
      </w:r>
      <w:r w:rsidRPr="008D1B7D">
        <w:rPr>
          <w:rFonts w:asciiTheme="minorHAnsi" w:eastAsiaTheme="minorEastAsia" w:hAnsiTheme="minorHAnsi" w:cstheme="minorBidi"/>
          <w:sz w:val="20"/>
          <w:szCs w:val="22"/>
        </w:rPr>
        <w:t xml:space="preserve"> a développé un modèle d'agroforesterie in</w:t>
      </w:r>
      <w:r w:rsidR="00931BE8">
        <w:rPr>
          <w:rFonts w:asciiTheme="minorHAnsi" w:eastAsiaTheme="minorEastAsia" w:hAnsiTheme="minorHAnsi" w:cstheme="minorBidi"/>
          <w:sz w:val="20"/>
          <w:szCs w:val="22"/>
        </w:rPr>
        <w:t>novant basé</w:t>
      </w:r>
      <w:r w:rsidRPr="008D1B7D">
        <w:rPr>
          <w:rFonts w:asciiTheme="minorHAnsi" w:eastAsiaTheme="minorEastAsia" w:hAnsiTheme="minorHAnsi" w:cstheme="minorBidi"/>
          <w:sz w:val="20"/>
          <w:szCs w:val="22"/>
        </w:rPr>
        <w:t xml:space="preserve"> sur l'acacia et le manioc. Grâce au financement du Partenariat pour les Forêts du Bassin du Congo (PFBC), Novacel et son partenaire GI-Agro ont développé le projet Novacel Sud-Kwamouth dans plusieurs chefferies dans le sud du district </w:t>
      </w:r>
      <w:r w:rsidR="00A5055A">
        <w:rPr>
          <w:rFonts w:asciiTheme="minorHAnsi" w:eastAsiaTheme="minorEastAsia" w:hAnsiTheme="minorHAnsi" w:cstheme="minorBidi"/>
          <w:sz w:val="20"/>
          <w:szCs w:val="22"/>
        </w:rPr>
        <w:t>du Plateau</w:t>
      </w:r>
      <w:r w:rsidRPr="008D1B7D">
        <w:rPr>
          <w:rFonts w:asciiTheme="minorHAnsi" w:eastAsiaTheme="minorEastAsia" w:hAnsiTheme="minorHAnsi" w:cstheme="minorBidi"/>
          <w:sz w:val="20"/>
          <w:szCs w:val="22"/>
        </w:rPr>
        <w:t>. Les activités comprennent les plantations agroforestières, la régénération naturelle assistée sur terres de savane et le développe</w:t>
      </w:r>
      <w:r w:rsidR="008D1B7D">
        <w:rPr>
          <w:rFonts w:asciiTheme="minorHAnsi" w:eastAsiaTheme="minorEastAsia" w:hAnsiTheme="minorHAnsi" w:cstheme="minorBidi"/>
          <w:sz w:val="20"/>
          <w:szCs w:val="22"/>
        </w:rPr>
        <w:t>ment de l'infrastructure locale,</w:t>
      </w:r>
    </w:p>
    <w:p w:rsidR="008D1B7D" w:rsidRPr="008D1B7D" w:rsidRDefault="008D1B7D" w:rsidP="008D1B7D">
      <w:pPr>
        <w:pStyle w:val="ListParagraph"/>
        <w:rPr>
          <w:rFonts w:asciiTheme="minorHAnsi" w:eastAsiaTheme="minorEastAsia" w:hAnsiTheme="minorHAnsi" w:cstheme="minorBidi"/>
          <w:sz w:val="20"/>
          <w:szCs w:val="22"/>
        </w:rPr>
      </w:pPr>
    </w:p>
    <w:p w:rsidR="00E566B6" w:rsidRDefault="0013505A" w:rsidP="002E3A02">
      <w:pPr>
        <w:pStyle w:val="ListParagraph"/>
        <w:numPr>
          <w:ilvl w:val="0"/>
          <w:numId w:val="22"/>
        </w:numPr>
        <w:jc w:val="both"/>
        <w:rPr>
          <w:rFonts w:asciiTheme="minorHAnsi" w:eastAsiaTheme="minorEastAsia" w:hAnsiTheme="minorHAnsi" w:cstheme="minorBidi"/>
          <w:sz w:val="20"/>
          <w:szCs w:val="22"/>
        </w:rPr>
      </w:pPr>
      <w:r w:rsidRPr="008D1B7D">
        <w:rPr>
          <w:rFonts w:asciiTheme="minorHAnsi" w:eastAsiaTheme="minorEastAsia" w:hAnsiTheme="minorHAnsi" w:cstheme="minorBidi"/>
          <w:sz w:val="20"/>
          <w:szCs w:val="22"/>
        </w:rPr>
        <w:t>Le Projet Forêts et Conservation de la Nature (financé par l'Association Internationale de Développement, IDA)</w:t>
      </w:r>
      <w:r w:rsidR="008D1B7D" w:rsidRPr="008D1B7D">
        <w:rPr>
          <w:rFonts w:asciiTheme="minorHAnsi" w:eastAsiaTheme="minorEastAsia" w:hAnsiTheme="minorHAnsi" w:cstheme="minorBidi"/>
          <w:sz w:val="20"/>
          <w:szCs w:val="22"/>
        </w:rPr>
        <w:t>. Il</w:t>
      </w:r>
      <w:r w:rsidRPr="008D1B7D">
        <w:rPr>
          <w:rFonts w:asciiTheme="minorHAnsi" w:eastAsiaTheme="minorEastAsia" w:hAnsiTheme="minorHAnsi" w:cstheme="minorBidi"/>
          <w:sz w:val="20"/>
          <w:szCs w:val="22"/>
        </w:rPr>
        <w:t xml:space="preserve"> a apporté son soutien à l'élaboration des Plans de Développement des Peuples Autochtones Pygmées (PDPA) en 2013 dans les </w:t>
      </w:r>
      <w:r w:rsidR="006379AE">
        <w:rPr>
          <w:rFonts w:asciiTheme="minorHAnsi" w:eastAsiaTheme="minorEastAsia" w:hAnsiTheme="minorHAnsi" w:cstheme="minorBidi"/>
          <w:sz w:val="20"/>
          <w:szCs w:val="22"/>
        </w:rPr>
        <w:t>T</w:t>
      </w:r>
      <w:r w:rsidRPr="008D1B7D">
        <w:rPr>
          <w:rFonts w:asciiTheme="minorHAnsi" w:eastAsiaTheme="minorEastAsia" w:hAnsiTheme="minorHAnsi" w:cstheme="minorBidi"/>
          <w:sz w:val="20"/>
          <w:szCs w:val="22"/>
        </w:rPr>
        <w:t>erritoires de Kiri, Ochwe et Inongo. Chaque PDPA propose un programme de travail sur une période de 4 ans composé de micro-projets détaillés à financer pour un total de 26,73 millions USD (Inongo : 9,03 M U</w:t>
      </w:r>
      <w:r w:rsidR="008D1B7D" w:rsidRPr="008D1B7D">
        <w:rPr>
          <w:rFonts w:asciiTheme="minorHAnsi" w:eastAsiaTheme="minorEastAsia" w:hAnsiTheme="minorHAnsi" w:cstheme="minorBidi"/>
          <w:sz w:val="20"/>
          <w:szCs w:val="22"/>
        </w:rPr>
        <w:t xml:space="preserve">SD, Kiri : 8,85 M USD, Ochwe : </w:t>
      </w:r>
      <w:r w:rsidRPr="008D1B7D">
        <w:rPr>
          <w:rFonts w:asciiTheme="minorHAnsi" w:eastAsiaTheme="minorEastAsia" w:hAnsiTheme="minorHAnsi" w:cstheme="minorBidi"/>
          <w:sz w:val="20"/>
          <w:szCs w:val="22"/>
        </w:rPr>
        <w:t xml:space="preserve">8,85 M USD). Ce projet a également facilité la négociation de clauses sociales entre les concessions forestières et les communautés (en fonction du Code Forestier). Dans le </w:t>
      </w:r>
      <w:r w:rsidR="00EB17C0">
        <w:rPr>
          <w:rFonts w:asciiTheme="minorHAnsi" w:eastAsiaTheme="minorEastAsia" w:hAnsiTheme="minorHAnsi" w:cstheme="minorBidi"/>
          <w:sz w:val="20"/>
          <w:szCs w:val="22"/>
        </w:rPr>
        <w:t>Mai-Ndombe</w:t>
      </w:r>
      <w:r w:rsidRPr="008D1B7D">
        <w:rPr>
          <w:rFonts w:asciiTheme="minorHAnsi" w:eastAsiaTheme="minorEastAsia" w:hAnsiTheme="minorHAnsi" w:cstheme="minorBidi"/>
          <w:sz w:val="20"/>
          <w:szCs w:val="22"/>
        </w:rPr>
        <w:t>, il a concerné 9 concessions pour un montant projeté total de 1,2 million USD qui sont ou seront alloués à des projets locaux de développement</w:t>
      </w:r>
      <w:r w:rsidR="00E566B6">
        <w:rPr>
          <w:rFonts w:asciiTheme="minorHAnsi" w:eastAsiaTheme="minorEastAsia" w:hAnsiTheme="minorHAnsi" w:cstheme="minorBidi"/>
          <w:sz w:val="20"/>
          <w:szCs w:val="22"/>
        </w:rPr>
        <w:t>,</w:t>
      </w:r>
    </w:p>
    <w:p w:rsidR="00E566B6" w:rsidRPr="00E566B6" w:rsidRDefault="00E566B6" w:rsidP="00E566B6">
      <w:pPr>
        <w:pStyle w:val="ListParagraph"/>
        <w:jc w:val="both"/>
        <w:rPr>
          <w:rFonts w:asciiTheme="minorHAnsi" w:eastAsiaTheme="minorEastAsia" w:hAnsiTheme="minorHAnsi" w:cstheme="minorBidi"/>
          <w:sz w:val="20"/>
          <w:szCs w:val="22"/>
        </w:rPr>
      </w:pPr>
    </w:p>
    <w:p w:rsidR="00C8211F" w:rsidRPr="00C8211F" w:rsidRDefault="0013505A" w:rsidP="002E3A02">
      <w:pPr>
        <w:pStyle w:val="ListParagraph"/>
        <w:numPr>
          <w:ilvl w:val="0"/>
          <w:numId w:val="22"/>
        </w:numPr>
        <w:jc w:val="both"/>
        <w:rPr>
          <w:rFonts w:asciiTheme="minorHAnsi" w:eastAsiaTheme="minorEastAsia" w:hAnsiTheme="minorHAnsi" w:cstheme="minorBidi"/>
          <w:sz w:val="20"/>
          <w:szCs w:val="22"/>
        </w:rPr>
      </w:pPr>
      <w:r w:rsidRPr="00E566B6">
        <w:rPr>
          <w:rFonts w:asciiTheme="minorHAnsi" w:eastAsiaTheme="minorEastAsia" w:hAnsiTheme="minorHAnsi" w:cstheme="minorBidi"/>
          <w:sz w:val="20"/>
          <w:szCs w:val="22"/>
        </w:rPr>
        <w:t xml:space="preserve">La production des cultures pérennes : caféier, hévéa et cacaotier. L'ONG Trias a initié la relance de la production de cacao dans le </w:t>
      </w:r>
      <w:r w:rsidR="006379AE">
        <w:rPr>
          <w:rFonts w:asciiTheme="minorHAnsi" w:eastAsiaTheme="minorEastAsia" w:hAnsiTheme="minorHAnsi" w:cstheme="minorBidi"/>
          <w:sz w:val="20"/>
          <w:szCs w:val="22"/>
        </w:rPr>
        <w:t>T</w:t>
      </w:r>
      <w:r w:rsidRPr="00E566B6">
        <w:rPr>
          <w:rFonts w:asciiTheme="minorHAnsi" w:eastAsiaTheme="minorEastAsia" w:hAnsiTheme="minorHAnsi" w:cstheme="minorBidi"/>
          <w:sz w:val="20"/>
          <w:szCs w:val="22"/>
        </w:rPr>
        <w:t>erritoire d’Inongo. Des coopératives de producteurs ont été créées (qui ont exporté 120 tonnes de cacao en 2014) et ont été dot</w:t>
      </w:r>
      <w:r w:rsidR="00C8211F">
        <w:rPr>
          <w:rFonts w:asciiTheme="minorHAnsi" w:eastAsiaTheme="minorEastAsia" w:hAnsiTheme="minorHAnsi" w:cstheme="minorBidi"/>
          <w:sz w:val="20"/>
          <w:szCs w:val="22"/>
        </w:rPr>
        <w:t>ées de fonds de roulement et de moyens pour le</w:t>
      </w:r>
      <w:r w:rsidRPr="00E566B6">
        <w:rPr>
          <w:rFonts w:asciiTheme="minorHAnsi" w:eastAsiaTheme="minorEastAsia" w:hAnsiTheme="minorHAnsi" w:cstheme="minorBidi"/>
          <w:sz w:val="20"/>
          <w:szCs w:val="22"/>
        </w:rPr>
        <w:t xml:space="preserve"> transport, la fermentation et le séchage</w:t>
      </w:r>
      <w:r w:rsidR="00C8211F">
        <w:rPr>
          <w:rFonts w:asciiTheme="minorHAnsi" w:eastAsiaTheme="minorEastAsia" w:hAnsiTheme="minorHAnsi" w:cstheme="minorBidi"/>
          <w:sz w:val="20"/>
          <w:szCs w:val="22"/>
        </w:rPr>
        <w:t xml:space="preserve"> des fèves</w:t>
      </w:r>
      <w:r w:rsidRPr="00E566B6">
        <w:rPr>
          <w:rFonts w:asciiTheme="minorHAnsi" w:eastAsiaTheme="minorEastAsia" w:hAnsiTheme="minorHAnsi" w:cstheme="minorBidi"/>
          <w:sz w:val="20"/>
          <w:szCs w:val="22"/>
        </w:rPr>
        <w:t xml:space="preserve">. Par ailleurs, un programme a été lancé pour restaurer les plantations de cacaotiers et pour former l’agriculteur aux pratiques culturales améliorées. Après une période d'inactivité, les plantations d’hévéa d'Inongo et de la Lukenie </w:t>
      </w:r>
      <w:r w:rsidR="00C8211F">
        <w:rPr>
          <w:rFonts w:asciiTheme="minorHAnsi" w:eastAsiaTheme="minorEastAsia" w:hAnsiTheme="minorHAnsi" w:cstheme="minorBidi"/>
          <w:sz w:val="20"/>
          <w:szCs w:val="22"/>
        </w:rPr>
        <w:t>sont de nouveau exploitées</w:t>
      </w:r>
      <w:r w:rsidRPr="00E566B6">
        <w:rPr>
          <w:rFonts w:asciiTheme="minorHAnsi" w:eastAsiaTheme="minorEastAsia" w:hAnsiTheme="minorHAnsi" w:cstheme="minorBidi"/>
          <w:sz w:val="20"/>
          <w:szCs w:val="22"/>
        </w:rPr>
        <w:t xml:space="preserve"> par la Société Congo Forêt, qui possède une unité de traitement </w:t>
      </w:r>
      <w:r w:rsidR="00E566B6" w:rsidRPr="00E566B6">
        <w:rPr>
          <w:rFonts w:asciiTheme="minorHAnsi" w:eastAsiaTheme="minorEastAsia" w:hAnsiTheme="minorHAnsi" w:cstheme="minorBidi"/>
          <w:sz w:val="20"/>
          <w:szCs w:val="22"/>
        </w:rPr>
        <w:t>à Dima, près de Bandundu-Ville,</w:t>
      </w:r>
    </w:p>
    <w:p w:rsidR="00C8211F" w:rsidRPr="00C8211F" w:rsidRDefault="00C8211F" w:rsidP="00C8211F">
      <w:pPr>
        <w:pStyle w:val="ListParagraph"/>
        <w:jc w:val="both"/>
        <w:rPr>
          <w:rFonts w:asciiTheme="minorHAnsi" w:eastAsiaTheme="minorEastAsia" w:hAnsiTheme="minorHAnsi" w:cstheme="minorBidi"/>
          <w:sz w:val="20"/>
          <w:szCs w:val="22"/>
        </w:rPr>
      </w:pPr>
    </w:p>
    <w:p w:rsidR="00C8211F" w:rsidRPr="00C8211F" w:rsidRDefault="0013505A" w:rsidP="002E3A02">
      <w:pPr>
        <w:pStyle w:val="ListParagraph"/>
        <w:numPr>
          <w:ilvl w:val="0"/>
          <w:numId w:val="22"/>
        </w:numPr>
        <w:jc w:val="both"/>
        <w:rPr>
          <w:rFonts w:asciiTheme="minorHAnsi" w:eastAsiaTheme="minorEastAsia" w:hAnsiTheme="minorHAnsi" w:cstheme="minorBidi"/>
          <w:sz w:val="20"/>
          <w:szCs w:val="22"/>
        </w:rPr>
      </w:pPr>
      <w:r w:rsidRPr="00E566B6">
        <w:rPr>
          <w:rFonts w:asciiTheme="minorHAnsi" w:eastAsiaTheme="minorEastAsia" w:hAnsiTheme="minorHAnsi" w:cstheme="minorBidi"/>
          <w:sz w:val="20"/>
          <w:szCs w:val="22"/>
        </w:rPr>
        <w:t>Activités d'Exploitation Forestière à Impact Réduit dans les concessions de la SODEFOR. La SODEFOR a mis en œuvre les pratiques de l’Exploitation Forestière à Impact Réduit (EFIR) en vue d’obtenir la certification FSC dans trois</w:t>
      </w:r>
      <w:r w:rsidR="00C8211F">
        <w:rPr>
          <w:rFonts w:asciiTheme="minorHAnsi" w:eastAsiaTheme="minorEastAsia" w:hAnsiTheme="minorHAnsi" w:cstheme="minorBidi"/>
          <w:sz w:val="20"/>
          <w:szCs w:val="22"/>
        </w:rPr>
        <w:t xml:space="preserve"> de ses</w:t>
      </w:r>
      <w:r w:rsidRPr="00E566B6">
        <w:rPr>
          <w:rFonts w:asciiTheme="minorHAnsi" w:eastAsiaTheme="minorEastAsia" w:hAnsiTheme="minorHAnsi" w:cstheme="minorBidi"/>
          <w:sz w:val="20"/>
          <w:szCs w:val="22"/>
        </w:rPr>
        <w:t xml:space="preserve"> concessions (Nteno, Madjoko et Isongo) depuis 2010 avec le sout</w:t>
      </w:r>
      <w:r w:rsidR="00C8211F">
        <w:rPr>
          <w:rFonts w:asciiTheme="minorHAnsi" w:eastAsiaTheme="minorEastAsia" w:hAnsiTheme="minorHAnsi" w:cstheme="minorBidi"/>
          <w:sz w:val="20"/>
          <w:szCs w:val="22"/>
        </w:rPr>
        <w:t>ien du WWF (financé par le KFW). La SODEFOR envisage aujourd’hui d’étendre cet effort à l’ensemble de ses concessions,</w:t>
      </w:r>
    </w:p>
    <w:p w:rsidR="00C8211F" w:rsidRPr="00C8211F" w:rsidRDefault="00C8211F" w:rsidP="00C8211F">
      <w:pPr>
        <w:pStyle w:val="ListParagraph"/>
        <w:jc w:val="both"/>
        <w:rPr>
          <w:rFonts w:asciiTheme="minorHAnsi" w:eastAsiaTheme="minorEastAsia" w:hAnsiTheme="minorHAnsi" w:cstheme="minorBidi"/>
          <w:sz w:val="20"/>
          <w:szCs w:val="22"/>
        </w:rPr>
      </w:pPr>
    </w:p>
    <w:p w:rsidR="0013505A" w:rsidRPr="00E566B6" w:rsidRDefault="0013505A" w:rsidP="002E3A02">
      <w:pPr>
        <w:pStyle w:val="ListParagraph"/>
        <w:numPr>
          <w:ilvl w:val="0"/>
          <w:numId w:val="22"/>
        </w:numPr>
        <w:jc w:val="both"/>
        <w:rPr>
          <w:rFonts w:asciiTheme="minorHAnsi" w:eastAsiaTheme="minorEastAsia" w:hAnsiTheme="minorHAnsi" w:cstheme="minorBidi"/>
          <w:sz w:val="20"/>
          <w:szCs w:val="22"/>
        </w:rPr>
      </w:pPr>
      <w:r w:rsidRPr="00E566B6">
        <w:rPr>
          <w:rFonts w:asciiTheme="minorHAnsi" w:eastAsiaTheme="minorEastAsia" w:hAnsiTheme="minorHAnsi" w:cstheme="minorBidi"/>
          <w:sz w:val="20"/>
          <w:szCs w:val="22"/>
        </w:rPr>
        <w:t xml:space="preserve">La SOCALCO </w:t>
      </w:r>
      <w:r w:rsidR="00C8211F">
        <w:rPr>
          <w:rFonts w:asciiTheme="minorHAnsi" w:eastAsiaTheme="minorEastAsia" w:hAnsiTheme="minorHAnsi" w:cstheme="minorBidi"/>
          <w:sz w:val="20"/>
          <w:szCs w:val="22"/>
        </w:rPr>
        <w:t>produit</w:t>
      </w:r>
      <w:r w:rsidRPr="00E566B6">
        <w:rPr>
          <w:rFonts w:asciiTheme="minorHAnsi" w:eastAsiaTheme="minorEastAsia" w:hAnsiTheme="minorHAnsi" w:cstheme="minorBidi"/>
          <w:sz w:val="20"/>
          <w:szCs w:val="22"/>
        </w:rPr>
        <w:t xml:space="preserve"> 70 % des allumettes</w:t>
      </w:r>
      <w:r w:rsidR="00C8211F">
        <w:rPr>
          <w:rFonts w:asciiTheme="minorHAnsi" w:eastAsiaTheme="minorEastAsia" w:hAnsiTheme="minorHAnsi" w:cstheme="minorBidi"/>
          <w:sz w:val="20"/>
          <w:szCs w:val="22"/>
        </w:rPr>
        <w:t xml:space="preserve"> consommées en RDC. </w:t>
      </w:r>
      <w:r w:rsidRPr="00E566B6">
        <w:rPr>
          <w:rFonts w:asciiTheme="minorHAnsi" w:eastAsiaTheme="minorEastAsia" w:hAnsiTheme="minorHAnsi" w:cstheme="minorBidi"/>
          <w:sz w:val="20"/>
          <w:szCs w:val="22"/>
        </w:rPr>
        <w:t>L'usine de Kinshasa fabrique des allumettes de sûreté de haute qualité, sans soufre ni métaux lourds conformes aux normes de l'UE</w:t>
      </w:r>
      <w:r w:rsidR="00C8211F">
        <w:rPr>
          <w:rFonts w:asciiTheme="minorHAnsi" w:eastAsiaTheme="minorEastAsia" w:hAnsiTheme="minorHAnsi" w:cstheme="minorBidi"/>
          <w:sz w:val="20"/>
          <w:szCs w:val="22"/>
        </w:rPr>
        <w:t xml:space="preserve">. La SOCALCO envisage aujourd’hui d’augmenter sa capacité de production avec une </w:t>
      </w:r>
      <w:r w:rsidR="00003EAD">
        <w:rPr>
          <w:rFonts w:asciiTheme="minorHAnsi" w:eastAsiaTheme="minorEastAsia" w:hAnsiTheme="minorHAnsi" w:cstheme="minorBidi"/>
          <w:sz w:val="20"/>
          <w:szCs w:val="22"/>
        </w:rPr>
        <w:t xml:space="preserve">matière première qui pourrait provenir de périmètre de reboisement durables ou de plantations communautaires installés dans le Mai-Ndombe. </w:t>
      </w:r>
    </w:p>
    <w:p w:rsidR="00003EAD" w:rsidRDefault="00003EAD" w:rsidP="0013505A">
      <w:pPr>
        <w:jc w:val="both"/>
        <w:rPr>
          <w:sz w:val="20"/>
        </w:rPr>
      </w:pPr>
    </w:p>
    <w:p w:rsidR="00003EAD" w:rsidRDefault="0013505A" w:rsidP="00003EAD">
      <w:pPr>
        <w:spacing w:after="0"/>
        <w:jc w:val="both"/>
        <w:rPr>
          <w:sz w:val="20"/>
        </w:rPr>
      </w:pPr>
      <w:r w:rsidRPr="0013505A">
        <w:rPr>
          <w:sz w:val="20"/>
        </w:rPr>
        <w:t xml:space="preserve">D’autres </w:t>
      </w:r>
      <w:r w:rsidR="00003EAD">
        <w:rPr>
          <w:sz w:val="20"/>
        </w:rPr>
        <w:t xml:space="preserve">initiatives, menées hors de la Province, </w:t>
      </w:r>
      <w:r w:rsidR="00A744CA">
        <w:rPr>
          <w:sz w:val="20"/>
        </w:rPr>
        <w:t>ont permis</w:t>
      </w:r>
      <w:r w:rsidR="00003EAD">
        <w:rPr>
          <w:sz w:val="20"/>
        </w:rPr>
        <w:t xml:space="preserve"> </w:t>
      </w:r>
      <w:r w:rsidR="00A744CA">
        <w:rPr>
          <w:sz w:val="20"/>
        </w:rPr>
        <w:t>d’</w:t>
      </w:r>
      <w:r w:rsidR="00003EAD">
        <w:rPr>
          <w:sz w:val="20"/>
        </w:rPr>
        <w:t>enrichir la conception et la mise en œuvre du PIREDD Mai-Ndombe. On peut notamment citer :</w:t>
      </w:r>
    </w:p>
    <w:p w:rsidR="00A744CA" w:rsidRDefault="00A744CA" w:rsidP="00003EAD">
      <w:pPr>
        <w:spacing w:after="0"/>
        <w:jc w:val="both"/>
        <w:rPr>
          <w:sz w:val="20"/>
        </w:rPr>
      </w:pPr>
    </w:p>
    <w:p w:rsidR="00003EAD" w:rsidRPr="00931BE8" w:rsidRDefault="0013505A" w:rsidP="002E3A02">
      <w:pPr>
        <w:pStyle w:val="ListParagraph"/>
        <w:numPr>
          <w:ilvl w:val="0"/>
          <w:numId w:val="23"/>
        </w:numPr>
        <w:jc w:val="both"/>
        <w:rPr>
          <w:rFonts w:asciiTheme="minorHAnsi" w:eastAsiaTheme="minorEastAsia" w:hAnsiTheme="minorHAnsi" w:cstheme="minorBidi"/>
          <w:sz w:val="20"/>
          <w:szCs w:val="22"/>
        </w:rPr>
      </w:pPr>
      <w:r w:rsidRPr="00931BE8">
        <w:rPr>
          <w:rFonts w:asciiTheme="minorHAnsi" w:eastAsiaTheme="minorEastAsia" w:hAnsiTheme="minorHAnsi" w:cstheme="minorBidi"/>
          <w:sz w:val="20"/>
          <w:szCs w:val="22"/>
        </w:rPr>
        <w:t>Les plantations de Mampu et le projet N’Tsio.</w:t>
      </w:r>
      <w:r w:rsidR="00003EAD" w:rsidRPr="00931BE8">
        <w:rPr>
          <w:rFonts w:asciiTheme="minorHAnsi" w:eastAsiaTheme="minorEastAsia" w:hAnsiTheme="minorHAnsi" w:cstheme="minorBidi"/>
          <w:sz w:val="20"/>
          <w:szCs w:val="22"/>
        </w:rPr>
        <w:t xml:space="preserve"> Le projet</w:t>
      </w:r>
      <w:r w:rsidRPr="00931BE8">
        <w:rPr>
          <w:rFonts w:asciiTheme="minorHAnsi" w:eastAsiaTheme="minorEastAsia" w:hAnsiTheme="minorHAnsi" w:cstheme="minorBidi"/>
          <w:sz w:val="20"/>
          <w:szCs w:val="22"/>
        </w:rPr>
        <w:t xml:space="preserve"> Mampu est devenu un projet d'agroforesterie comprenant plus de 300 agriculteurs. </w:t>
      </w:r>
      <w:r w:rsidR="00003EAD" w:rsidRPr="00931BE8">
        <w:rPr>
          <w:rFonts w:asciiTheme="minorHAnsi" w:eastAsiaTheme="minorEastAsia" w:hAnsiTheme="minorHAnsi" w:cstheme="minorBidi"/>
          <w:sz w:val="20"/>
          <w:szCs w:val="22"/>
        </w:rPr>
        <w:t>Il</w:t>
      </w:r>
      <w:r w:rsidRPr="00931BE8">
        <w:rPr>
          <w:rFonts w:asciiTheme="minorHAnsi" w:eastAsiaTheme="minorEastAsia" w:hAnsiTheme="minorHAnsi" w:cstheme="minorBidi"/>
          <w:sz w:val="20"/>
          <w:szCs w:val="22"/>
        </w:rPr>
        <w:t xml:space="preserve"> a été coordonné </w:t>
      </w:r>
      <w:r w:rsidR="00931BE8" w:rsidRPr="00931BE8">
        <w:rPr>
          <w:rFonts w:asciiTheme="minorHAnsi" w:eastAsiaTheme="minorEastAsia" w:hAnsiTheme="minorHAnsi" w:cstheme="minorBidi"/>
          <w:sz w:val="20"/>
          <w:szCs w:val="22"/>
        </w:rPr>
        <w:t xml:space="preserve">initialement et </w:t>
      </w:r>
      <w:r w:rsidRPr="00931BE8">
        <w:rPr>
          <w:rFonts w:asciiTheme="minorHAnsi" w:eastAsiaTheme="minorEastAsia" w:hAnsiTheme="minorHAnsi" w:cstheme="minorBidi"/>
          <w:sz w:val="20"/>
          <w:szCs w:val="22"/>
        </w:rPr>
        <w:t>localement par la Fondation Hanns Seidel jusqu'en février 2009 et est géré à l’heure actuelle par un organisme local, l'Union des Fermiers de Mampu. La Fondation est en train de développer</w:t>
      </w:r>
      <w:r w:rsidR="00003EAD" w:rsidRPr="00931BE8">
        <w:rPr>
          <w:rFonts w:asciiTheme="minorHAnsi" w:eastAsiaTheme="minorEastAsia" w:hAnsiTheme="minorHAnsi" w:cstheme="minorBidi"/>
          <w:sz w:val="20"/>
          <w:szCs w:val="22"/>
        </w:rPr>
        <w:t xml:space="preserve"> un nouveau projet,</w:t>
      </w:r>
      <w:r w:rsidRPr="00931BE8">
        <w:rPr>
          <w:rFonts w:asciiTheme="minorHAnsi" w:eastAsiaTheme="minorEastAsia" w:hAnsiTheme="minorHAnsi" w:cstheme="minorBidi"/>
          <w:sz w:val="20"/>
          <w:szCs w:val="22"/>
        </w:rPr>
        <w:t xml:space="preserve"> le projet N'Tsio</w:t>
      </w:r>
      <w:r w:rsidR="00003EAD" w:rsidRPr="00931BE8">
        <w:rPr>
          <w:rFonts w:asciiTheme="minorHAnsi" w:eastAsiaTheme="minorEastAsia" w:hAnsiTheme="minorHAnsi" w:cstheme="minorBidi"/>
          <w:sz w:val="20"/>
          <w:szCs w:val="22"/>
        </w:rPr>
        <w:t>,</w:t>
      </w:r>
      <w:r w:rsidRPr="00931BE8">
        <w:rPr>
          <w:rFonts w:asciiTheme="minorHAnsi" w:eastAsiaTheme="minorEastAsia" w:hAnsiTheme="minorHAnsi" w:cstheme="minorBidi"/>
          <w:sz w:val="20"/>
          <w:szCs w:val="22"/>
        </w:rPr>
        <w:t xml:space="preserve"> </w:t>
      </w:r>
      <w:r w:rsidR="00003EAD" w:rsidRPr="00931BE8">
        <w:rPr>
          <w:rFonts w:asciiTheme="minorHAnsi" w:eastAsiaTheme="minorEastAsia" w:hAnsiTheme="minorHAnsi" w:cstheme="minorBidi"/>
          <w:sz w:val="20"/>
          <w:szCs w:val="22"/>
        </w:rPr>
        <w:t xml:space="preserve">qui </w:t>
      </w:r>
      <w:r w:rsidRPr="00931BE8">
        <w:rPr>
          <w:rFonts w:asciiTheme="minorHAnsi" w:eastAsiaTheme="minorEastAsia" w:hAnsiTheme="minorHAnsi" w:cstheme="minorBidi"/>
          <w:sz w:val="20"/>
          <w:szCs w:val="22"/>
        </w:rPr>
        <w:t>apporte</w:t>
      </w:r>
      <w:r w:rsidR="00003EAD" w:rsidRPr="00931BE8">
        <w:rPr>
          <w:rFonts w:asciiTheme="minorHAnsi" w:eastAsiaTheme="minorEastAsia" w:hAnsiTheme="minorHAnsi" w:cstheme="minorBidi"/>
          <w:sz w:val="20"/>
          <w:szCs w:val="22"/>
        </w:rPr>
        <w:t>ra</w:t>
      </w:r>
      <w:r w:rsidRPr="00931BE8">
        <w:rPr>
          <w:rFonts w:asciiTheme="minorHAnsi" w:eastAsiaTheme="minorEastAsia" w:hAnsiTheme="minorHAnsi" w:cstheme="minorBidi"/>
          <w:sz w:val="20"/>
          <w:szCs w:val="22"/>
        </w:rPr>
        <w:t xml:space="preserve"> un support aux communautés villageoises dans le développement de projets d'agroforesterie pour promouvoir l'agriculture sédentaire et produire du charbon de b</w:t>
      </w:r>
      <w:r w:rsidR="00003EAD" w:rsidRPr="00931BE8">
        <w:rPr>
          <w:rFonts w:asciiTheme="minorHAnsi" w:eastAsiaTheme="minorEastAsia" w:hAnsiTheme="minorHAnsi" w:cstheme="minorBidi"/>
          <w:sz w:val="20"/>
          <w:szCs w:val="22"/>
        </w:rPr>
        <w:t>ois pour le marché de Kinshasa,</w:t>
      </w:r>
    </w:p>
    <w:p w:rsidR="00003EAD" w:rsidRPr="00931BE8" w:rsidRDefault="00003EAD" w:rsidP="00003EAD">
      <w:pPr>
        <w:pStyle w:val="ListParagraph"/>
        <w:jc w:val="both"/>
        <w:rPr>
          <w:rFonts w:asciiTheme="minorHAnsi" w:eastAsiaTheme="minorEastAsia" w:hAnsiTheme="minorHAnsi" w:cstheme="minorBidi"/>
          <w:sz w:val="20"/>
          <w:szCs w:val="22"/>
        </w:rPr>
      </w:pPr>
    </w:p>
    <w:p w:rsidR="0013505A" w:rsidRPr="00931BE8" w:rsidRDefault="0013505A" w:rsidP="002E3A02">
      <w:pPr>
        <w:pStyle w:val="ListParagraph"/>
        <w:numPr>
          <w:ilvl w:val="0"/>
          <w:numId w:val="23"/>
        </w:numPr>
        <w:jc w:val="both"/>
        <w:rPr>
          <w:rFonts w:asciiTheme="minorHAnsi" w:eastAsiaTheme="minorEastAsia" w:hAnsiTheme="minorHAnsi" w:cstheme="minorBidi"/>
          <w:sz w:val="20"/>
          <w:szCs w:val="22"/>
        </w:rPr>
      </w:pPr>
      <w:r w:rsidRPr="00931BE8">
        <w:rPr>
          <w:rFonts w:asciiTheme="minorHAnsi" w:eastAsiaTheme="minorEastAsia" w:hAnsiTheme="minorHAnsi" w:cstheme="minorBidi"/>
          <w:sz w:val="20"/>
          <w:szCs w:val="22"/>
        </w:rPr>
        <w:t xml:space="preserve">Les initiatives concernant </w:t>
      </w:r>
      <w:r w:rsidR="00931BE8" w:rsidRPr="00931BE8">
        <w:rPr>
          <w:rFonts w:asciiTheme="minorHAnsi" w:eastAsiaTheme="minorEastAsia" w:hAnsiTheme="minorHAnsi" w:cstheme="minorBidi"/>
          <w:sz w:val="20"/>
          <w:szCs w:val="22"/>
        </w:rPr>
        <w:t>la promotion de foyers améliorés pour</w:t>
      </w:r>
      <w:r w:rsidRPr="00931BE8">
        <w:rPr>
          <w:rFonts w:asciiTheme="minorHAnsi" w:eastAsiaTheme="minorEastAsia" w:hAnsiTheme="minorHAnsi" w:cstheme="minorBidi"/>
          <w:sz w:val="20"/>
          <w:szCs w:val="22"/>
        </w:rPr>
        <w:t xml:space="preserve"> Kinshasa. À l'heure actuelle, plusieurs intervenants apportent leur soutien aux fourneaux de cuisson améliorés à Kinshasa. Des institutions dont la GIZ et la SNV appuient la dissémination des fourneaux de cuisson comme le Prakti importé de l’Inde ou le Kin Stove produit localement par un réseau d’artisans. Une fili</w:t>
      </w:r>
      <w:r w:rsidR="00931BE8" w:rsidRPr="00931BE8">
        <w:rPr>
          <w:rFonts w:asciiTheme="minorHAnsi" w:eastAsiaTheme="minorEastAsia" w:hAnsiTheme="minorHAnsi" w:cstheme="minorBidi"/>
          <w:sz w:val="20"/>
          <w:szCs w:val="22"/>
        </w:rPr>
        <w:t xml:space="preserve">ale d’Ecosur Afrique, </w:t>
      </w:r>
      <w:r w:rsidRPr="00931BE8">
        <w:rPr>
          <w:rFonts w:asciiTheme="minorHAnsi" w:eastAsiaTheme="minorEastAsia" w:hAnsiTheme="minorHAnsi" w:cstheme="minorBidi"/>
          <w:sz w:val="20"/>
          <w:szCs w:val="22"/>
        </w:rPr>
        <w:t xml:space="preserve">Biso Na Bino, produit et commercialise le fourneau de cuisson Jiko Mamu et vise une production de 10 000 pièces par mois </w:t>
      </w:r>
      <w:r w:rsidR="00931BE8" w:rsidRPr="00931BE8">
        <w:rPr>
          <w:rFonts w:asciiTheme="minorHAnsi" w:eastAsiaTheme="minorEastAsia" w:hAnsiTheme="minorHAnsi" w:cstheme="minorBidi"/>
          <w:sz w:val="20"/>
          <w:szCs w:val="22"/>
        </w:rPr>
        <w:t>très prochainement</w:t>
      </w:r>
      <w:r w:rsidRPr="00931BE8">
        <w:rPr>
          <w:rFonts w:asciiTheme="minorHAnsi" w:eastAsiaTheme="minorEastAsia" w:hAnsiTheme="minorHAnsi" w:cstheme="minorBidi"/>
          <w:sz w:val="20"/>
          <w:szCs w:val="22"/>
        </w:rPr>
        <w:t>. Ce pr</w:t>
      </w:r>
      <w:r w:rsidR="00931BE8" w:rsidRPr="00931BE8">
        <w:rPr>
          <w:rFonts w:asciiTheme="minorHAnsi" w:eastAsiaTheme="minorEastAsia" w:hAnsiTheme="minorHAnsi" w:cstheme="minorBidi"/>
          <w:sz w:val="20"/>
          <w:szCs w:val="22"/>
        </w:rPr>
        <w:t>ojet est également enregistré comme projet du</w:t>
      </w:r>
      <w:r w:rsidRPr="00931BE8">
        <w:rPr>
          <w:rFonts w:asciiTheme="minorHAnsi" w:eastAsiaTheme="minorEastAsia" w:hAnsiTheme="minorHAnsi" w:cstheme="minorBidi"/>
          <w:sz w:val="20"/>
          <w:szCs w:val="22"/>
        </w:rPr>
        <w:t xml:space="preserve"> </w:t>
      </w:r>
      <w:r w:rsidR="00931BE8">
        <w:rPr>
          <w:rFonts w:asciiTheme="minorHAnsi" w:eastAsiaTheme="minorEastAsia" w:hAnsiTheme="minorHAnsi" w:cstheme="minorBidi"/>
          <w:sz w:val="20"/>
          <w:szCs w:val="22"/>
        </w:rPr>
        <w:t>Mécanisme de Développement Propre du Protocole de Kyoto.</w:t>
      </w:r>
    </w:p>
    <w:p w:rsidR="00003EAD" w:rsidRPr="00003EAD" w:rsidRDefault="00003EAD" w:rsidP="00003EAD">
      <w:pPr>
        <w:pStyle w:val="ListParagraph"/>
        <w:rPr>
          <w:sz w:val="20"/>
        </w:rPr>
      </w:pPr>
    </w:p>
    <w:p w:rsidR="00E97C3A" w:rsidRPr="00A744CA" w:rsidRDefault="00A744CA" w:rsidP="00A744CA">
      <w:pPr>
        <w:jc w:val="both"/>
        <w:rPr>
          <w:sz w:val="20"/>
        </w:rPr>
      </w:pPr>
      <w:r>
        <w:rPr>
          <w:sz w:val="20"/>
        </w:rPr>
        <w:lastRenderedPageBreak/>
        <w:t xml:space="preserve">Le tableau, ci-après, présente enfin la liste des acteurs publics ou privés, ou de la société civile, engagés dans le processus REDD+ dans la Province de Mai-Ndombe. Ils ont tous été consultés de prêt ou de loin dans le développement de cette proposition. </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268"/>
        <w:gridCol w:w="3026"/>
        <w:gridCol w:w="4311"/>
      </w:tblGrid>
      <w:tr w:rsidR="00E231FE" w:rsidRPr="00EF6F07" w:rsidTr="00A777B8">
        <w:trPr>
          <w:cantSplit/>
          <w:trHeight w:val="764"/>
          <w:tblHeader/>
        </w:trPr>
        <w:tc>
          <w:tcPr>
            <w:tcW w:w="2268" w:type="dxa"/>
            <w:shd w:val="clear" w:color="auto" w:fill="DEEAF6" w:themeFill="accent1" w:themeFillTint="33"/>
          </w:tcPr>
          <w:p w:rsidR="00E231FE" w:rsidRPr="00EF6F07" w:rsidRDefault="00E231FE" w:rsidP="00880CD4">
            <w:pPr>
              <w:tabs>
                <w:tab w:val="num" w:pos="284"/>
              </w:tabs>
              <w:spacing w:after="0"/>
              <w:ind w:left="284" w:hanging="142"/>
              <w:jc w:val="center"/>
              <w:rPr>
                <w:rFonts w:cs="Calibri"/>
                <w:b/>
                <w:iCs/>
                <w:sz w:val="18"/>
                <w:szCs w:val="18"/>
              </w:rPr>
            </w:pPr>
            <w:r w:rsidRPr="00EF6F07">
              <w:rPr>
                <w:b/>
                <w:sz w:val="18"/>
                <w:szCs w:val="18"/>
              </w:rPr>
              <w:t>Nom du partenaire</w:t>
            </w:r>
          </w:p>
        </w:tc>
        <w:tc>
          <w:tcPr>
            <w:tcW w:w="3026" w:type="dxa"/>
            <w:shd w:val="clear" w:color="auto" w:fill="DEEAF6" w:themeFill="accent1" w:themeFillTint="33"/>
          </w:tcPr>
          <w:p w:rsidR="00A777B8" w:rsidRDefault="00E231FE" w:rsidP="00880CD4">
            <w:pPr>
              <w:tabs>
                <w:tab w:val="num" w:pos="0"/>
              </w:tabs>
              <w:spacing w:after="0"/>
              <w:ind w:left="142"/>
              <w:jc w:val="center"/>
              <w:rPr>
                <w:b/>
                <w:sz w:val="18"/>
                <w:szCs w:val="18"/>
              </w:rPr>
            </w:pPr>
            <w:r w:rsidRPr="00EF6F07">
              <w:rPr>
                <w:b/>
                <w:sz w:val="18"/>
                <w:szCs w:val="18"/>
              </w:rPr>
              <w:t xml:space="preserve">Nom de la personne </w:t>
            </w:r>
            <w:r w:rsidR="00A777B8">
              <w:rPr>
                <w:b/>
                <w:sz w:val="18"/>
                <w:szCs w:val="18"/>
              </w:rPr>
              <w:t>de contact, numéro de téléphone</w:t>
            </w:r>
          </w:p>
          <w:p w:rsidR="00E231FE" w:rsidRPr="00EF6F07" w:rsidRDefault="00E231FE" w:rsidP="00880CD4">
            <w:pPr>
              <w:tabs>
                <w:tab w:val="num" w:pos="0"/>
              </w:tabs>
              <w:spacing w:after="0"/>
              <w:ind w:left="142"/>
              <w:jc w:val="center"/>
              <w:rPr>
                <w:b/>
                <w:sz w:val="18"/>
                <w:szCs w:val="18"/>
              </w:rPr>
            </w:pPr>
            <w:r w:rsidRPr="00EF6F07">
              <w:rPr>
                <w:b/>
                <w:sz w:val="18"/>
                <w:szCs w:val="18"/>
              </w:rPr>
              <w:t>et adresse e-mail</w:t>
            </w:r>
          </w:p>
        </w:tc>
        <w:tc>
          <w:tcPr>
            <w:tcW w:w="4311" w:type="dxa"/>
            <w:shd w:val="clear" w:color="auto" w:fill="DEEAF6" w:themeFill="accent1" w:themeFillTint="33"/>
          </w:tcPr>
          <w:p w:rsidR="00E231FE" w:rsidRPr="00EF6F07" w:rsidRDefault="00E231FE" w:rsidP="00880CD4">
            <w:pPr>
              <w:tabs>
                <w:tab w:val="num" w:pos="284"/>
              </w:tabs>
              <w:spacing w:after="0"/>
              <w:ind w:left="284" w:hanging="142"/>
              <w:jc w:val="center"/>
              <w:rPr>
                <w:b/>
                <w:sz w:val="18"/>
                <w:szCs w:val="18"/>
              </w:rPr>
            </w:pPr>
            <w:r w:rsidRPr="00EF6F07">
              <w:rPr>
                <w:b/>
                <w:sz w:val="18"/>
                <w:szCs w:val="18"/>
              </w:rPr>
              <w:t>Moyens d'acti</w:t>
            </w:r>
            <w:r w:rsidR="00BA28E1" w:rsidRPr="00EF6F07">
              <w:rPr>
                <w:b/>
                <w:sz w:val="18"/>
                <w:szCs w:val="18"/>
              </w:rPr>
              <w:t>on de base et rôle</w:t>
            </w:r>
          </w:p>
        </w:tc>
      </w:tr>
      <w:tr w:rsidR="00E231FE" w:rsidRPr="00EF6F07" w:rsidTr="00880CD4">
        <w:trPr>
          <w:cantSplit/>
        </w:trPr>
        <w:tc>
          <w:tcPr>
            <w:tcW w:w="9605" w:type="dxa"/>
            <w:gridSpan w:val="3"/>
            <w:shd w:val="clear" w:color="auto" w:fill="DEEAF6" w:themeFill="accent1" w:themeFillTint="33"/>
          </w:tcPr>
          <w:p w:rsidR="00E231FE" w:rsidRPr="00EF6F07" w:rsidRDefault="00E231FE" w:rsidP="00A744CA">
            <w:pPr>
              <w:spacing w:after="0"/>
              <w:rPr>
                <w:rFonts w:cs="Calibri"/>
                <w:b/>
                <w:iCs/>
                <w:sz w:val="18"/>
                <w:szCs w:val="18"/>
              </w:rPr>
            </w:pPr>
            <w:r w:rsidRPr="00EF6F07">
              <w:rPr>
                <w:b/>
                <w:sz w:val="18"/>
                <w:szCs w:val="18"/>
              </w:rPr>
              <w:t>ENTITES GOUVERNEMENTALES CENTRALES</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color w:val="000000"/>
                <w:kern w:val="24"/>
                <w:sz w:val="18"/>
                <w:szCs w:val="18"/>
              </w:rPr>
              <w:t>Comité de Pilotage National REDD+</w:t>
            </w:r>
          </w:p>
        </w:tc>
        <w:tc>
          <w:tcPr>
            <w:tcW w:w="3026" w:type="dxa"/>
            <w:shd w:val="clear" w:color="auto" w:fill="auto"/>
          </w:tcPr>
          <w:p w:rsidR="00E231FE" w:rsidRPr="00EF6F07" w:rsidRDefault="00E231FE" w:rsidP="00A744CA">
            <w:pPr>
              <w:spacing w:after="0"/>
              <w:rPr>
                <w:rFonts w:cs="Calibri"/>
                <w:sz w:val="18"/>
                <w:szCs w:val="18"/>
              </w:rPr>
            </w:pPr>
          </w:p>
        </w:tc>
        <w:tc>
          <w:tcPr>
            <w:tcW w:w="4311" w:type="dxa"/>
            <w:shd w:val="clear" w:color="auto" w:fill="auto"/>
          </w:tcPr>
          <w:p w:rsidR="00E231FE" w:rsidRPr="00EF6F07" w:rsidRDefault="00E231FE" w:rsidP="00A744CA">
            <w:pPr>
              <w:spacing w:after="0"/>
              <w:rPr>
                <w:rFonts w:eastAsia="ヒラギノ角ゴ Pro W3" w:cs="Calibri"/>
                <w:i/>
                <w:color w:val="000000"/>
                <w:kern w:val="24"/>
                <w:sz w:val="18"/>
                <w:szCs w:val="18"/>
              </w:rPr>
            </w:pPr>
            <w:r w:rsidRPr="00EF6F07">
              <w:rPr>
                <w:i/>
                <w:color w:val="000000"/>
                <w:kern w:val="24"/>
                <w:sz w:val="18"/>
                <w:szCs w:val="18"/>
              </w:rPr>
              <w:t xml:space="preserve">Pilotage national du processus REDD+ et du Fonds National REDD+ </w:t>
            </w:r>
          </w:p>
          <w:p w:rsidR="00E231FE" w:rsidRPr="00EF6F07" w:rsidRDefault="00E231FE" w:rsidP="00A744CA">
            <w:pPr>
              <w:spacing w:after="0"/>
              <w:rPr>
                <w:rFonts w:eastAsia="ヒラギノ角ゴ Pro W3" w:cs="Calibri"/>
                <w:i/>
                <w:color w:val="000000"/>
                <w:kern w:val="24"/>
                <w:sz w:val="18"/>
                <w:szCs w:val="18"/>
              </w:rPr>
            </w:pPr>
            <w:r w:rsidRPr="00EF6F07">
              <w:rPr>
                <w:i/>
                <w:color w:val="000000"/>
                <w:kern w:val="24"/>
                <w:sz w:val="18"/>
                <w:szCs w:val="18"/>
                <w:u w:val="single"/>
              </w:rPr>
              <w:t>Membres :</w:t>
            </w:r>
            <w:r w:rsidRPr="00EF6F07">
              <w:rPr>
                <w:i/>
                <w:color w:val="000000"/>
                <w:kern w:val="24"/>
                <w:sz w:val="18"/>
                <w:szCs w:val="18"/>
              </w:rPr>
              <w:t xml:space="preserve"> Ministres de l’Environnement, des Finances, de la Planification, de l’Aménagement du Territoire, de l’Agriculture, des Mines, des Ressources hydrauliques et Électricité, des Hydrocarbures, des Affaires Foncières, des représentants du secteur privé et de la société civile.</w:t>
            </w:r>
          </w:p>
        </w:tc>
      </w:tr>
      <w:tr w:rsidR="00E231FE" w:rsidRPr="00EF6F07" w:rsidTr="00A744CA">
        <w:trPr>
          <w:cantSplit/>
        </w:trPr>
        <w:tc>
          <w:tcPr>
            <w:tcW w:w="2268" w:type="dxa"/>
            <w:shd w:val="clear" w:color="auto" w:fill="auto"/>
          </w:tcPr>
          <w:p w:rsidR="00E231FE" w:rsidRPr="00EF6F07" w:rsidRDefault="00E231FE" w:rsidP="00A744CA">
            <w:pPr>
              <w:spacing w:after="0"/>
              <w:rPr>
                <w:rFonts w:cs="Calibri"/>
                <w:i/>
                <w:iCs/>
                <w:sz w:val="18"/>
                <w:szCs w:val="18"/>
              </w:rPr>
            </w:pPr>
            <w:r w:rsidRPr="00EF6F07">
              <w:rPr>
                <w:color w:val="000000"/>
                <w:kern w:val="24"/>
                <w:sz w:val="18"/>
                <w:szCs w:val="18"/>
              </w:rPr>
              <w:t>Coordination Nationale REDD+ (CN-REDD)</w:t>
            </w:r>
            <w:r w:rsidR="00BA28E1" w:rsidRPr="00EF6F07">
              <w:rPr>
                <w:color w:val="000000"/>
                <w:kern w:val="24"/>
                <w:sz w:val="18"/>
                <w:szCs w:val="18"/>
              </w:rPr>
              <w:t xml:space="preserve"> </w:t>
            </w:r>
            <w:r w:rsidRPr="00EF6F07">
              <w:rPr>
                <w:color w:val="000000"/>
                <w:kern w:val="24"/>
                <w:sz w:val="18"/>
                <w:szCs w:val="18"/>
              </w:rPr>
              <w:t>/</w:t>
            </w:r>
            <w:r w:rsidR="00BA28E1" w:rsidRPr="00EF6F07">
              <w:rPr>
                <w:color w:val="000000"/>
                <w:kern w:val="24"/>
                <w:sz w:val="18"/>
                <w:szCs w:val="18"/>
              </w:rPr>
              <w:t xml:space="preserve"> </w:t>
            </w:r>
            <w:r w:rsidRPr="00EF6F07">
              <w:rPr>
                <w:color w:val="000000"/>
                <w:kern w:val="24"/>
                <w:sz w:val="18"/>
                <w:szCs w:val="18"/>
              </w:rPr>
              <w:t>MECNDD</w:t>
            </w:r>
          </w:p>
        </w:tc>
        <w:tc>
          <w:tcPr>
            <w:tcW w:w="3026" w:type="dxa"/>
            <w:shd w:val="clear" w:color="auto" w:fill="auto"/>
          </w:tcPr>
          <w:p w:rsidR="00E231FE" w:rsidRPr="00EF6F07" w:rsidRDefault="00E231FE" w:rsidP="00A744CA">
            <w:pPr>
              <w:spacing w:after="0"/>
              <w:rPr>
                <w:rFonts w:cs="Calibri"/>
                <w:sz w:val="18"/>
                <w:szCs w:val="18"/>
              </w:rPr>
            </w:pPr>
            <w:r w:rsidRPr="00EF6F07">
              <w:rPr>
                <w:sz w:val="18"/>
                <w:szCs w:val="18"/>
              </w:rPr>
              <w:t>Victor Kabengele wa Kadilu, Coordonnateur national REDD+</w:t>
            </w:r>
          </w:p>
          <w:p w:rsidR="00E231FE" w:rsidRPr="00EF6F07" w:rsidRDefault="00E231FE" w:rsidP="00A744CA">
            <w:pPr>
              <w:spacing w:after="0"/>
              <w:rPr>
                <w:rFonts w:cs="Calibri"/>
                <w:sz w:val="18"/>
                <w:szCs w:val="18"/>
              </w:rPr>
            </w:pPr>
            <w:r w:rsidRPr="00EF6F07">
              <w:rPr>
                <w:sz w:val="18"/>
                <w:szCs w:val="18"/>
              </w:rPr>
              <w:t>abckab@gmail.com</w:t>
            </w:r>
          </w:p>
        </w:tc>
        <w:tc>
          <w:tcPr>
            <w:tcW w:w="4311" w:type="dxa"/>
            <w:shd w:val="clear" w:color="auto" w:fill="auto"/>
          </w:tcPr>
          <w:p w:rsidR="00E231FE" w:rsidRPr="00EF6F07" w:rsidRDefault="00E231FE" w:rsidP="00A744CA">
            <w:pPr>
              <w:spacing w:after="0"/>
              <w:rPr>
                <w:rFonts w:cs="Calibri"/>
                <w:i/>
                <w:iCs/>
                <w:sz w:val="18"/>
                <w:szCs w:val="18"/>
              </w:rPr>
            </w:pPr>
            <w:r w:rsidRPr="00EF6F07">
              <w:rPr>
                <w:i/>
                <w:color w:val="000000"/>
                <w:kern w:val="24"/>
                <w:sz w:val="18"/>
                <w:szCs w:val="18"/>
              </w:rPr>
              <w:t>Coordonne le processus de la REDD+ en RDC et la p</w:t>
            </w:r>
            <w:r w:rsidR="00BA28E1" w:rsidRPr="00EF6F07">
              <w:rPr>
                <w:i/>
                <w:color w:val="000000"/>
                <w:kern w:val="24"/>
                <w:sz w:val="18"/>
                <w:szCs w:val="18"/>
              </w:rPr>
              <w:t>hase de conception du PRE du Mai</w:t>
            </w:r>
            <w:r w:rsidRPr="00EF6F07">
              <w:rPr>
                <w:i/>
                <w:color w:val="000000"/>
                <w:kern w:val="24"/>
                <w:sz w:val="18"/>
                <w:szCs w:val="18"/>
              </w:rPr>
              <w:t>-Ndombe</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color w:val="000000"/>
                <w:kern w:val="24"/>
                <w:sz w:val="18"/>
                <w:szCs w:val="18"/>
              </w:rPr>
              <w:t>Direction du Développement Durable (DDD)</w:t>
            </w:r>
            <w:r w:rsidR="00BA28E1" w:rsidRPr="00EF6F07">
              <w:rPr>
                <w:color w:val="000000"/>
                <w:kern w:val="24"/>
                <w:sz w:val="18"/>
                <w:szCs w:val="18"/>
              </w:rPr>
              <w:t xml:space="preserve"> </w:t>
            </w:r>
            <w:r w:rsidRPr="00EF6F07">
              <w:rPr>
                <w:color w:val="000000"/>
                <w:kern w:val="24"/>
                <w:sz w:val="18"/>
                <w:szCs w:val="18"/>
              </w:rPr>
              <w:t>/</w:t>
            </w:r>
            <w:r w:rsidR="00BA28E1" w:rsidRPr="00EF6F07">
              <w:rPr>
                <w:color w:val="000000"/>
                <w:kern w:val="24"/>
                <w:sz w:val="18"/>
                <w:szCs w:val="18"/>
              </w:rPr>
              <w:t xml:space="preserve"> </w:t>
            </w:r>
            <w:r w:rsidRPr="00EF6F07">
              <w:rPr>
                <w:color w:val="000000"/>
                <w:kern w:val="24"/>
                <w:sz w:val="18"/>
                <w:szCs w:val="18"/>
              </w:rPr>
              <w:t>MECNDD</w:t>
            </w:r>
          </w:p>
        </w:tc>
        <w:tc>
          <w:tcPr>
            <w:tcW w:w="3026" w:type="dxa"/>
            <w:shd w:val="clear" w:color="auto" w:fill="auto"/>
          </w:tcPr>
          <w:p w:rsidR="00E231FE" w:rsidRPr="00EF6F07" w:rsidRDefault="00E231FE" w:rsidP="00A744CA">
            <w:pPr>
              <w:spacing w:after="0"/>
              <w:rPr>
                <w:rFonts w:cs="Calibri"/>
                <w:sz w:val="18"/>
                <w:szCs w:val="18"/>
              </w:rPr>
            </w:pPr>
            <w:r w:rsidRPr="00EF6F07">
              <w:rPr>
                <w:sz w:val="18"/>
                <w:szCs w:val="18"/>
              </w:rPr>
              <w:t>Benjamin Toirambe, Directeur de la DDD</w:t>
            </w:r>
          </w:p>
          <w:p w:rsidR="00E231FE" w:rsidRPr="00EF6F07" w:rsidRDefault="00E231FE" w:rsidP="00A744CA">
            <w:pPr>
              <w:spacing w:after="0"/>
              <w:rPr>
                <w:sz w:val="18"/>
                <w:szCs w:val="18"/>
              </w:rPr>
            </w:pPr>
            <w:r w:rsidRPr="00EF6F07">
              <w:rPr>
                <w:sz w:val="18"/>
                <w:szCs w:val="18"/>
              </w:rPr>
              <w:t>be_toirambe@yahoo.fr</w:t>
            </w:r>
          </w:p>
        </w:tc>
        <w:tc>
          <w:tcPr>
            <w:tcW w:w="4311" w:type="dxa"/>
            <w:shd w:val="clear" w:color="auto" w:fill="auto"/>
          </w:tcPr>
          <w:p w:rsidR="00E231FE" w:rsidRPr="00EF6F07" w:rsidRDefault="00E231FE" w:rsidP="00A744CA">
            <w:pPr>
              <w:spacing w:after="0"/>
              <w:rPr>
                <w:rFonts w:eastAsia="ヒラギノ角ゴ Pro W3" w:cs="Calibri"/>
                <w:i/>
                <w:color w:val="000000"/>
                <w:kern w:val="24"/>
                <w:sz w:val="18"/>
                <w:szCs w:val="18"/>
              </w:rPr>
            </w:pPr>
            <w:r w:rsidRPr="00EF6F07">
              <w:rPr>
                <w:i/>
                <w:color w:val="000000"/>
                <w:kern w:val="24"/>
                <w:sz w:val="18"/>
                <w:szCs w:val="18"/>
              </w:rPr>
              <w:t>Responsable de l’Inventaire National de Gaz à Effet de Serre</w:t>
            </w:r>
          </w:p>
        </w:tc>
      </w:tr>
      <w:tr w:rsidR="00E231FE" w:rsidRPr="00EF6F07" w:rsidTr="00A744CA">
        <w:trPr>
          <w:cantSplit/>
        </w:trPr>
        <w:tc>
          <w:tcPr>
            <w:tcW w:w="2268" w:type="dxa"/>
            <w:shd w:val="clear" w:color="auto" w:fill="auto"/>
          </w:tcPr>
          <w:p w:rsidR="00E231FE" w:rsidRPr="00EF6F07" w:rsidRDefault="00E231FE" w:rsidP="00A744CA">
            <w:pPr>
              <w:spacing w:after="0"/>
              <w:rPr>
                <w:rFonts w:cs="Calibri"/>
                <w:i/>
                <w:iCs/>
                <w:sz w:val="18"/>
                <w:szCs w:val="18"/>
              </w:rPr>
            </w:pPr>
            <w:r w:rsidRPr="00EF6F07">
              <w:rPr>
                <w:color w:val="000000"/>
                <w:kern w:val="24"/>
                <w:sz w:val="18"/>
                <w:szCs w:val="18"/>
              </w:rPr>
              <w:t>Direction des Inventaires et de l'Aménagement Forestier (DIAF)</w:t>
            </w:r>
            <w:r w:rsidR="00BA28E1" w:rsidRPr="00EF6F07">
              <w:rPr>
                <w:color w:val="000000"/>
                <w:kern w:val="24"/>
                <w:sz w:val="18"/>
                <w:szCs w:val="18"/>
              </w:rPr>
              <w:t xml:space="preserve"> </w:t>
            </w:r>
            <w:r w:rsidRPr="00EF6F07">
              <w:rPr>
                <w:color w:val="000000"/>
                <w:kern w:val="24"/>
                <w:sz w:val="18"/>
                <w:szCs w:val="18"/>
              </w:rPr>
              <w:t>/</w:t>
            </w:r>
            <w:r w:rsidR="00BA28E1" w:rsidRPr="00EF6F07">
              <w:rPr>
                <w:color w:val="000000"/>
                <w:kern w:val="24"/>
                <w:sz w:val="18"/>
                <w:szCs w:val="18"/>
              </w:rPr>
              <w:t xml:space="preserve"> </w:t>
            </w:r>
            <w:r w:rsidRPr="00EF6F07">
              <w:rPr>
                <w:color w:val="000000"/>
                <w:kern w:val="24"/>
                <w:sz w:val="18"/>
                <w:szCs w:val="18"/>
              </w:rPr>
              <w:t>MECNDD</w:t>
            </w:r>
          </w:p>
        </w:tc>
        <w:tc>
          <w:tcPr>
            <w:tcW w:w="3026" w:type="dxa"/>
            <w:shd w:val="clear" w:color="auto" w:fill="auto"/>
          </w:tcPr>
          <w:p w:rsidR="00E231FE" w:rsidRPr="00EF6F07" w:rsidRDefault="00E231FE" w:rsidP="00A744CA">
            <w:pPr>
              <w:spacing w:after="0"/>
              <w:rPr>
                <w:rFonts w:cs="Calibri"/>
                <w:sz w:val="18"/>
                <w:szCs w:val="18"/>
              </w:rPr>
            </w:pPr>
            <w:r w:rsidRPr="00EF6F07">
              <w:rPr>
                <w:sz w:val="18"/>
                <w:szCs w:val="18"/>
              </w:rPr>
              <w:t>Sébastien Malele, Directeur de la DIAF</w:t>
            </w:r>
          </w:p>
          <w:p w:rsidR="00E231FE" w:rsidRPr="00EF6F07" w:rsidRDefault="00E231FE" w:rsidP="00A744CA">
            <w:pPr>
              <w:spacing w:after="0"/>
              <w:rPr>
                <w:rFonts w:cs="Calibri"/>
                <w:sz w:val="18"/>
                <w:szCs w:val="18"/>
                <w:u w:val="single"/>
              </w:rPr>
            </w:pPr>
            <w:r w:rsidRPr="00EF6F07">
              <w:rPr>
                <w:sz w:val="18"/>
                <w:szCs w:val="18"/>
              </w:rPr>
              <w:t>semalele@yahoo.fr</w:t>
            </w:r>
          </w:p>
        </w:tc>
        <w:tc>
          <w:tcPr>
            <w:tcW w:w="4311" w:type="dxa"/>
            <w:shd w:val="clear" w:color="auto" w:fill="auto"/>
          </w:tcPr>
          <w:p w:rsidR="00E231FE" w:rsidRPr="00EF6F07" w:rsidRDefault="00E231FE" w:rsidP="00A744CA">
            <w:pPr>
              <w:spacing w:after="0"/>
              <w:rPr>
                <w:rFonts w:cs="Calibri"/>
                <w:i/>
                <w:iCs/>
                <w:sz w:val="18"/>
                <w:szCs w:val="18"/>
              </w:rPr>
            </w:pPr>
            <w:r w:rsidRPr="00EF6F07">
              <w:rPr>
                <w:i/>
                <w:color w:val="000000"/>
                <w:kern w:val="24"/>
                <w:sz w:val="18"/>
                <w:szCs w:val="18"/>
              </w:rPr>
              <w:t>Responsable du Système National de Surveillance des Forêts</w:t>
            </w:r>
          </w:p>
        </w:tc>
      </w:tr>
      <w:tr w:rsidR="00E231FE" w:rsidRPr="00EF6F07" w:rsidTr="00A744CA">
        <w:trPr>
          <w:cantSplit/>
        </w:trPr>
        <w:tc>
          <w:tcPr>
            <w:tcW w:w="2268" w:type="dxa"/>
            <w:shd w:val="clear" w:color="auto" w:fill="auto"/>
          </w:tcPr>
          <w:p w:rsidR="00E231FE" w:rsidRPr="00EF6F07" w:rsidRDefault="00E231FE" w:rsidP="00A744CA">
            <w:pPr>
              <w:spacing w:after="0"/>
              <w:rPr>
                <w:rFonts w:cs="Calibri"/>
                <w:i/>
                <w:iCs/>
                <w:sz w:val="18"/>
                <w:szCs w:val="18"/>
              </w:rPr>
            </w:pPr>
            <w:r w:rsidRPr="00EF6F07">
              <w:rPr>
                <w:color w:val="000000"/>
                <w:kern w:val="24"/>
                <w:sz w:val="18"/>
                <w:szCs w:val="18"/>
              </w:rPr>
              <w:t>Ministère des Finances, Comité Technique de Suivi et Évaluation des Réformes (CTR)</w:t>
            </w:r>
          </w:p>
        </w:tc>
        <w:tc>
          <w:tcPr>
            <w:tcW w:w="3026" w:type="dxa"/>
            <w:shd w:val="clear" w:color="auto" w:fill="auto"/>
          </w:tcPr>
          <w:p w:rsidR="00E231FE" w:rsidRPr="00EF6F07" w:rsidRDefault="00E231FE" w:rsidP="00A744CA">
            <w:pPr>
              <w:spacing w:after="0"/>
              <w:rPr>
                <w:rFonts w:cs="Calibri"/>
                <w:sz w:val="18"/>
                <w:szCs w:val="18"/>
              </w:rPr>
            </w:pPr>
            <w:r w:rsidRPr="00EF6F07">
              <w:rPr>
                <w:sz w:val="18"/>
                <w:szCs w:val="18"/>
              </w:rPr>
              <w:t xml:space="preserve">Félicien Mulenda, Coordonnateur du CTR et point focal du PIF et du Fonds National REDD+ </w:t>
            </w:r>
          </w:p>
          <w:p w:rsidR="00E231FE" w:rsidRPr="00EF6F07" w:rsidRDefault="00E231FE" w:rsidP="00A744CA">
            <w:pPr>
              <w:spacing w:after="0"/>
              <w:rPr>
                <w:rFonts w:cs="Calibri"/>
                <w:iCs/>
                <w:sz w:val="18"/>
                <w:szCs w:val="18"/>
              </w:rPr>
            </w:pPr>
            <w:r w:rsidRPr="00EF6F07">
              <w:rPr>
                <w:sz w:val="18"/>
                <w:szCs w:val="18"/>
              </w:rPr>
              <w:t>Fmulenda2000@yahoo.fr</w:t>
            </w:r>
          </w:p>
        </w:tc>
        <w:tc>
          <w:tcPr>
            <w:tcW w:w="4311" w:type="dxa"/>
            <w:shd w:val="clear" w:color="auto" w:fill="auto"/>
          </w:tcPr>
          <w:p w:rsidR="00E231FE" w:rsidRPr="00EF6F07" w:rsidRDefault="00E231FE" w:rsidP="00A744CA">
            <w:pPr>
              <w:spacing w:after="0"/>
              <w:rPr>
                <w:rFonts w:eastAsia="ヒラギノ角ゴ Pro W3" w:cs="Calibri"/>
                <w:i/>
                <w:color w:val="000000"/>
                <w:kern w:val="24"/>
                <w:sz w:val="18"/>
                <w:szCs w:val="18"/>
              </w:rPr>
            </w:pPr>
            <w:r w:rsidRPr="00EF6F07">
              <w:rPr>
                <w:i/>
                <w:color w:val="000000"/>
                <w:kern w:val="24"/>
                <w:sz w:val="18"/>
                <w:szCs w:val="18"/>
              </w:rPr>
              <w:t>Point focal pour le suivi des réformes sous la matrice de gouvernance économique, y compris les réformes REDD+</w:t>
            </w:r>
          </w:p>
          <w:p w:rsidR="00E231FE" w:rsidRPr="00EF6F07" w:rsidRDefault="00E231FE" w:rsidP="00A744CA">
            <w:pPr>
              <w:spacing w:after="0"/>
              <w:rPr>
                <w:rFonts w:cs="Calibri"/>
                <w:i/>
                <w:iCs/>
                <w:sz w:val="18"/>
                <w:szCs w:val="18"/>
              </w:rPr>
            </w:pPr>
            <w:r w:rsidRPr="00EF6F07">
              <w:rPr>
                <w:i/>
                <w:color w:val="000000"/>
                <w:kern w:val="24"/>
                <w:sz w:val="18"/>
                <w:szCs w:val="18"/>
              </w:rPr>
              <w:t>Point focal du Fonds National REDD+</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color w:val="000000"/>
                <w:kern w:val="24"/>
                <w:sz w:val="18"/>
                <w:szCs w:val="18"/>
              </w:rPr>
              <w:t>Unité de Coordination du Programme d’Investissement Forestier / MECNDD</w:t>
            </w:r>
          </w:p>
        </w:tc>
        <w:tc>
          <w:tcPr>
            <w:tcW w:w="3026" w:type="dxa"/>
            <w:shd w:val="clear" w:color="auto" w:fill="auto"/>
          </w:tcPr>
          <w:p w:rsidR="00E231FE" w:rsidRPr="00EF6F07" w:rsidRDefault="00E231FE" w:rsidP="00A744CA">
            <w:pPr>
              <w:spacing w:after="0"/>
              <w:rPr>
                <w:sz w:val="18"/>
                <w:szCs w:val="18"/>
              </w:rPr>
            </w:pPr>
            <w:r w:rsidRPr="00EF6F07">
              <w:rPr>
                <w:sz w:val="18"/>
                <w:szCs w:val="18"/>
              </w:rPr>
              <w:t>Clément Vangu-Lutete, Coordinateur du PIF</w:t>
            </w:r>
          </w:p>
          <w:p w:rsidR="00E231FE" w:rsidRPr="00EF6F07" w:rsidRDefault="00E231FE" w:rsidP="00A744CA">
            <w:pPr>
              <w:spacing w:after="0"/>
              <w:rPr>
                <w:sz w:val="18"/>
                <w:szCs w:val="18"/>
              </w:rPr>
            </w:pPr>
            <w:r w:rsidRPr="00EF6F07">
              <w:rPr>
                <w:sz w:val="18"/>
                <w:szCs w:val="18"/>
              </w:rPr>
              <w:t>vangulutete@gmail.com</w:t>
            </w:r>
          </w:p>
        </w:tc>
        <w:tc>
          <w:tcPr>
            <w:tcW w:w="4311" w:type="dxa"/>
            <w:shd w:val="clear" w:color="auto" w:fill="auto"/>
          </w:tcPr>
          <w:p w:rsidR="00E231FE" w:rsidRPr="00EF6F07" w:rsidRDefault="00E231FE" w:rsidP="00A744CA">
            <w:pPr>
              <w:spacing w:after="0"/>
              <w:rPr>
                <w:rFonts w:cs="Calibri"/>
                <w:i/>
                <w:iCs/>
                <w:sz w:val="18"/>
                <w:szCs w:val="18"/>
              </w:rPr>
            </w:pPr>
            <w:r w:rsidRPr="00EF6F07">
              <w:rPr>
                <w:i/>
                <w:sz w:val="18"/>
                <w:szCs w:val="18"/>
              </w:rPr>
              <w:t>Gestion financière et administrative du Programme d’Investissement Forestier (PIF)</w:t>
            </w:r>
          </w:p>
        </w:tc>
      </w:tr>
      <w:tr w:rsidR="00E231FE" w:rsidRPr="00EF6F07" w:rsidTr="00880CD4">
        <w:trPr>
          <w:cantSplit/>
        </w:trPr>
        <w:tc>
          <w:tcPr>
            <w:tcW w:w="9605" w:type="dxa"/>
            <w:gridSpan w:val="3"/>
            <w:shd w:val="clear" w:color="auto" w:fill="DEEAF6" w:themeFill="accent1" w:themeFillTint="33"/>
          </w:tcPr>
          <w:p w:rsidR="00E231FE" w:rsidRPr="00EF6F07" w:rsidDel="00EC0C13" w:rsidRDefault="00E231FE" w:rsidP="00A744CA">
            <w:pPr>
              <w:spacing w:after="0"/>
              <w:rPr>
                <w:sz w:val="18"/>
                <w:szCs w:val="18"/>
              </w:rPr>
            </w:pPr>
            <w:r w:rsidRPr="00EF6F07">
              <w:rPr>
                <w:sz w:val="18"/>
                <w:szCs w:val="18"/>
              </w:rPr>
              <w:t>ENTITES GOUVERNEMENTALES PROVINCIALES</w:t>
            </w:r>
          </w:p>
        </w:tc>
      </w:tr>
      <w:tr w:rsidR="00E231FE" w:rsidRPr="00EF6F07" w:rsidTr="00A744CA">
        <w:trPr>
          <w:cantSplit/>
        </w:trPr>
        <w:tc>
          <w:tcPr>
            <w:tcW w:w="2268" w:type="dxa"/>
            <w:shd w:val="clear" w:color="auto" w:fill="auto"/>
          </w:tcPr>
          <w:p w:rsidR="00E231FE" w:rsidRPr="00EF6F07" w:rsidRDefault="00BA28E1" w:rsidP="00A744CA">
            <w:pPr>
              <w:spacing w:after="0"/>
              <w:rPr>
                <w:rFonts w:eastAsia="ヒラギノ角ゴ Pro W3" w:cs="Calibri"/>
                <w:color w:val="000000"/>
                <w:kern w:val="24"/>
                <w:sz w:val="18"/>
                <w:szCs w:val="18"/>
              </w:rPr>
            </w:pPr>
            <w:r w:rsidRPr="00EF6F07">
              <w:rPr>
                <w:color w:val="000000"/>
                <w:kern w:val="24"/>
                <w:sz w:val="18"/>
                <w:szCs w:val="18"/>
              </w:rPr>
              <w:t>Gouvernement Provincial du Mai</w:t>
            </w:r>
            <w:r w:rsidR="00E231FE" w:rsidRPr="00EF6F07">
              <w:rPr>
                <w:color w:val="000000"/>
                <w:kern w:val="24"/>
                <w:sz w:val="18"/>
                <w:szCs w:val="18"/>
              </w:rPr>
              <w:t>-Ndombe</w:t>
            </w:r>
          </w:p>
        </w:tc>
        <w:tc>
          <w:tcPr>
            <w:tcW w:w="3026" w:type="dxa"/>
            <w:shd w:val="clear" w:color="auto" w:fill="auto"/>
          </w:tcPr>
          <w:p w:rsidR="00E231FE" w:rsidRPr="00EF6F07" w:rsidRDefault="00E231FE" w:rsidP="00A744CA">
            <w:pPr>
              <w:spacing w:after="0"/>
              <w:rPr>
                <w:sz w:val="18"/>
                <w:szCs w:val="18"/>
              </w:rPr>
            </w:pPr>
            <w:r w:rsidRPr="00EF6F07">
              <w:rPr>
                <w:sz w:val="18"/>
                <w:szCs w:val="18"/>
              </w:rPr>
              <w:t xml:space="preserve">Gentiny Ngobila – Gouverneur de la province du </w:t>
            </w:r>
            <w:r w:rsidR="00EB17C0">
              <w:rPr>
                <w:sz w:val="18"/>
                <w:szCs w:val="18"/>
              </w:rPr>
              <w:t>Mai-Ndombe</w:t>
            </w:r>
          </w:p>
          <w:p w:rsidR="00E231FE" w:rsidRPr="00EF6F07" w:rsidRDefault="0003745E" w:rsidP="00A744CA">
            <w:pPr>
              <w:spacing w:after="0"/>
              <w:rPr>
                <w:sz w:val="18"/>
                <w:szCs w:val="18"/>
              </w:rPr>
            </w:pPr>
            <w:hyperlink r:id="rId13">
              <w:r w:rsidR="00E231FE" w:rsidRPr="00EF6F07">
                <w:rPr>
                  <w:sz w:val="18"/>
                  <w:szCs w:val="18"/>
                </w:rPr>
                <w:t>ngobila@gmail.com</w:t>
              </w:r>
            </w:hyperlink>
            <w:r w:rsidR="00E231FE" w:rsidRPr="00EF6F07">
              <w:rPr>
                <w:sz w:val="18"/>
                <w:szCs w:val="18"/>
              </w:rPr>
              <w:t>,</w:t>
            </w:r>
          </w:p>
          <w:p w:rsidR="00E231FE" w:rsidRPr="00EF6F07" w:rsidRDefault="00E231FE" w:rsidP="00A744CA">
            <w:pPr>
              <w:spacing w:after="0"/>
              <w:rPr>
                <w:sz w:val="18"/>
                <w:szCs w:val="18"/>
              </w:rPr>
            </w:pPr>
            <w:r w:rsidRPr="00EF6F07">
              <w:rPr>
                <w:sz w:val="18"/>
                <w:szCs w:val="18"/>
              </w:rPr>
              <w:t>Guy Ipenga - Point focal provincial REDD+</w:t>
            </w:r>
          </w:p>
          <w:p w:rsidR="00E231FE" w:rsidRPr="00EF6F07" w:rsidRDefault="00E231FE" w:rsidP="00A744CA">
            <w:pPr>
              <w:spacing w:after="0"/>
              <w:rPr>
                <w:sz w:val="18"/>
                <w:szCs w:val="18"/>
              </w:rPr>
            </w:pPr>
            <w:r w:rsidRPr="00EF6F07">
              <w:rPr>
                <w:sz w:val="18"/>
                <w:szCs w:val="18"/>
              </w:rPr>
              <w:t>ipangaguy@gmail.com</w:t>
            </w:r>
          </w:p>
        </w:tc>
        <w:tc>
          <w:tcPr>
            <w:tcW w:w="4311" w:type="dxa"/>
            <w:shd w:val="clear" w:color="auto" w:fill="auto"/>
          </w:tcPr>
          <w:p w:rsidR="00E231FE" w:rsidRPr="00EF6F07" w:rsidRDefault="00E231FE" w:rsidP="00A744CA">
            <w:pPr>
              <w:spacing w:after="0"/>
              <w:rPr>
                <w:i/>
                <w:color w:val="000000"/>
                <w:kern w:val="24"/>
                <w:sz w:val="18"/>
                <w:szCs w:val="18"/>
              </w:rPr>
            </w:pPr>
            <w:r w:rsidRPr="00EF6F07">
              <w:rPr>
                <w:i/>
                <w:color w:val="000000"/>
                <w:kern w:val="24"/>
                <w:sz w:val="18"/>
                <w:szCs w:val="18"/>
              </w:rPr>
              <w:t>Pilote la mise en œuvre</w:t>
            </w:r>
            <w:r w:rsidR="00BA28E1" w:rsidRPr="00EF6F07">
              <w:rPr>
                <w:i/>
                <w:color w:val="000000"/>
                <w:kern w:val="24"/>
                <w:sz w:val="18"/>
                <w:szCs w:val="18"/>
              </w:rPr>
              <w:t xml:space="preserve"> du Programme RE</w:t>
            </w:r>
            <w:r w:rsidRPr="00EF6F07">
              <w:rPr>
                <w:i/>
                <w:color w:val="000000"/>
                <w:kern w:val="24"/>
                <w:sz w:val="18"/>
                <w:szCs w:val="18"/>
              </w:rPr>
              <w:t xml:space="preserve"> </w:t>
            </w:r>
            <w:r w:rsidR="00BA28E1" w:rsidRPr="00EF6F07">
              <w:rPr>
                <w:i/>
                <w:color w:val="000000"/>
                <w:kern w:val="24"/>
                <w:sz w:val="18"/>
                <w:szCs w:val="18"/>
              </w:rPr>
              <w:t xml:space="preserve">du Mai-Ndombe et préside le </w:t>
            </w:r>
            <w:r w:rsidRPr="00EF6F07">
              <w:rPr>
                <w:i/>
                <w:color w:val="000000"/>
                <w:kern w:val="24"/>
                <w:sz w:val="18"/>
                <w:szCs w:val="18"/>
              </w:rPr>
              <w:t xml:space="preserve"> Comité Provinci</w:t>
            </w:r>
            <w:r w:rsidR="00BA28E1" w:rsidRPr="00EF6F07">
              <w:rPr>
                <w:i/>
                <w:color w:val="000000"/>
                <w:kern w:val="24"/>
                <w:sz w:val="18"/>
                <w:szCs w:val="18"/>
              </w:rPr>
              <w:t>al de Pilotage REDD+</w:t>
            </w:r>
            <w:r w:rsidRPr="00EF6F07">
              <w:rPr>
                <w:i/>
                <w:color w:val="000000"/>
                <w:kern w:val="24"/>
                <w:sz w:val="18"/>
                <w:szCs w:val="18"/>
              </w:rPr>
              <w:t>. Travaille</w:t>
            </w:r>
            <w:r w:rsidR="00BA28E1" w:rsidRPr="00EF6F07">
              <w:rPr>
                <w:i/>
                <w:color w:val="000000"/>
                <w:kern w:val="24"/>
                <w:sz w:val="18"/>
                <w:szCs w:val="18"/>
              </w:rPr>
              <w:t>ra</w:t>
            </w:r>
            <w:r w:rsidRPr="00EF6F07">
              <w:rPr>
                <w:i/>
                <w:color w:val="000000"/>
                <w:kern w:val="24"/>
                <w:sz w:val="18"/>
                <w:szCs w:val="18"/>
              </w:rPr>
              <w:t xml:space="preserve"> en étroite collaboration avec la cellule de gestion du programme</w:t>
            </w:r>
            <w:r w:rsidR="00BA28E1" w:rsidRPr="00EF6F07">
              <w:rPr>
                <w:i/>
                <w:color w:val="000000"/>
                <w:kern w:val="24"/>
                <w:sz w:val="18"/>
                <w:szCs w:val="18"/>
              </w:rPr>
              <w:t xml:space="preserve"> RE du Mai-Ndombe</w:t>
            </w:r>
            <w:r w:rsidRPr="00EF6F07">
              <w:rPr>
                <w:i/>
                <w:color w:val="000000"/>
                <w:kern w:val="24"/>
                <w:sz w:val="18"/>
                <w:szCs w:val="18"/>
              </w:rPr>
              <w:t xml:space="preserve"> et a un rôle de pilotage et de coordination politique.</w:t>
            </w:r>
          </w:p>
          <w:p w:rsidR="00E231FE" w:rsidRPr="00EF6F07" w:rsidRDefault="00E231FE" w:rsidP="00A744CA">
            <w:pPr>
              <w:spacing w:after="0"/>
              <w:rPr>
                <w:rFonts w:eastAsia="ヒラギノ角ゴ Pro W3" w:cs="Calibri"/>
                <w:i/>
                <w:color w:val="000000"/>
                <w:kern w:val="24"/>
                <w:sz w:val="18"/>
                <w:szCs w:val="18"/>
              </w:rPr>
            </w:pPr>
          </w:p>
        </w:tc>
      </w:tr>
      <w:tr w:rsidR="00E231FE" w:rsidRPr="00EF6F07" w:rsidTr="00A744CA">
        <w:trPr>
          <w:cantSplit/>
        </w:trPr>
        <w:tc>
          <w:tcPr>
            <w:tcW w:w="2268" w:type="dxa"/>
            <w:shd w:val="clear" w:color="auto" w:fill="auto"/>
          </w:tcPr>
          <w:p w:rsidR="00E231FE" w:rsidRPr="00EF6F07" w:rsidDel="00EC0C13" w:rsidRDefault="00E231FE" w:rsidP="00A744CA">
            <w:pPr>
              <w:spacing w:after="0"/>
              <w:rPr>
                <w:rFonts w:eastAsia="ヒラギノ角ゴ Pro W3" w:cs="Calibri"/>
                <w:color w:val="000000"/>
                <w:kern w:val="24"/>
                <w:sz w:val="18"/>
                <w:szCs w:val="18"/>
              </w:rPr>
            </w:pPr>
            <w:r w:rsidRPr="00EF6F07">
              <w:rPr>
                <w:color w:val="000000"/>
                <w:kern w:val="24"/>
                <w:sz w:val="18"/>
                <w:szCs w:val="18"/>
              </w:rPr>
              <w:t>Comité Provincial de Pilotage REDD+</w:t>
            </w:r>
          </w:p>
        </w:tc>
        <w:tc>
          <w:tcPr>
            <w:tcW w:w="3026" w:type="dxa"/>
            <w:shd w:val="clear" w:color="auto" w:fill="auto"/>
          </w:tcPr>
          <w:p w:rsidR="00E231FE" w:rsidRPr="00EF6F07" w:rsidDel="00EC0C13" w:rsidRDefault="00E231FE" w:rsidP="00A744CA">
            <w:pPr>
              <w:spacing w:after="0"/>
              <w:rPr>
                <w:sz w:val="18"/>
                <w:szCs w:val="18"/>
              </w:rPr>
            </w:pPr>
          </w:p>
        </w:tc>
        <w:tc>
          <w:tcPr>
            <w:tcW w:w="4311" w:type="dxa"/>
            <w:shd w:val="clear" w:color="auto" w:fill="auto"/>
          </w:tcPr>
          <w:p w:rsidR="00E231FE" w:rsidRPr="00EF6F07" w:rsidRDefault="00E231FE" w:rsidP="00A744CA">
            <w:pPr>
              <w:spacing w:after="0"/>
              <w:rPr>
                <w:rFonts w:cs="Calibri"/>
                <w:i/>
                <w:iCs/>
                <w:sz w:val="18"/>
                <w:szCs w:val="18"/>
              </w:rPr>
            </w:pPr>
            <w:r w:rsidRPr="00EF6F07">
              <w:rPr>
                <w:i/>
                <w:sz w:val="18"/>
                <w:szCs w:val="18"/>
              </w:rPr>
              <w:t>Pilotage provincial du programme</w:t>
            </w:r>
            <w:r w:rsidR="00BA28E1" w:rsidRPr="00EF6F07">
              <w:rPr>
                <w:i/>
                <w:sz w:val="18"/>
                <w:szCs w:val="18"/>
              </w:rPr>
              <w:t xml:space="preserve"> RE du Mai-Ndombe</w:t>
            </w:r>
            <w:r w:rsidRPr="00EF6F07">
              <w:rPr>
                <w:i/>
                <w:sz w:val="18"/>
                <w:szCs w:val="18"/>
              </w:rPr>
              <w:t>, approbation des plans de travail et des budgets du programme, validation des rapports de suivi</w:t>
            </w:r>
          </w:p>
          <w:p w:rsidR="00E231FE" w:rsidRPr="00EF6F07" w:rsidDel="00EC0C13" w:rsidRDefault="00E231FE" w:rsidP="00A744CA">
            <w:pPr>
              <w:spacing w:after="0"/>
              <w:rPr>
                <w:rFonts w:cs="Calibri"/>
                <w:i/>
                <w:iCs/>
                <w:sz w:val="18"/>
                <w:szCs w:val="18"/>
              </w:rPr>
            </w:pPr>
            <w:r w:rsidRPr="00EF6F07">
              <w:rPr>
                <w:i/>
                <w:sz w:val="18"/>
                <w:szCs w:val="18"/>
                <w:u w:val="single"/>
              </w:rPr>
              <w:t>Membres :</w:t>
            </w:r>
            <w:r w:rsidRPr="00EF6F07">
              <w:rPr>
                <w:i/>
                <w:sz w:val="18"/>
                <w:szCs w:val="18"/>
              </w:rPr>
              <w:t xml:space="preserve"> Ministères (Agriculture, Environnement, Énergie, Santé, Aménagement du Territoire, Affaires Foncières), l'administration territoriale, les agences décentralisées, le point focal provincial REDD+ et des représentants du secteur privé, de la société civile et des communautés locales et les Peuples Autochtones Pygmées.</w:t>
            </w:r>
          </w:p>
        </w:tc>
      </w:tr>
      <w:tr w:rsidR="00E231FE" w:rsidRPr="00EF6F07" w:rsidTr="00880CD4">
        <w:trPr>
          <w:cantSplit/>
        </w:trPr>
        <w:tc>
          <w:tcPr>
            <w:tcW w:w="9605" w:type="dxa"/>
            <w:gridSpan w:val="3"/>
            <w:shd w:val="clear" w:color="auto" w:fill="DEEAF6" w:themeFill="accent1" w:themeFillTint="33"/>
          </w:tcPr>
          <w:p w:rsidR="00E231FE" w:rsidRPr="00EF6F07" w:rsidRDefault="00E231FE" w:rsidP="00A744CA">
            <w:pPr>
              <w:spacing w:after="0"/>
              <w:rPr>
                <w:sz w:val="18"/>
                <w:szCs w:val="18"/>
              </w:rPr>
            </w:pPr>
            <w:r w:rsidRPr="00EF6F07">
              <w:rPr>
                <w:sz w:val="18"/>
                <w:szCs w:val="18"/>
              </w:rPr>
              <w:t>SOCIÉTÉ CIVILE</w:t>
            </w:r>
          </w:p>
        </w:tc>
      </w:tr>
      <w:tr w:rsidR="00E231FE" w:rsidRPr="00EF6F07" w:rsidTr="00A744CA">
        <w:trPr>
          <w:cantSplit/>
        </w:trPr>
        <w:tc>
          <w:tcPr>
            <w:tcW w:w="2268" w:type="dxa"/>
            <w:shd w:val="clear" w:color="auto" w:fill="auto"/>
          </w:tcPr>
          <w:p w:rsidR="00E231FE" w:rsidRPr="00EF6F07" w:rsidRDefault="00E231FE" w:rsidP="00A744CA">
            <w:pPr>
              <w:spacing w:after="0"/>
              <w:rPr>
                <w:rFonts w:cs="Calibri"/>
                <w:iCs/>
                <w:sz w:val="18"/>
                <w:szCs w:val="18"/>
              </w:rPr>
            </w:pPr>
            <w:r w:rsidRPr="00EF6F07">
              <w:rPr>
                <w:color w:val="000000"/>
                <w:kern w:val="24"/>
                <w:sz w:val="18"/>
                <w:szCs w:val="18"/>
              </w:rPr>
              <w:t>Groupe de Travail Climat et REDD+ (GTCR Rénové)</w:t>
            </w:r>
          </w:p>
        </w:tc>
        <w:tc>
          <w:tcPr>
            <w:tcW w:w="3026" w:type="dxa"/>
            <w:shd w:val="clear" w:color="auto" w:fill="auto"/>
          </w:tcPr>
          <w:p w:rsidR="00E231FE" w:rsidRPr="00EF6F07" w:rsidRDefault="00E231FE" w:rsidP="00A744CA">
            <w:pPr>
              <w:spacing w:after="0"/>
              <w:rPr>
                <w:sz w:val="18"/>
                <w:szCs w:val="18"/>
                <w:lang w:val="en-US"/>
              </w:rPr>
            </w:pPr>
            <w:r w:rsidRPr="00EF6F07">
              <w:rPr>
                <w:sz w:val="18"/>
                <w:szCs w:val="18"/>
                <w:lang w:val="en-US"/>
              </w:rPr>
              <w:t>Guy Kajemba, kajembaguy@yahoo.com</w:t>
            </w:r>
          </w:p>
          <w:p w:rsidR="00E231FE" w:rsidRPr="00EF6F07" w:rsidRDefault="00E231FE" w:rsidP="00A744CA">
            <w:pPr>
              <w:spacing w:after="0"/>
              <w:rPr>
                <w:sz w:val="18"/>
                <w:szCs w:val="18"/>
                <w:lang w:val="en-US"/>
              </w:rPr>
            </w:pPr>
            <w:r w:rsidRPr="00EF6F07">
              <w:rPr>
                <w:sz w:val="18"/>
                <w:szCs w:val="18"/>
                <w:lang w:val="en-US"/>
              </w:rPr>
              <w:t>Joseph Bobia, jb.bobia@gmail.com</w:t>
            </w:r>
          </w:p>
        </w:tc>
        <w:tc>
          <w:tcPr>
            <w:tcW w:w="4311" w:type="dxa"/>
            <w:shd w:val="clear" w:color="auto" w:fill="auto"/>
          </w:tcPr>
          <w:p w:rsidR="00E231FE" w:rsidRPr="00EF6F07" w:rsidRDefault="00E231FE" w:rsidP="00BA28E1">
            <w:pPr>
              <w:spacing w:after="0"/>
              <w:rPr>
                <w:rFonts w:cs="Calibri"/>
                <w:i/>
                <w:iCs/>
                <w:sz w:val="18"/>
                <w:szCs w:val="18"/>
              </w:rPr>
            </w:pPr>
            <w:r w:rsidRPr="00EF6F07">
              <w:rPr>
                <w:i/>
                <w:color w:val="000000"/>
                <w:kern w:val="24"/>
                <w:sz w:val="18"/>
                <w:szCs w:val="18"/>
              </w:rPr>
              <w:t>Coordination de la participation de la société civile dans le processus REDD+</w:t>
            </w:r>
          </w:p>
        </w:tc>
      </w:tr>
      <w:tr w:rsidR="00E231FE" w:rsidRPr="00EF6F07" w:rsidTr="00A744CA">
        <w:trPr>
          <w:cantSplit/>
        </w:trPr>
        <w:tc>
          <w:tcPr>
            <w:tcW w:w="2268" w:type="dxa"/>
            <w:shd w:val="clear" w:color="auto" w:fill="auto"/>
          </w:tcPr>
          <w:p w:rsidR="00E231FE" w:rsidRPr="00EF6F07" w:rsidRDefault="00BA28E1" w:rsidP="00A744CA">
            <w:pPr>
              <w:spacing w:after="0"/>
              <w:rPr>
                <w:color w:val="000000"/>
                <w:kern w:val="24"/>
                <w:sz w:val="18"/>
                <w:szCs w:val="18"/>
              </w:rPr>
            </w:pPr>
            <w:r w:rsidRPr="00EF6F07">
              <w:rPr>
                <w:color w:val="000000"/>
                <w:kern w:val="24"/>
                <w:sz w:val="18"/>
                <w:szCs w:val="18"/>
              </w:rPr>
              <w:lastRenderedPageBreak/>
              <w:t>REPALEF</w:t>
            </w:r>
            <w:r w:rsidR="00E231FE" w:rsidRPr="00EF6F07">
              <w:rPr>
                <w:vanish/>
                <w:color w:val="000000"/>
                <w:kern w:val="24"/>
                <w:sz w:val="18"/>
                <w:szCs w:val="18"/>
              </w:rPr>
              <w:t>Réseau des populations autochtones et locales pour la gestion durable des écosystèmes forestiers</w:t>
            </w:r>
          </w:p>
        </w:tc>
        <w:tc>
          <w:tcPr>
            <w:tcW w:w="3026" w:type="dxa"/>
            <w:shd w:val="clear" w:color="auto" w:fill="auto"/>
          </w:tcPr>
          <w:p w:rsidR="00880CD4" w:rsidRPr="00EF6F07" w:rsidRDefault="00E231FE" w:rsidP="00880CD4">
            <w:pPr>
              <w:spacing w:after="0"/>
              <w:rPr>
                <w:sz w:val="18"/>
                <w:szCs w:val="18"/>
              </w:rPr>
            </w:pPr>
            <w:r w:rsidRPr="00EF6F07">
              <w:rPr>
                <w:sz w:val="18"/>
                <w:szCs w:val="18"/>
              </w:rPr>
              <w:t>Rigobert Mola</w:t>
            </w:r>
          </w:p>
          <w:p w:rsidR="00E231FE" w:rsidRPr="00EF6F07" w:rsidRDefault="0003745E" w:rsidP="00880CD4">
            <w:pPr>
              <w:spacing w:after="0"/>
              <w:rPr>
                <w:sz w:val="18"/>
                <w:szCs w:val="18"/>
              </w:rPr>
            </w:pPr>
            <w:hyperlink r:id="rId14">
              <w:r w:rsidR="00E231FE" w:rsidRPr="00EF6F07">
                <w:rPr>
                  <w:sz w:val="18"/>
                  <w:szCs w:val="18"/>
                </w:rPr>
                <w:t>jr.mola@yahoo.fr</w:t>
              </w:r>
            </w:hyperlink>
          </w:p>
          <w:p w:rsidR="00E231FE" w:rsidRPr="00A23945" w:rsidRDefault="00E231FE" w:rsidP="00880CD4">
            <w:pPr>
              <w:spacing w:after="0"/>
              <w:rPr>
                <w:sz w:val="18"/>
                <w:szCs w:val="18"/>
                <w:lang w:val="en-US"/>
              </w:rPr>
            </w:pPr>
            <w:r w:rsidRPr="00A23945">
              <w:rPr>
                <w:sz w:val="18"/>
                <w:szCs w:val="18"/>
                <w:lang w:val="en-US"/>
              </w:rPr>
              <w:t xml:space="preserve">Keddy Bosulu, </w:t>
            </w:r>
            <w:hyperlink r:id="rId15">
              <w:r w:rsidRPr="00A23945">
                <w:rPr>
                  <w:sz w:val="18"/>
                  <w:szCs w:val="18"/>
                  <w:lang w:val="en-US"/>
                </w:rPr>
                <w:t>bosulumola@yahoo.fr</w:t>
              </w:r>
            </w:hyperlink>
          </w:p>
        </w:tc>
        <w:tc>
          <w:tcPr>
            <w:tcW w:w="4311" w:type="dxa"/>
            <w:shd w:val="clear" w:color="auto" w:fill="auto"/>
          </w:tcPr>
          <w:p w:rsidR="00E231FE" w:rsidRPr="00EF6F07" w:rsidRDefault="00E231FE" w:rsidP="00BA28E1">
            <w:pPr>
              <w:spacing w:after="0"/>
              <w:rPr>
                <w:i/>
                <w:color w:val="000000"/>
                <w:kern w:val="24"/>
                <w:sz w:val="18"/>
                <w:szCs w:val="18"/>
              </w:rPr>
            </w:pPr>
            <w:r w:rsidRPr="00EF6F07">
              <w:rPr>
                <w:i/>
                <w:color w:val="000000"/>
                <w:kern w:val="24"/>
                <w:sz w:val="18"/>
                <w:szCs w:val="18"/>
              </w:rPr>
              <w:t>Coordination de la participation des représentants des Peuples Autochtones Pygmées dans le processus REDD+</w:t>
            </w:r>
          </w:p>
        </w:tc>
      </w:tr>
      <w:tr w:rsidR="00E231FE" w:rsidRPr="00EF6F07" w:rsidTr="00A744CA">
        <w:trPr>
          <w:cantSplit/>
        </w:trPr>
        <w:tc>
          <w:tcPr>
            <w:tcW w:w="2268" w:type="dxa"/>
            <w:shd w:val="clear" w:color="auto" w:fill="auto"/>
          </w:tcPr>
          <w:p w:rsidR="00E231FE" w:rsidRPr="00EF6F07" w:rsidRDefault="00E231FE" w:rsidP="00A744CA">
            <w:pPr>
              <w:spacing w:after="0"/>
              <w:rPr>
                <w:color w:val="000000"/>
                <w:kern w:val="24"/>
                <w:sz w:val="18"/>
                <w:szCs w:val="18"/>
              </w:rPr>
            </w:pPr>
            <w:r w:rsidRPr="00EF6F07">
              <w:rPr>
                <w:color w:val="000000"/>
                <w:kern w:val="24"/>
                <w:sz w:val="18"/>
                <w:szCs w:val="18"/>
              </w:rPr>
              <w:t>Comité de Pilotage National MSD et Agence d’Exécution Nationale</w:t>
            </w:r>
          </w:p>
        </w:tc>
        <w:tc>
          <w:tcPr>
            <w:tcW w:w="3026" w:type="dxa"/>
            <w:shd w:val="clear" w:color="auto" w:fill="auto"/>
          </w:tcPr>
          <w:p w:rsidR="00E231FE" w:rsidRPr="0003745E" w:rsidRDefault="00E231FE" w:rsidP="00A744CA">
            <w:pPr>
              <w:spacing w:after="0"/>
              <w:rPr>
                <w:sz w:val="18"/>
                <w:szCs w:val="18"/>
                <w:lang w:val="de-CH"/>
              </w:rPr>
            </w:pPr>
            <w:r w:rsidRPr="0003745E">
              <w:rPr>
                <w:sz w:val="18"/>
                <w:szCs w:val="18"/>
                <w:lang w:val="de-CH"/>
              </w:rPr>
              <w:t>Kapupu Diwa Mutimanwa,  cpndgmrdc@gmail.com</w:t>
            </w:r>
          </w:p>
        </w:tc>
        <w:tc>
          <w:tcPr>
            <w:tcW w:w="4311" w:type="dxa"/>
            <w:shd w:val="clear" w:color="auto" w:fill="auto"/>
          </w:tcPr>
          <w:p w:rsidR="00E231FE" w:rsidRPr="00EF6F07" w:rsidRDefault="00E231FE" w:rsidP="00A744CA">
            <w:pPr>
              <w:spacing w:after="0"/>
              <w:rPr>
                <w:i/>
                <w:color w:val="000000"/>
                <w:kern w:val="24"/>
                <w:sz w:val="18"/>
                <w:szCs w:val="18"/>
              </w:rPr>
            </w:pPr>
            <w:r w:rsidRPr="00EF6F07">
              <w:rPr>
                <w:i/>
                <w:color w:val="000000"/>
                <w:kern w:val="24"/>
                <w:sz w:val="18"/>
                <w:szCs w:val="18"/>
              </w:rPr>
              <w:t>Conseil délibératif. Décide des plans de travail annuels du MSD et prend des décisions de financement relatives aux propositions communautaires admissibles</w:t>
            </w:r>
          </w:p>
        </w:tc>
      </w:tr>
      <w:tr w:rsidR="00E231FE" w:rsidRPr="00EF6F07" w:rsidTr="00A744CA">
        <w:trPr>
          <w:cantSplit/>
        </w:trPr>
        <w:tc>
          <w:tcPr>
            <w:tcW w:w="2268" w:type="dxa"/>
            <w:shd w:val="clear" w:color="auto" w:fill="auto"/>
          </w:tcPr>
          <w:p w:rsidR="00E231FE" w:rsidRPr="00EF6F07" w:rsidRDefault="00E231FE" w:rsidP="00A744CA">
            <w:pPr>
              <w:spacing w:after="0"/>
              <w:rPr>
                <w:rFonts w:cs="Arial"/>
                <w:color w:val="444444"/>
                <w:sz w:val="18"/>
                <w:szCs w:val="18"/>
                <w:shd w:val="clear" w:color="auto" w:fill="FFFFFF"/>
              </w:rPr>
            </w:pPr>
            <w:r w:rsidRPr="00EF6F07">
              <w:rPr>
                <w:color w:val="000000"/>
                <w:kern w:val="24"/>
                <w:sz w:val="18"/>
                <w:szCs w:val="18"/>
              </w:rPr>
              <w:t>WWF – DRC</w:t>
            </w:r>
          </w:p>
        </w:tc>
        <w:tc>
          <w:tcPr>
            <w:tcW w:w="3026" w:type="dxa"/>
            <w:shd w:val="clear" w:color="auto" w:fill="auto"/>
          </w:tcPr>
          <w:p w:rsidR="00E231FE" w:rsidRPr="00EF6F07" w:rsidRDefault="00E231FE" w:rsidP="00A744CA">
            <w:pPr>
              <w:spacing w:after="0"/>
              <w:rPr>
                <w:sz w:val="18"/>
                <w:szCs w:val="18"/>
                <w:lang w:val="en-US"/>
              </w:rPr>
            </w:pPr>
            <w:r w:rsidRPr="00EF6F07">
              <w:rPr>
                <w:sz w:val="18"/>
                <w:szCs w:val="18"/>
                <w:lang w:val="en-US"/>
              </w:rPr>
              <w:t>Flory Botamba</w:t>
            </w:r>
          </w:p>
          <w:p w:rsidR="00E231FE" w:rsidRPr="00EF6F07" w:rsidRDefault="00E231FE" w:rsidP="00A744CA">
            <w:pPr>
              <w:spacing w:after="0"/>
              <w:rPr>
                <w:sz w:val="18"/>
                <w:szCs w:val="18"/>
                <w:lang w:val="en-US"/>
              </w:rPr>
            </w:pPr>
            <w:r w:rsidRPr="00EF6F07">
              <w:rPr>
                <w:sz w:val="18"/>
                <w:szCs w:val="18"/>
                <w:lang w:val="en-US"/>
              </w:rPr>
              <w:t>fbotamba@wwfcarpo.org</w:t>
            </w:r>
          </w:p>
          <w:p w:rsidR="00E231FE" w:rsidRPr="00EF6F07" w:rsidRDefault="00E231FE" w:rsidP="00A744CA">
            <w:pPr>
              <w:spacing w:after="0"/>
              <w:rPr>
                <w:sz w:val="18"/>
                <w:szCs w:val="18"/>
                <w:lang w:val="en-US"/>
              </w:rPr>
            </w:pPr>
            <w:r w:rsidRPr="00EF6F07">
              <w:rPr>
                <w:sz w:val="18"/>
                <w:szCs w:val="18"/>
                <w:lang w:val="en-US"/>
              </w:rPr>
              <w:t>Bruno Perodeau</w:t>
            </w:r>
          </w:p>
          <w:p w:rsidR="00E231FE" w:rsidRPr="00EF6F07" w:rsidRDefault="00E231FE" w:rsidP="00A744CA">
            <w:pPr>
              <w:spacing w:after="0"/>
              <w:rPr>
                <w:sz w:val="18"/>
                <w:szCs w:val="18"/>
              </w:rPr>
            </w:pPr>
            <w:r w:rsidRPr="00EF6F07">
              <w:rPr>
                <w:sz w:val="18"/>
                <w:szCs w:val="18"/>
              </w:rPr>
              <w:t>Bperodeau@wwfcarpo.org</w:t>
            </w:r>
          </w:p>
        </w:tc>
        <w:tc>
          <w:tcPr>
            <w:tcW w:w="4311" w:type="dxa"/>
            <w:shd w:val="clear" w:color="auto" w:fill="auto"/>
          </w:tcPr>
          <w:p w:rsidR="00E231FE" w:rsidRPr="00EF6F07" w:rsidRDefault="00E231FE" w:rsidP="00A744CA">
            <w:pPr>
              <w:spacing w:after="0"/>
              <w:rPr>
                <w:rFonts w:eastAsia="ヒラギノ角ゴ Pro W3" w:cs="Calibri"/>
                <w:bCs/>
                <w:i/>
                <w:color w:val="000000"/>
                <w:kern w:val="24"/>
                <w:sz w:val="18"/>
                <w:szCs w:val="18"/>
              </w:rPr>
            </w:pPr>
            <w:r w:rsidRPr="00EF6F07">
              <w:rPr>
                <w:i/>
                <w:color w:val="000000"/>
                <w:kern w:val="24"/>
                <w:sz w:val="18"/>
                <w:szCs w:val="18"/>
              </w:rPr>
              <w:t>Partenaire dans la conception et la mise en œuvre du programme</w:t>
            </w:r>
            <w:r w:rsidR="00BA28E1" w:rsidRPr="00EF6F07">
              <w:rPr>
                <w:i/>
                <w:color w:val="000000"/>
                <w:kern w:val="24"/>
                <w:sz w:val="18"/>
                <w:szCs w:val="18"/>
              </w:rPr>
              <w:t xml:space="preserve"> RE du Mai-Ndombe</w:t>
            </w:r>
            <w:r w:rsidRPr="00EF6F07">
              <w:rPr>
                <w:i/>
                <w:color w:val="000000"/>
                <w:kern w:val="24"/>
                <w:sz w:val="18"/>
                <w:szCs w:val="18"/>
              </w:rPr>
              <w:t xml:space="preserve"> et dans l’agence d’exécution du projet PIF PIREDD dans le District </w:t>
            </w:r>
            <w:r w:rsidR="00A5055A" w:rsidRPr="00EF6F07">
              <w:rPr>
                <w:i/>
                <w:color w:val="000000"/>
                <w:kern w:val="24"/>
                <w:sz w:val="18"/>
                <w:szCs w:val="18"/>
              </w:rPr>
              <w:t>du Plateau</w:t>
            </w:r>
            <w:r w:rsidRPr="00EF6F07">
              <w:rPr>
                <w:i/>
                <w:color w:val="000000"/>
                <w:kern w:val="24"/>
                <w:sz w:val="18"/>
                <w:szCs w:val="18"/>
              </w:rPr>
              <w:t xml:space="preserve">. </w:t>
            </w:r>
          </w:p>
        </w:tc>
      </w:tr>
      <w:tr w:rsidR="00E231FE" w:rsidRPr="00EF6F07" w:rsidTr="00A744CA">
        <w:trPr>
          <w:cantSplit/>
        </w:trPr>
        <w:tc>
          <w:tcPr>
            <w:tcW w:w="2268" w:type="dxa"/>
            <w:shd w:val="clear" w:color="auto" w:fill="auto"/>
          </w:tcPr>
          <w:p w:rsidR="00E231FE" w:rsidRPr="00EF6F07" w:rsidRDefault="00E231FE" w:rsidP="00A744CA">
            <w:pPr>
              <w:spacing w:after="0"/>
              <w:rPr>
                <w:rFonts w:cs="Calibri"/>
                <w:iCs/>
                <w:sz w:val="18"/>
                <w:szCs w:val="18"/>
              </w:rPr>
            </w:pPr>
            <w:r w:rsidRPr="00EF6F07">
              <w:rPr>
                <w:color w:val="444444"/>
                <w:sz w:val="18"/>
                <w:szCs w:val="18"/>
                <w:shd w:val="clear" w:color="auto" w:fill="FFFFFF"/>
              </w:rPr>
              <w:t>Observatoire de la Gouvernance Forestière (OGF)</w:t>
            </w:r>
          </w:p>
        </w:tc>
        <w:tc>
          <w:tcPr>
            <w:tcW w:w="3026" w:type="dxa"/>
            <w:shd w:val="clear" w:color="auto" w:fill="auto"/>
          </w:tcPr>
          <w:p w:rsidR="00880CD4" w:rsidRPr="00EF6F07" w:rsidRDefault="00880CD4" w:rsidP="00A744CA">
            <w:pPr>
              <w:spacing w:after="0"/>
              <w:rPr>
                <w:sz w:val="18"/>
                <w:szCs w:val="18"/>
                <w:lang w:val="en-US"/>
              </w:rPr>
            </w:pPr>
            <w:r w:rsidRPr="00EF6F07">
              <w:rPr>
                <w:sz w:val="18"/>
                <w:szCs w:val="18"/>
                <w:lang w:val="en-US"/>
              </w:rPr>
              <w:t>Essylot Lubala</w:t>
            </w:r>
          </w:p>
          <w:p w:rsidR="00E231FE" w:rsidRPr="00EF6F07" w:rsidRDefault="00E231FE" w:rsidP="00A744CA">
            <w:pPr>
              <w:spacing w:after="0"/>
              <w:rPr>
                <w:sz w:val="18"/>
                <w:szCs w:val="18"/>
                <w:lang w:val="en-US"/>
              </w:rPr>
            </w:pPr>
            <w:r w:rsidRPr="00EF6F07">
              <w:rPr>
                <w:sz w:val="18"/>
                <w:szCs w:val="18"/>
                <w:lang w:val="en-US"/>
              </w:rPr>
              <w:t>essylot@yahoo.fr</w:t>
            </w:r>
          </w:p>
        </w:tc>
        <w:tc>
          <w:tcPr>
            <w:tcW w:w="4311" w:type="dxa"/>
            <w:shd w:val="clear" w:color="auto" w:fill="auto"/>
          </w:tcPr>
          <w:p w:rsidR="00E231FE" w:rsidRPr="00EF6F07" w:rsidRDefault="00E231FE" w:rsidP="00A744CA">
            <w:pPr>
              <w:spacing w:after="0"/>
              <w:rPr>
                <w:rFonts w:cs="Calibri"/>
                <w:i/>
                <w:iCs/>
                <w:sz w:val="18"/>
                <w:szCs w:val="18"/>
              </w:rPr>
            </w:pPr>
            <w:r w:rsidRPr="00EF6F07">
              <w:rPr>
                <w:i/>
                <w:color w:val="000000"/>
                <w:kern w:val="24"/>
                <w:sz w:val="18"/>
                <w:szCs w:val="18"/>
              </w:rPr>
              <w:t>Observateur indépendant du processus FLEG</w:t>
            </w:r>
            <w:r w:rsidR="00BA28E1" w:rsidRPr="00EF6F07">
              <w:rPr>
                <w:i/>
                <w:color w:val="000000"/>
                <w:kern w:val="24"/>
                <w:sz w:val="18"/>
                <w:szCs w:val="18"/>
              </w:rPr>
              <w:t>T</w:t>
            </w:r>
            <w:r w:rsidRPr="00EF6F07">
              <w:rPr>
                <w:i/>
                <w:color w:val="000000"/>
                <w:kern w:val="24"/>
                <w:sz w:val="18"/>
                <w:szCs w:val="18"/>
              </w:rPr>
              <w:t xml:space="preserve"> mandaté par le Ministère de l’Environnement. Travaille depuis 2014 au développement de l’observation indépendante du processus REDD+</w:t>
            </w:r>
          </w:p>
        </w:tc>
      </w:tr>
      <w:tr w:rsidR="00E231FE" w:rsidRPr="00EF6F07" w:rsidTr="00A744CA">
        <w:trPr>
          <w:cantSplit/>
        </w:trPr>
        <w:tc>
          <w:tcPr>
            <w:tcW w:w="2268" w:type="dxa"/>
            <w:shd w:val="clear" w:color="auto" w:fill="auto"/>
          </w:tcPr>
          <w:p w:rsidR="00E231FE" w:rsidRPr="00EF6F07" w:rsidRDefault="00E231FE" w:rsidP="00A744CA">
            <w:pPr>
              <w:spacing w:after="0"/>
              <w:rPr>
                <w:rFonts w:cs="Arial"/>
                <w:color w:val="444444"/>
                <w:sz w:val="18"/>
                <w:szCs w:val="18"/>
                <w:shd w:val="clear" w:color="auto" w:fill="FFFFFF"/>
              </w:rPr>
            </w:pPr>
            <w:r w:rsidRPr="00EF6F07">
              <w:rPr>
                <w:color w:val="444444"/>
                <w:sz w:val="18"/>
                <w:szCs w:val="18"/>
                <w:shd w:val="clear" w:color="auto" w:fill="FFFFFF"/>
              </w:rPr>
              <w:t>MOABI</w:t>
            </w:r>
          </w:p>
        </w:tc>
        <w:tc>
          <w:tcPr>
            <w:tcW w:w="3026" w:type="dxa"/>
            <w:shd w:val="clear" w:color="auto" w:fill="auto"/>
          </w:tcPr>
          <w:p w:rsidR="00E231FE" w:rsidRPr="00EF6F07" w:rsidRDefault="00E231FE" w:rsidP="00A744CA">
            <w:pPr>
              <w:spacing w:after="0"/>
              <w:rPr>
                <w:sz w:val="18"/>
                <w:szCs w:val="18"/>
              </w:rPr>
            </w:pPr>
            <w:r w:rsidRPr="00EF6F07">
              <w:rPr>
                <w:sz w:val="18"/>
                <w:szCs w:val="18"/>
              </w:rPr>
              <w:t>Léo Bottrill, leobottrill@crowdcover.org</w:t>
            </w:r>
          </w:p>
        </w:tc>
        <w:tc>
          <w:tcPr>
            <w:tcW w:w="4311" w:type="dxa"/>
            <w:shd w:val="clear" w:color="auto" w:fill="auto"/>
          </w:tcPr>
          <w:p w:rsidR="00E231FE" w:rsidRPr="00EF6F07" w:rsidRDefault="00E231FE" w:rsidP="00A744CA">
            <w:pPr>
              <w:spacing w:after="0"/>
              <w:rPr>
                <w:rFonts w:eastAsia="ヒラギノ角ゴ Pro W3" w:cs="Calibri"/>
                <w:bCs/>
                <w:i/>
                <w:color w:val="000000"/>
                <w:kern w:val="24"/>
                <w:sz w:val="18"/>
                <w:szCs w:val="18"/>
              </w:rPr>
            </w:pPr>
            <w:r w:rsidRPr="00EF6F07">
              <w:rPr>
                <w:i/>
                <w:color w:val="000000"/>
                <w:kern w:val="24"/>
                <w:sz w:val="18"/>
                <w:szCs w:val="18"/>
              </w:rPr>
              <w:t>Gère une plateforme indépendante de cartographie collaborative destinée aux observateurs indépendants et à la société civile locale</w:t>
            </w:r>
          </w:p>
        </w:tc>
      </w:tr>
      <w:tr w:rsidR="00E231FE" w:rsidRPr="00EF6F07" w:rsidTr="00A744CA">
        <w:trPr>
          <w:cantSplit/>
        </w:trPr>
        <w:tc>
          <w:tcPr>
            <w:tcW w:w="2268" w:type="dxa"/>
            <w:shd w:val="clear" w:color="auto" w:fill="auto"/>
          </w:tcPr>
          <w:p w:rsidR="00E231FE" w:rsidRPr="00EF6F07" w:rsidRDefault="00E231FE" w:rsidP="00A744CA">
            <w:pPr>
              <w:spacing w:after="0"/>
              <w:rPr>
                <w:rFonts w:cs="Arial"/>
                <w:color w:val="444444"/>
                <w:sz w:val="18"/>
                <w:szCs w:val="18"/>
                <w:shd w:val="clear" w:color="auto" w:fill="FFFFFF"/>
              </w:rPr>
            </w:pPr>
            <w:r w:rsidRPr="00EF6F07">
              <w:rPr>
                <w:color w:val="444444"/>
                <w:sz w:val="18"/>
                <w:szCs w:val="18"/>
                <w:shd w:val="clear" w:color="auto" w:fill="FFFFFF"/>
              </w:rPr>
              <w:t>GI-Agro</w:t>
            </w:r>
          </w:p>
        </w:tc>
        <w:tc>
          <w:tcPr>
            <w:tcW w:w="3026" w:type="dxa"/>
            <w:shd w:val="clear" w:color="auto" w:fill="auto"/>
          </w:tcPr>
          <w:p w:rsidR="00E231FE" w:rsidRPr="00EF6F07" w:rsidRDefault="00E231FE" w:rsidP="00A744CA">
            <w:pPr>
              <w:spacing w:after="0"/>
              <w:rPr>
                <w:sz w:val="18"/>
                <w:szCs w:val="18"/>
              </w:rPr>
            </w:pPr>
            <w:r w:rsidRPr="00EF6F07">
              <w:rPr>
                <w:sz w:val="18"/>
                <w:szCs w:val="18"/>
              </w:rPr>
              <w:t>Jean Lejoly</w:t>
            </w:r>
          </w:p>
          <w:p w:rsidR="00E231FE" w:rsidRPr="00EF6F07" w:rsidRDefault="00E231FE" w:rsidP="00A744CA">
            <w:pPr>
              <w:spacing w:after="0"/>
              <w:rPr>
                <w:sz w:val="18"/>
                <w:szCs w:val="18"/>
              </w:rPr>
            </w:pPr>
            <w:r w:rsidRPr="00EF6F07">
              <w:rPr>
                <w:sz w:val="18"/>
                <w:szCs w:val="18"/>
              </w:rPr>
              <w:t>jeanlejoly@gmail.com</w:t>
            </w:r>
          </w:p>
        </w:tc>
        <w:tc>
          <w:tcPr>
            <w:tcW w:w="4311" w:type="dxa"/>
            <w:shd w:val="clear" w:color="auto" w:fill="auto"/>
          </w:tcPr>
          <w:p w:rsidR="00E231FE" w:rsidRPr="00EF6F07" w:rsidRDefault="00E231FE" w:rsidP="00A744CA">
            <w:pPr>
              <w:spacing w:after="0"/>
              <w:rPr>
                <w:rFonts w:eastAsia="ヒラギノ角ゴ Pro W3" w:cs="Calibri"/>
                <w:bCs/>
                <w:i/>
                <w:color w:val="000000"/>
                <w:kern w:val="24"/>
                <w:sz w:val="18"/>
                <w:szCs w:val="18"/>
              </w:rPr>
            </w:pPr>
            <w:r w:rsidRPr="00EF6F07">
              <w:rPr>
                <w:i/>
                <w:color w:val="000000"/>
                <w:kern w:val="24"/>
                <w:sz w:val="18"/>
                <w:szCs w:val="18"/>
              </w:rPr>
              <w:t xml:space="preserve">Accompagne plusieurs villages du Sud-Kwamouth dans le développement d’activités REDD+ (Agroforesterie, </w:t>
            </w:r>
            <w:r w:rsidR="00C94522" w:rsidRPr="00EF6F07">
              <w:rPr>
                <w:i/>
                <w:color w:val="000000"/>
                <w:kern w:val="24"/>
                <w:sz w:val="18"/>
                <w:szCs w:val="18"/>
              </w:rPr>
              <w:t>régénération</w:t>
            </w:r>
            <w:r w:rsidRPr="00EF6F07">
              <w:rPr>
                <w:i/>
                <w:color w:val="000000"/>
                <w:kern w:val="24"/>
                <w:sz w:val="18"/>
                <w:szCs w:val="18"/>
              </w:rPr>
              <w:t xml:space="preserve">, etc.) </w:t>
            </w:r>
          </w:p>
        </w:tc>
      </w:tr>
      <w:tr w:rsidR="00E231FE" w:rsidRPr="00EF6F07" w:rsidTr="00A744CA">
        <w:trPr>
          <w:cantSplit/>
        </w:trPr>
        <w:tc>
          <w:tcPr>
            <w:tcW w:w="2268" w:type="dxa"/>
            <w:shd w:val="clear" w:color="auto" w:fill="auto"/>
          </w:tcPr>
          <w:p w:rsidR="00E231FE" w:rsidRPr="00EF6F07" w:rsidRDefault="00E231FE" w:rsidP="00A744CA">
            <w:pPr>
              <w:spacing w:after="0"/>
              <w:rPr>
                <w:rFonts w:cs="Arial"/>
                <w:color w:val="444444"/>
                <w:sz w:val="18"/>
                <w:szCs w:val="18"/>
                <w:shd w:val="clear" w:color="auto" w:fill="FFFFFF"/>
              </w:rPr>
            </w:pPr>
            <w:r w:rsidRPr="00EF6F07">
              <w:rPr>
                <w:color w:val="444444"/>
                <w:sz w:val="18"/>
                <w:szCs w:val="18"/>
                <w:shd w:val="clear" w:color="auto" w:fill="FFFFFF"/>
              </w:rPr>
              <w:t>CARITAS CONGO Asbl</w:t>
            </w:r>
          </w:p>
        </w:tc>
        <w:tc>
          <w:tcPr>
            <w:tcW w:w="3026" w:type="dxa"/>
            <w:shd w:val="clear" w:color="auto" w:fill="auto"/>
          </w:tcPr>
          <w:p w:rsidR="00E231FE" w:rsidRPr="00EF6F07" w:rsidRDefault="00E231FE" w:rsidP="00A744CA">
            <w:pPr>
              <w:spacing w:after="0"/>
              <w:rPr>
                <w:sz w:val="18"/>
                <w:szCs w:val="18"/>
              </w:rPr>
            </w:pPr>
            <w:r w:rsidRPr="00EF6F07">
              <w:rPr>
                <w:sz w:val="18"/>
                <w:szCs w:val="18"/>
              </w:rPr>
              <w:t>André Mathunabo</w:t>
            </w:r>
          </w:p>
          <w:p w:rsidR="00E231FE" w:rsidRPr="00EF6F07" w:rsidRDefault="00E231FE" w:rsidP="00A744CA">
            <w:pPr>
              <w:spacing w:after="0"/>
              <w:rPr>
                <w:sz w:val="18"/>
                <w:szCs w:val="18"/>
              </w:rPr>
            </w:pPr>
            <w:r w:rsidRPr="00EF6F07">
              <w:rPr>
                <w:sz w:val="18"/>
                <w:szCs w:val="18"/>
              </w:rPr>
              <w:t>amathunabo@caritasdev.cd</w:t>
            </w:r>
          </w:p>
          <w:p w:rsidR="00E231FE" w:rsidRPr="00EF6F07" w:rsidRDefault="00E231FE" w:rsidP="00A744CA">
            <w:pPr>
              <w:spacing w:after="0"/>
              <w:rPr>
                <w:sz w:val="18"/>
                <w:szCs w:val="18"/>
              </w:rPr>
            </w:pPr>
            <w:r w:rsidRPr="00EF6F07">
              <w:rPr>
                <w:sz w:val="18"/>
                <w:szCs w:val="18"/>
              </w:rPr>
              <w:t>Thadée Barega, barega_th@yahoo.fr</w:t>
            </w:r>
          </w:p>
        </w:tc>
        <w:tc>
          <w:tcPr>
            <w:tcW w:w="4311" w:type="dxa"/>
            <w:shd w:val="clear" w:color="auto" w:fill="auto"/>
          </w:tcPr>
          <w:p w:rsidR="00E231FE" w:rsidRPr="00EF6F07" w:rsidRDefault="00E231FE" w:rsidP="00A744CA">
            <w:pPr>
              <w:spacing w:after="0"/>
              <w:rPr>
                <w:rFonts w:eastAsia="ヒラギノ角ゴ Pro W3" w:cs="Calibri"/>
                <w:bCs/>
                <w:i/>
                <w:color w:val="000000"/>
                <w:kern w:val="24"/>
                <w:sz w:val="18"/>
                <w:szCs w:val="18"/>
              </w:rPr>
            </w:pPr>
            <w:r w:rsidRPr="00EF6F07">
              <w:rPr>
                <w:i/>
                <w:color w:val="000000"/>
                <w:kern w:val="24"/>
                <w:sz w:val="18"/>
                <w:szCs w:val="18"/>
              </w:rPr>
              <w:t>Accompagne les organisations des producteurs agricoles dans le Diocèse d’Inongo dans l’amélioration de la production agricole, leur structuration et le soutien pour le renforcement des capacités économiques</w:t>
            </w:r>
          </w:p>
        </w:tc>
      </w:tr>
      <w:tr w:rsidR="00E231FE" w:rsidRPr="00EF6F07" w:rsidTr="00880CD4">
        <w:trPr>
          <w:cantSplit/>
        </w:trPr>
        <w:tc>
          <w:tcPr>
            <w:tcW w:w="9605" w:type="dxa"/>
            <w:gridSpan w:val="3"/>
            <w:shd w:val="clear" w:color="auto" w:fill="DEEAF6" w:themeFill="accent1" w:themeFillTint="33"/>
          </w:tcPr>
          <w:p w:rsidR="00E231FE" w:rsidRPr="00EF6F07" w:rsidRDefault="00E231FE" w:rsidP="00A744CA">
            <w:pPr>
              <w:spacing w:after="0"/>
              <w:rPr>
                <w:sz w:val="18"/>
                <w:szCs w:val="18"/>
              </w:rPr>
            </w:pPr>
            <w:r w:rsidRPr="00EF6F07">
              <w:rPr>
                <w:sz w:val="18"/>
                <w:szCs w:val="18"/>
              </w:rPr>
              <w:t>SECTEUR PRIVÉ et ORGANISATIONS PROFESSIONNELLES</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sz w:val="18"/>
                <w:szCs w:val="18"/>
              </w:rPr>
              <w:t>Wildlife Works Carbon (WWC)</w:t>
            </w:r>
          </w:p>
        </w:tc>
        <w:tc>
          <w:tcPr>
            <w:tcW w:w="3026" w:type="dxa"/>
            <w:shd w:val="clear" w:color="auto" w:fill="auto"/>
          </w:tcPr>
          <w:p w:rsidR="00E231FE" w:rsidRPr="00EF6F07" w:rsidRDefault="00E231FE" w:rsidP="00A744CA">
            <w:pPr>
              <w:spacing w:after="0"/>
              <w:rPr>
                <w:sz w:val="18"/>
                <w:szCs w:val="18"/>
                <w:lang w:val="en-US"/>
              </w:rPr>
            </w:pPr>
            <w:r w:rsidRPr="00EF6F07">
              <w:rPr>
                <w:sz w:val="18"/>
                <w:szCs w:val="18"/>
                <w:lang w:val="en-US"/>
              </w:rPr>
              <w:t>Bolambee Bwangoy-Bankanza</w:t>
            </w:r>
          </w:p>
          <w:p w:rsidR="00E231FE" w:rsidRPr="00EF6F07" w:rsidRDefault="00E231FE" w:rsidP="00A744CA">
            <w:pPr>
              <w:spacing w:after="0"/>
              <w:rPr>
                <w:sz w:val="18"/>
                <w:szCs w:val="18"/>
                <w:lang w:val="en-US"/>
              </w:rPr>
            </w:pPr>
            <w:r w:rsidRPr="00EF6F07">
              <w:rPr>
                <w:sz w:val="18"/>
                <w:szCs w:val="18"/>
                <w:lang w:val="en-US"/>
              </w:rPr>
              <w:t>jrbwangoy@wildlifeworks.com</w:t>
            </w:r>
          </w:p>
          <w:p w:rsidR="00E231FE" w:rsidRPr="00EF6F07" w:rsidRDefault="00E231FE" w:rsidP="00A744CA">
            <w:pPr>
              <w:spacing w:after="0"/>
              <w:rPr>
                <w:sz w:val="18"/>
                <w:szCs w:val="18"/>
                <w:lang w:val="en-US"/>
              </w:rPr>
            </w:pPr>
            <w:r w:rsidRPr="00EF6F07">
              <w:rPr>
                <w:sz w:val="18"/>
                <w:szCs w:val="18"/>
                <w:lang w:val="en-US"/>
              </w:rPr>
              <w:t>Mike Korchinsky</w:t>
            </w:r>
          </w:p>
          <w:p w:rsidR="00E231FE" w:rsidRPr="00EF6F07" w:rsidRDefault="00E231FE" w:rsidP="00A744CA">
            <w:pPr>
              <w:spacing w:after="0"/>
              <w:rPr>
                <w:sz w:val="18"/>
                <w:szCs w:val="18"/>
                <w:lang w:val="en-US"/>
              </w:rPr>
            </w:pPr>
            <w:r w:rsidRPr="00EF6F07">
              <w:rPr>
                <w:sz w:val="18"/>
                <w:szCs w:val="18"/>
                <w:lang w:val="en-US"/>
              </w:rPr>
              <w:t>mike@wildlifeworks.com</w:t>
            </w:r>
          </w:p>
        </w:tc>
        <w:tc>
          <w:tcPr>
            <w:tcW w:w="4311" w:type="dxa"/>
            <w:shd w:val="clear" w:color="auto" w:fill="auto"/>
          </w:tcPr>
          <w:p w:rsidR="00E231FE" w:rsidRPr="00EF6F07" w:rsidRDefault="00E231FE" w:rsidP="00A744CA">
            <w:pPr>
              <w:spacing w:after="0"/>
              <w:rPr>
                <w:rFonts w:eastAsia="ヒラギノ角ゴ Pro W3" w:cs="Calibri"/>
                <w:i/>
                <w:color w:val="000000"/>
                <w:kern w:val="24"/>
                <w:sz w:val="18"/>
                <w:szCs w:val="18"/>
              </w:rPr>
            </w:pPr>
            <w:r w:rsidRPr="00EF6F07">
              <w:rPr>
                <w:i/>
                <w:sz w:val="18"/>
                <w:szCs w:val="18"/>
              </w:rPr>
              <w:t>Partenaire de conception et de mise en œuvre du Programme</w:t>
            </w:r>
            <w:r w:rsidR="00BA28E1" w:rsidRPr="00EF6F07">
              <w:rPr>
                <w:i/>
                <w:sz w:val="18"/>
                <w:szCs w:val="18"/>
              </w:rPr>
              <w:t xml:space="preserve"> RE du Mai-Ndombe</w:t>
            </w:r>
            <w:r w:rsidRPr="00EF6F07">
              <w:rPr>
                <w:i/>
                <w:sz w:val="18"/>
                <w:szCs w:val="18"/>
              </w:rPr>
              <w:t xml:space="preserve">, porteur du projet REDD+ du </w:t>
            </w:r>
            <w:r w:rsidR="00EB17C0">
              <w:rPr>
                <w:i/>
                <w:sz w:val="18"/>
                <w:szCs w:val="18"/>
              </w:rPr>
              <w:t>Mai-Ndombe</w:t>
            </w:r>
            <w:r w:rsidR="00C94522">
              <w:rPr>
                <w:i/>
                <w:sz w:val="18"/>
                <w:szCs w:val="18"/>
              </w:rPr>
              <w:t xml:space="preserve"> </w:t>
            </w:r>
            <w:r w:rsidRPr="00EF6F07">
              <w:rPr>
                <w:i/>
                <w:sz w:val="18"/>
                <w:szCs w:val="18"/>
              </w:rPr>
              <w:t>approuvé par VCS et CCBA</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color w:val="000000"/>
                <w:kern w:val="24"/>
                <w:sz w:val="18"/>
                <w:szCs w:val="18"/>
              </w:rPr>
              <w:t>NOVACEL</w:t>
            </w:r>
          </w:p>
        </w:tc>
        <w:tc>
          <w:tcPr>
            <w:tcW w:w="3026" w:type="dxa"/>
            <w:shd w:val="clear" w:color="auto" w:fill="auto"/>
          </w:tcPr>
          <w:p w:rsidR="00E231FE" w:rsidRPr="0003745E" w:rsidRDefault="00E231FE" w:rsidP="00A744CA">
            <w:pPr>
              <w:spacing w:after="0"/>
              <w:rPr>
                <w:sz w:val="18"/>
                <w:szCs w:val="18"/>
                <w:lang w:val="de-CH"/>
              </w:rPr>
            </w:pPr>
            <w:r w:rsidRPr="0003745E">
              <w:rPr>
                <w:sz w:val="18"/>
                <w:szCs w:val="18"/>
                <w:lang w:val="de-CH"/>
              </w:rPr>
              <w:t xml:space="preserve">Olivier Mushiete, </w:t>
            </w:r>
          </w:p>
          <w:p w:rsidR="00E231FE" w:rsidRPr="0003745E" w:rsidRDefault="00E231FE" w:rsidP="00A744CA">
            <w:pPr>
              <w:spacing w:after="0"/>
              <w:rPr>
                <w:sz w:val="18"/>
                <w:szCs w:val="18"/>
                <w:lang w:val="de-CH"/>
              </w:rPr>
            </w:pPr>
            <w:r w:rsidRPr="0003745E">
              <w:rPr>
                <w:sz w:val="18"/>
                <w:szCs w:val="18"/>
                <w:lang w:val="de-CH"/>
              </w:rPr>
              <w:t>olivier@mushiete.cd</w:t>
            </w:r>
          </w:p>
        </w:tc>
        <w:tc>
          <w:tcPr>
            <w:tcW w:w="4311" w:type="dxa"/>
            <w:shd w:val="clear" w:color="auto" w:fill="auto"/>
          </w:tcPr>
          <w:p w:rsidR="00E231FE" w:rsidRPr="00EF6F07" w:rsidRDefault="00E231FE" w:rsidP="00A744CA">
            <w:pPr>
              <w:spacing w:after="0"/>
              <w:rPr>
                <w:rFonts w:eastAsia="ヒラギノ角ゴ Pro W3" w:cs="Calibri"/>
                <w:i/>
                <w:color w:val="000000"/>
                <w:kern w:val="24"/>
                <w:sz w:val="18"/>
                <w:szCs w:val="18"/>
              </w:rPr>
            </w:pPr>
            <w:r w:rsidRPr="00EF6F07">
              <w:rPr>
                <w:i/>
                <w:color w:val="000000"/>
                <w:kern w:val="24"/>
                <w:sz w:val="18"/>
                <w:szCs w:val="18"/>
              </w:rPr>
              <w:t>Entreprise spécialisée dans les techniques d'agroforesterie, la transformation et la commercialisation des produits agricoles. Met en œuvre le projet pilote REDD+ NOVACEL du Sud Kwamouth financé par le PFBC et monte actuellement une coopérative agricole dénommée GICET.</w:t>
            </w:r>
          </w:p>
        </w:tc>
      </w:tr>
      <w:tr w:rsidR="00E231FE" w:rsidRPr="00EF6F07" w:rsidTr="00A744CA">
        <w:trPr>
          <w:cantSplit/>
        </w:trPr>
        <w:tc>
          <w:tcPr>
            <w:tcW w:w="2268" w:type="dxa"/>
            <w:shd w:val="clear" w:color="auto" w:fill="auto"/>
          </w:tcPr>
          <w:p w:rsidR="00E231FE" w:rsidRPr="00EF6F07" w:rsidRDefault="00E231FE" w:rsidP="00A744CA">
            <w:pPr>
              <w:spacing w:after="0"/>
              <w:rPr>
                <w:rFonts w:cs="Calibri"/>
                <w:i/>
                <w:iCs/>
                <w:sz w:val="18"/>
                <w:szCs w:val="18"/>
              </w:rPr>
            </w:pPr>
            <w:r w:rsidRPr="00EF6F07">
              <w:rPr>
                <w:color w:val="000000"/>
                <w:kern w:val="24"/>
                <w:sz w:val="18"/>
                <w:szCs w:val="18"/>
              </w:rPr>
              <w:t>Fédération des Industries du Bois (FIB)</w:t>
            </w:r>
          </w:p>
        </w:tc>
        <w:tc>
          <w:tcPr>
            <w:tcW w:w="3026" w:type="dxa"/>
            <w:shd w:val="clear" w:color="auto" w:fill="auto"/>
          </w:tcPr>
          <w:p w:rsidR="00E231FE" w:rsidRPr="00EF6F07" w:rsidRDefault="00E231FE" w:rsidP="00A744CA">
            <w:pPr>
              <w:spacing w:after="0"/>
              <w:rPr>
                <w:sz w:val="18"/>
                <w:szCs w:val="18"/>
              </w:rPr>
            </w:pPr>
            <w:r w:rsidRPr="00EF6F07">
              <w:rPr>
                <w:sz w:val="18"/>
                <w:szCs w:val="18"/>
              </w:rPr>
              <w:t>Gabriel Mola, Président, gabrielmola58@yahoo.fr</w:t>
            </w:r>
          </w:p>
        </w:tc>
        <w:tc>
          <w:tcPr>
            <w:tcW w:w="4311" w:type="dxa"/>
            <w:shd w:val="clear" w:color="auto" w:fill="auto"/>
          </w:tcPr>
          <w:p w:rsidR="00E231FE" w:rsidRPr="00EF6F07" w:rsidRDefault="00E231FE" w:rsidP="00A744CA">
            <w:pPr>
              <w:spacing w:after="0"/>
              <w:rPr>
                <w:rFonts w:eastAsia="ヒラギノ角ゴ Pro W3" w:cs="Calibri"/>
                <w:bCs/>
                <w:i/>
                <w:color w:val="000000"/>
                <w:kern w:val="24"/>
                <w:sz w:val="18"/>
                <w:szCs w:val="18"/>
              </w:rPr>
            </w:pPr>
            <w:r w:rsidRPr="00EF6F07">
              <w:rPr>
                <w:i/>
                <w:color w:val="000000"/>
                <w:kern w:val="24"/>
                <w:sz w:val="18"/>
                <w:szCs w:val="18"/>
              </w:rPr>
              <w:t>Réseau des sociétés d'exploitation forestière industrielle en RDC</w:t>
            </w:r>
          </w:p>
        </w:tc>
      </w:tr>
      <w:tr w:rsidR="00E231FE" w:rsidRPr="00EF6F07" w:rsidTr="00A744CA">
        <w:trPr>
          <w:cantSplit/>
        </w:trPr>
        <w:tc>
          <w:tcPr>
            <w:tcW w:w="2268" w:type="dxa"/>
            <w:shd w:val="clear" w:color="auto" w:fill="auto"/>
          </w:tcPr>
          <w:p w:rsidR="00E231FE" w:rsidRPr="00EF6F07" w:rsidRDefault="00E231FE" w:rsidP="00A744CA">
            <w:pPr>
              <w:spacing w:after="0"/>
              <w:rPr>
                <w:color w:val="000000"/>
                <w:kern w:val="24"/>
                <w:sz w:val="18"/>
                <w:szCs w:val="18"/>
              </w:rPr>
            </w:pPr>
            <w:r w:rsidRPr="00EF6F07">
              <w:rPr>
                <w:color w:val="000000"/>
                <w:kern w:val="24"/>
                <w:sz w:val="18"/>
                <w:szCs w:val="18"/>
              </w:rPr>
              <w:t>SODEFOR</w:t>
            </w:r>
          </w:p>
        </w:tc>
        <w:tc>
          <w:tcPr>
            <w:tcW w:w="3026" w:type="dxa"/>
            <w:shd w:val="clear" w:color="auto" w:fill="auto"/>
          </w:tcPr>
          <w:p w:rsidR="00880CD4" w:rsidRPr="00EF6F07" w:rsidRDefault="00880CD4" w:rsidP="00880CD4">
            <w:pPr>
              <w:spacing w:after="0"/>
              <w:rPr>
                <w:sz w:val="18"/>
                <w:szCs w:val="18"/>
              </w:rPr>
            </w:pPr>
            <w:r w:rsidRPr="00EF6F07">
              <w:rPr>
                <w:sz w:val="18"/>
                <w:szCs w:val="18"/>
              </w:rPr>
              <w:t>José Albano</w:t>
            </w:r>
          </w:p>
          <w:p w:rsidR="00E231FE" w:rsidRPr="00EF6F07" w:rsidRDefault="00E231FE" w:rsidP="00880CD4">
            <w:pPr>
              <w:spacing w:after="0"/>
              <w:rPr>
                <w:sz w:val="18"/>
                <w:szCs w:val="18"/>
              </w:rPr>
            </w:pPr>
            <w:r w:rsidRPr="00EF6F07">
              <w:rPr>
                <w:sz w:val="18"/>
                <w:szCs w:val="18"/>
              </w:rPr>
              <w:t>jamt@sodefor.net</w:t>
            </w:r>
            <w:r w:rsidR="00880CD4" w:rsidRPr="00EF6F07">
              <w:rPr>
                <w:sz w:val="18"/>
                <w:szCs w:val="18"/>
              </w:rPr>
              <w:br/>
            </w:r>
            <w:r w:rsidRPr="00EF6F07">
              <w:rPr>
                <w:sz w:val="18"/>
                <w:szCs w:val="18"/>
              </w:rPr>
              <w:t>gestion_durable@sodefor.net</w:t>
            </w:r>
          </w:p>
        </w:tc>
        <w:tc>
          <w:tcPr>
            <w:tcW w:w="4311" w:type="dxa"/>
            <w:shd w:val="clear" w:color="auto" w:fill="auto"/>
          </w:tcPr>
          <w:p w:rsidR="00E231FE" w:rsidRPr="00EF6F07" w:rsidRDefault="00E231FE" w:rsidP="00BA28E1">
            <w:pPr>
              <w:spacing w:after="0"/>
              <w:rPr>
                <w:i/>
                <w:color w:val="000000"/>
                <w:kern w:val="24"/>
                <w:sz w:val="18"/>
                <w:szCs w:val="18"/>
              </w:rPr>
            </w:pPr>
            <w:r w:rsidRPr="00EF6F07">
              <w:rPr>
                <w:i/>
                <w:color w:val="000000"/>
                <w:kern w:val="24"/>
                <w:sz w:val="18"/>
                <w:szCs w:val="18"/>
              </w:rPr>
              <w:t xml:space="preserve">Compagnie forestière </w:t>
            </w:r>
            <w:r w:rsidR="00BA28E1" w:rsidRPr="00EF6F07">
              <w:rPr>
                <w:i/>
                <w:color w:val="000000"/>
                <w:kern w:val="24"/>
                <w:sz w:val="18"/>
                <w:szCs w:val="18"/>
              </w:rPr>
              <w:t>exploitant</w:t>
            </w:r>
            <w:r w:rsidRPr="00EF6F07">
              <w:rPr>
                <w:i/>
                <w:color w:val="000000"/>
                <w:kern w:val="24"/>
                <w:sz w:val="18"/>
                <w:szCs w:val="18"/>
              </w:rPr>
              <w:t xml:space="preserve"> 11 concessions dans l</w:t>
            </w:r>
            <w:r w:rsidR="00BA28E1" w:rsidRPr="00EF6F07">
              <w:rPr>
                <w:i/>
                <w:color w:val="000000"/>
                <w:kern w:val="24"/>
                <w:sz w:val="18"/>
                <w:szCs w:val="18"/>
              </w:rPr>
              <w:t>a Province du Mai-Ndombe</w:t>
            </w:r>
          </w:p>
        </w:tc>
      </w:tr>
      <w:tr w:rsidR="00E231FE" w:rsidRPr="00EF6F07" w:rsidTr="00A744CA">
        <w:trPr>
          <w:cantSplit/>
        </w:trPr>
        <w:tc>
          <w:tcPr>
            <w:tcW w:w="2268" w:type="dxa"/>
            <w:shd w:val="clear" w:color="auto" w:fill="auto"/>
          </w:tcPr>
          <w:p w:rsidR="00E231FE" w:rsidRPr="00EF6F07" w:rsidRDefault="00E231FE" w:rsidP="00A744CA">
            <w:pPr>
              <w:spacing w:after="0"/>
              <w:rPr>
                <w:color w:val="000000"/>
                <w:kern w:val="24"/>
                <w:sz w:val="18"/>
                <w:szCs w:val="18"/>
              </w:rPr>
            </w:pPr>
            <w:r w:rsidRPr="00EF6F07">
              <w:rPr>
                <w:color w:val="000000"/>
                <w:kern w:val="24"/>
                <w:sz w:val="18"/>
                <w:szCs w:val="18"/>
              </w:rPr>
              <w:t>SIFORCO</w:t>
            </w:r>
          </w:p>
        </w:tc>
        <w:tc>
          <w:tcPr>
            <w:tcW w:w="3026" w:type="dxa"/>
            <w:shd w:val="clear" w:color="auto" w:fill="auto"/>
          </w:tcPr>
          <w:p w:rsidR="00E231FE" w:rsidRPr="00EF6F07" w:rsidRDefault="00E231FE" w:rsidP="00A744CA">
            <w:pPr>
              <w:spacing w:after="0"/>
              <w:rPr>
                <w:sz w:val="18"/>
                <w:szCs w:val="18"/>
              </w:rPr>
            </w:pPr>
            <w:r w:rsidRPr="00EF6F07">
              <w:rPr>
                <w:sz w:val="18"/>
                <w:szCs w:val="18"/>
              </w:rPr>
              <w:t>Mateos Phillis, dgsiforco@siforco.com</w:t>
            </w:r>
          </w:p>
        </w:tc>
        <w:tc>
          <w:tcPr>
            <w:tcW w:w="4311" w:type="dxa"/>
            <w:shd w:val="clear" w:color="auto" w:fill="auto"/>
          </w:tcPr>
          <w:p w:rsidR="00E231FE" w:rsidRPr="00EF6F07" w:rsidRDefault="00E231FE" w:rsidP="00BA28E1">
            <w:pPr>
              <w:spacing w:after="0"/>
              <w:rPr>
                <w:i/>
                <w:color w:val="000000"/>
                <w:kern w:val="24"/>
                <w:sz w:val="18"/>
                <w:szCs w:val="18"/>
              </w:rPr>
            </w:pPr>
            <w:r w:rsidRPr="00EF6F07">
              <w:rPr>
                <w:i/>
                <w:color w:val="000000"/>
                <w:kern w:val="24"/>
                <w:sz w:val="18"/>
                <w:szCs w:val="18"/>
              </w:rPr>
              <w:t xml:space="preserve">Compagnie forestière </w:t>
            </w:r>
            <w:r w:rsidR="00BA28E1" w:rsidRPr="00EF6F07">
              <w:rPr>
                <w:i/>
                <w:color w:val="000000"/>
                <w:kern w:val="24"/>
                <w:sz w:val="18"/>
                <w:szCs w:val="18"/>
              </w:rPr>
              <w:t xml:space="preserve">exploitant </w:t>
            </w:r>
            <w:r w:rsidRPr="00EF6F07">
              <w:rPr>
                <w:i/>
                <w:color w:val="000000"/>
                <w:kern w:val="24"/>
                <w:sz w:val="18"/>
                <w:szCs w:val="18"/>
              </w:rPr>
              <w:t xml:space="preserve">une concession </w:t>
            </w:r>
            <w:r w:rsidR="00BA28E1" w:rsidRPr="00EF6F07">
              <w:rPr>
                <w:i/>
                <w:color w:val="000000"/>
                <w:kern w:val="24"/>
                <w:sz w:val="18"/>
                <w:szCs w:val="18"/>
              </w:rPr>
              <w:t>dans la Province du Mai-Ndombe</w:t>
            </w:r>
          </w:p>
        </w:tc>
      </w:tr>
      <w:tr w:rsidR="00E231FE" w:rsidRPr="00EF6F07" w:rsidTr="00A744CA">
        <w:trPr>
          <w:cantSplit/>
        </w:trPr>
        <w:tc>
          <w:tcPr>
            <w:tcW w:w="2268" w:type="dxa"/>
            <w:shd w:val="clear" w:color="auto" w:fill="auto"/>
          </w:tcPr>
          <w:p w:rsidR="00E231FE" w:rsidRPr="00EF6F07" w:rsidRDefault="00E231FE" w:rsidP="00A744CA">
            <w:pPr>
              <w:spacing w:after="0"/>
              <w:rPr>
                <w:color w:val="000000"/>
                <w:kern w:val="24"/>
                <w:sz w:val="18"/>
                <w:szCs w:val="18"/>
              </w:rPr>
            </w:pPr>
            <w:r w:rsidRPr="00EF6F07">
              <w:rPr>
                <w:color w:val="000000"/>
                <w:kern w:val="24"/>
                <w:sz w:val="18"/>
                <w:szCs w:val="18"/>
              </w:rPr>
              <w:t>Maison NBK</w:t>
            </w:r>
          </w:p>
        </w:tc>
        <w:tc>
          <w:tcPr>
            <w:tcW w:w="3026" w:type="dxa"/>
            <w:shd w:val="clear" w:color="auto" w:fill="auto"/>
          </w:tcPr>
          <w:p w:rsidR="00E231FE" w:rsidRPr="00EF6F07" w:rsidRDefault="00E231FE" w:rsidP="00A744CA">
            <w:pPr>
              <w:spacing w:after="0"/>
              <w:rPr>
                <w:sz w:val="18"/>
                <w:szCs w:val="18"/>
              </w:rPr>
            </w:pPr>
            <w:r w:rsidRPr="00EF6F07">
              <w:rPr>
                <w:sz w:val="18"/>
                <w:szCs w:val="18"/>
              </w:rPr>
              <w:t>Victor Ngla Mumume, victornbk@gmail.com</w:t>
            </w:r>
          </w:p>
        </w:tc>
        <w:tc>
          <w:tcPr>
            <w:tcW w:w="4311" w:type="dxa"/>
            <w:shd w:val="clear" w:color="auto" w:fill="auto"/>
          </w:tcPr>
          <w:p w:rsidR="00E231FE" w:rsidRPr="00EF6F07" w:rsidRDefault="00BA28E1" w:rsidP="00A744CA">
            <w:pPr>
              <w:spacing w:after="0"/>
              <w:rPr>
                <w:i/>
                <w:color w:val="000000"/>
                <w:kern w:val="24"/>
                <w:sz w:val="18"/>
                <w:szCs w:val="18"/>
              </w:rPr>
            </w:pPr>
            <w:r w:rsidRPr="00EF6F07">
              <w:rPr>
                <w:i/>
                <w:color w:val="000000"/>
                <w:kern w:val="24"/>
                <w:sz w:val="18"/>
                <w:szCs w:val="18"/>
              </w:rPr>
              <w:t>Compagnie forestière exploitant une concession dans la Province du Mai-Ndombe</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sz w:val="18"/>
                <w:szCs w:val="18"/>
              </w:rPr>
              <w:t>Confédération Nationale des Producteurs Agricoles du Congo (CONAPAC)</w:t>
            </w:r>
          </w:p>
        </w:tc>
        <w:tc>
          <w:tcPr>
            <w:tcW w:w="3026" w:type="dxa"/>
            <w:shd w:val="clear" w:color="auto" w:fill="auto"/>
          </w:tcPr>
          <w:p w:rsidR="00E231FE" w:rsidRPr="0003745E" w:rsidRDefault="00E231FE" w:rsidP="00880CD4">
            <w:pPr>
              <w:spacing w:after="0"/>
              <w:rPr>
                <w:sz w:val="18"/>
                <w:szCs w:val="18"/>
                <w:lang w:val="de-CH"/>
              </w:rPr>
            </w:pPr>
            <w:r w:rsidRPr="0003745E">
              <w:rPr>
                <w:sz w:val="18"/>
                <w:szCs w:val="18"/>
                <w:lang w:val="de-CH"/>
              </w:rPr>
              <w:t>Mutombo Simplice</w:t>
            </w:r>
          </w:p>
          <w:p w:rsidR="00E231FE" w:rsidRPr="0003745E" w:rsidRDefault="00E231FE" w:rsidP="00880CD4">
            <w:pPr>
              <w:spacing w:after="0"/>
              <w:rPr>
                <w:sz w:val="18"/>
                <w:szCs w:val="18"/>
                <w:lang w:val="de-CH"/>
              </w:rPr>
            </w:pPr>
            <w:r w:rsidRPr="0003745E">
              <w:rPr>
                <w:sz w:val="18"/>
                <w:szCs w:val="18"/>
                <w:lang w:val="de-CH"/>
              </w:rPr>
              <w:t>sarmutombo@hotmail.com</w:t>
            </w:r>
          </w:p>
        </w:tc>
        <w:tc>
          <w:tcPr>
            <w:tcW w:w="4311" w:type="dxa"/>
            <w:shd w:val="clear" w:color="auto" w:fill="auto"/>
          </w:tcPr>
          <w:p w:rsidR="00E231FE" w:rsidRPr="00EF6F07" w:rsidRDefault="00E231FE" w:rsidP="00A744CA">
            <w:pPr>
              <w:spacing w:after="0"/>
              <w:rPr>
                <w:rFonts w:eastAsia="ヒラギノ角ゴ Pro W3" w:cs="Calibri"/>
                <w:i/>
                <w:color w:val="000000"/>
                <w:kern w:val="24"/>
                <w:sz w:val="18"/>
                <w:szCs w:val="18"/>
              </w:rPr>
            </w:pPr>
            <w:r w:rsidRPr="00EF6F07">
              <w:rPr>
                <w:i/>
                <w:sz w:val="18"/>
                <w:szCs w:val="18"/>
              </w:rPr>
              <w:t>Réseau des producteurs agricoles au Congo</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color w:val="000000"/>
                <w:kern w:val="24"/>
                <w:sz w:val="18"/>
                <w:szCs w:val="18"/>
              </w:rPr>
              <w:t>SOGENAC</w:t>
            </w:r>
          </w:p>
        </w:tc>
        <w:tc>
          <w:tcPr>
            <w:tcW w:w="3026" w:type="dxa"/>
            <w:shd w:val="clear" w:color="auto" w:fill="auto"/>
          </w:tcPr>
          <w:p w:rsidR="00E231FE" w:rsidRPr="00EF6F07" w:rsidRDefault="00E231FE" w:rsidP="00A744CA">
            <w:pPr>
              <w:spacing w:after="0"/>
              <w:rPr>
                <w:sz w:val="18"/>
                <w:szCs w:val="18"/>
              </w:rPr>
            </w:pPr>
            <w:r w:rsidRPr="00EF6F07">
              <w:rPr>
                <w:sz w:val="18"/>
                <w:szCs w:val="18"/>
              </w:rPr>
              <w:t>Jean-Francois Van Braekel; vbk@vodanet.cd</w:t>
            </w:r>
          </w:p>
        </w:tc>
        <w:tc>
          <w:tcPr>
            <w:tcW w:w="4311" w:type="dxa"/>
            <w:shd w:val="clear" w:color="auto" w:fill="auto"/>
          </w:tcPr>
          <w:p w:rsidR="00E231FE" w:rsidRPr="00EF6F07" w:rsidRDefault="00E231FE" w:rsidP="00A744CA">
            <w:pPr>
              <w:spacing w:after="0"/>
              <w:rPr>
                <w:rFonts w:eastAsia="ヒラギノ角ゴ Pro W3" w:cs="Calibri"/>
                <w:i/>
                <w:color w:val="000000"/>
                <w:kern w:val="24"/>
                <w:sz w:val="18"/>
                <w:szCs w:val="18"/>
              </w:rPr>
            </w:pPr>
            <w:r w:rsidRPr="00EF6F07">
              <w:rPr>
                <w:i/>
                <w:color w:val="000000"/>
                <w:kern w:val="24"/>
                <w:sz w:val="18"/>
                <w:szCs w:val="18"/>
              </w:rPr>
              <w:t>Directeur d’une concession d’élevage à Bolobo et Mushie. Bénévole pour le développement des activités de protection de la savane et de la forêt au sein de cette concession.</w:t>
            </w:r>
          </w:p>
        </w:tc>
      </w:tr>
      <w:tr w:rsidR="00E231FE" w:rsidRPr="00EF6F07" w:rsidTr="00A744CA">
        <w:trPr>
          <w:cantSplit/>
        </w:trPr>
        <w:tc>
          <w:tcPr>
            <w:tcW w:w="2268" w:type="dxa"/>
            <w:shd w:val="clear" w:color="auto" w:fill="auto"/>
          </w:tcPr>
          <w:p w:rsidR="00E231FE" w:rsidRPr="00EF6F07" w:rsidRDefault="00E231FE" w:rsidP="00A744CA">
            <w:pPr>
              <w:spacing w:after="0"/>
              <w:rPr>
                <w:rFonts w:eastAsia="ヒラギノ角ゴ Pro W3" w:cs="Calibri"/>
                <w:color w:val="000000"/>
                <w:kern w:val="24"/>
                <w:sz w:val="18"/>
                <w:szCs w:val="18"/>
              </w:rPr>
            </w:pPr>
            <w:r w:rsidRPr="00EF6F07">
              <w:rPr>
                <w:sz w:val="18"/>
                <w:szCs w:val="18"/>
              </w:rPr>
              <w:lastRenderedPageBreak/>
              <w:t>Entreprise SOCALCO (Groupe Dewji International)</w:t>
            </w:r>
          </w:p>
        </w:tc>
        <w:tc>
          <w:tcPr>
            <w:tcW w:w="3026" w:type="dxa"/>
            <w:shd w:val="clear" w:color="auto" w:fill="auto"/>
          </w:tcPr>
          <w:p w:rsidR="00E231FE" w:rsidRPr="0003745E" w:rsidRDefault="00E231FE" w:rsidP="00A744CA">
            <w:pPr>
              <w:spacing w:after="0"/>
              <w:rPr>
                <w:sz w:val="18"/>
                <w:szCs w:val="18"/>
                <w:lang w:val="de-CH"/>
              </w:rPr>
            </w:pPr>
            <w:r w:rsidRPr="0003745E">
              <w:rPr>
                <w:sz w:val="18"/>
                <w:szCs w:val="18"/>
                <w:lang w:val="de-CH"/>
              </w:rPr>
              <w:t>Rizwan Dewji</w:t>
            </w:r>
          </w:p>
          <w:p w:rsidR="00E231FE" w:rsidRPr="0003745E" w:rsidRDefault="00E231FE" w:rsidP="00A744CA">
            <w:pPr>
              <w:spacing w:after="0"/>
              <w:rPr>
                <w:sz w:val="18"/>
                <w:szCs w:val="18"/>
                <w:lang w:val="de-CH"/>
              </w:rPr>
            </w:pPr>
            <w:r w:rsidRPr="0003745E">
              <w:rPr>
                <w:sz w:val="18"/>
                <w:szCs w:val="18"/>
                <w:lang w:val="de-CH"/>
              </w:rPr>
              <w:t>rdewji@dewjiintl.com</w:t>
            </w:r>
          </w:p>
        </w:tc>
        <w:tc>
          <w:tcPr>
            <w:tcW w:w="4311" w:type="dxa"/>
            <w:shd w:val="clear" w:color="auto" w:fill="auto"/>
          </w:tcPr>
          <w:p w:rsidR="00E231FE" w:rsidRPr="00EF6F07" w:rsidRDefault="00BA28E1" w:rsidP="00BA28E1">
            <w:pPr>
              <w:spacing w:after="0"/>
              <w:rPr>
                <w:rFonts w:eastAsia="ヒラギノ角ゴ Pro W3" w:cs="Calibri"/>
                <w:i/>
                <w:color w:val="000000"/>
                <w:kern w:val="24"/>
                <w:sz w:val="18"/>
                <w:szCs w:val="18"/>
              </w:rPr>
            </w:pPr>
            <w:r w:rsidRPr="00EF6F07">
              <w:rPr>
                <w:i/>
                <w:sz w:val="18"/>
                <w:szCs w:val="18"/>
              </w:rPr>
              <w:t xml:space="preserve">Entreprise fabriquant des </w:t>
            </w:r>
            <w:r w:rsidR="00E231FE" w:rsidRPr="00EF6F07">
              <w:rPr>
                <w:i/>
                <w:sz w:val="18"/>
                <w:szCs w:val="18"/>
              </w:rPr>
              <w:t xml:space="preserve">allumettes </w:t>
            </w:r>
            <w:r w:rsidRPr="00EF6F07">
              <w:rPr>
                <w:i/>
                <w:sz w:val="18"/>
                <w:szCs w:val="18"/>
              </w:rPr>
              <w:t xml:space="preserve">souhaitant </w:t>
            </w:r>
            <w:r w:rsidR="00E231FE" w:rsidRPr="00EF6F07">
              <w:rPr>
                <w:i/>
                <w:sz w:val="18"/>
                <w:szCs w:val="18"/>
              </w:rPr>
              <w:t xml:space="preserve">développer des opérations de reforestation agroforestière dans </w:t>
            </w:r>
            <w:r w:rsidRPr="00EF6F07">
              <w:rPr>
                <w:i/>
                <w:sz w:val="18"/>
                <w:szCs w:val="18"/>
              </w:rPr>
              <w:t>la province du Mai-Ndombe</w:t>
            </w:r>
          </w:p>
        </w:tc>
      </w:tr>
      <w:tr w:rsidR="00E231FE" w:rsidRPr="00EF6F07" w:rsidTr="00A744CA">
        <w:trPr>
          <w:cantSplit/>
        </w:trPr>
        <w:tc>
          <w:tcPr>
            <w:tcW w:w="2268" w:type="dxa"/>
            <w:shd w:val="clear" w:color="auto" w:fill="auto"/>
          </w:tcPr>
          <w:p w:rsidR="00E231FE" w:rsidRPr="00EF6F07" w:rsidRDefault="00E231FE" w:rsidP="00A744CA">
            <w:pPr>
              <w:spacing w:after="0"/>
              <w:rPr>
                <w:sz w:val="18"/>
                <w:szCs w:val="18"/>
              </w:rPr>
            </w:pPr>
            <w:r w:rsidRPr="00EF6F07">
              <w:rPr>
                <w:sz w:val="18"/>
                <w:szCs w:val="18"/>
              </w:rPr>
              <w:t>PERMIAN Global</w:t>
            </w:r>
          </w:p>
        </w:tc>
        <w:tc>
          <w:tcPr>
            <w:tcW w:w="3026" w:type="dxa"/>
            <w:shd w:val="clear" w:color="auto" w:fill="auto"/>
          </w:tcPr>
          <w:p w:rsidR="00E231FE" w:rsidRPr="0003745E" w:rsidRDefault="00E231FE" w:rsidP="00A744CA">
            <w:pPr>
              <w:spacing w:after="0"/>
              <w:rPr>
                <w:sz w:val="18"/>
                <w:szCs w:val="18"/>
                <w:lang w:val="de-CH"/>
              </w:rPr>
            </w:pPr>
            <w:r w:rsidRPr="0003745E">
              <w:rPr>
                <w:sz w:val="18"/>
                <w:szCs w:val="18"/>
                <w:lang w:val="de-CH"/>
              </w:rPr>
              <w:t>Peter Carr</w:t>
            </w:r>
          </w:p>
          <w:p w:rsidR="00E231FE" w:rsidRPr="0003745E" w:rsidRDefault="00E231FE" w:rsidP="00A744CA">
            <w:pPr>
              <w:spacing w:after="0"/>
              <w:rPr>
                <w:sz w:val="18"/>
                <w:szCs w:val="18"/>
                <w:lang w:val="de-CH"/>
              </w:rPr>
            </w:pPr>
            <w:r w:rsidRPr="0003745E">
              <w:rPr>
                <w:sz w:val="18"/>
                <w:szCs w:val="18"/>
                <w:lang w:val="de-CH"/>
              </w:rPr>
              <w:t>peter.carr@permianglobal.com</w:t>
            </w:r>
          </w:p>
        </w:tc>
        <w:tc>
          <w:tcPr>
            <w:tcW w:w="4311" w:type="dxa"/>
            <w:shd w:val="clear" w:color="auto" w:fill="auto"/>
          </w:tcPr>
          <w:p w:rsidR="00E231FE" w:rsidRPr="00EF6F07" w:rsidRDefault="00E231FE" w:rsidP="00A744CA">
            <w:pPr>
              <w:spacing w:after="0"/>
              <w:rPr>
                <w:i/>
                <w:sz w:val="18"/>
                <w:szCs w:val="18"/>
              </w:rPr>
            </w:pPr>
            <w:r w:rsidRPr="00EF6F07">
              <w:rPr>
                <w:i/>
                <w:sz w:val="18"/>
                <w:szCs w:val="18"/>
              </w:rPr>
              <w:t xml:space="preserve">Accompagnement aux programmes de conservation axés sur la performance carbone à travers des concessions de conservation existantes et facilitation à la création de nouvelles concessions de conservation. </w:t>
            </w:r>
          </w:p>
        </w:tc>
      </w:tr>
    </w:tbl>
    <w:p w:rsidR="0013505A" w:rsidRDefault="0013505A" w:rsidP="0038513C">
      <w:pPr>
        <w:spacing w:after="0"/>
        <w:contextualSpacing/>
        <w:jc w:val="both"/>
        <w:rPr>
          <w:color w:val="2E74B5" w:themeColor="accent1" w:themeShade="BF"/>
          <w:sz w:val="24"/>
          <w:szCs w:val="24"/>
        </w:rPr>
      </w:pPr>
    </w:p>
    <w:p w:rsidR="00E83375" w:rsidRPr="00ED7298" w:rsidRDefault="005F3E2D" w:rsidP="00ED7298">
      <w:pPr>
        <w:spacing w:after="0"/>
        <w:contextualSpacing/>
        <w:jc w:val="both"/>
        <w:rPr>
          <w:color w:val="2E74B5" w:themeColor="accent1" w:themeShade="BF"/>
          <w:sz w:val="24"/>
          <w:szCs w:val="24"/>
        </w:rPr>
      </w:pPr>
      <w:r w:rsidRPr="00ED7298">
        <w:rPr>
          <w:color w:val="2E74B5" w:themeColor="accent1" w:themeShade="BF"/>
          <w:sz w:val="24"/>
          <w:szCs w:val="24"/>
        </w:rPr>
        <w:t>E</w:t>
      </w:r>
      <w:r w:rsidR="009B30E2" w:rsidRPr="00ED7298">
        <w:rPr>
          <w:color w:val="2E74B5" w:themeColor="accent1" w:themeShade="BF"/>
          <w:sz w:val="24"/>
          <w:szCs w:val="24"/>
        </w:rPr>
        <w:t xml:space="preserve">nseignements </w:t>
      </w:r>
      <w:r w:rsidR="00CE3050" w:rsidRPr="00ED7298">
        <w:rPr>
          <w:color w:val="2E74B5" w:themeColor="accent1" w:themeShade="BF"/>
          <w:sz w:val="24"/>
          <w:szCs w:val="24"/>
        </w:rPr>
        <w:t>retirés</w:t>
      </w:r>
    </w:p>
    <w:p w:rsidR="00B66A8F" w:rsidRPr="00E83375" w:rsidRDefault="00B66A8F" w:rsidP="00D33E12">
      <w:pPr>
        <w:spacing w:after="0"/>
        <w:contextualSpacing/>
        <w:jc w:val="both"/>
        <w:rPr>
          <w:bCs/>
          <w:color w:val="000000"/>
          <w:sz w:val="20"/>
          <w:szCs w:val="20"/>
        </w:rPr>
      </w:pPr>
    </w:p>
    <w:p w:rsidR="00E86F06" w:rsidRPr="00E86F06" w:rsidRDefault="00E86F06" w:rsidP="00E86F06">
      <w:pPr>
        <w:jc w:val="both"/>
        <w:rPr>
          <w:sz w:val="20"/>
        </w:rPr>
      </w:pPr>
      <w:r>
        <w:rPr>
          <w:sz w:val="20"/>
        </w:rPr>
        <w:t>Le projet tiendra</w:t>
      </w:r>
      <w:r w:rsidRPr="00E86F06">
        <w:rPr>
          <w:sz w:val="20"/>
        </w:rPr>
        <w:t xml:space="preserve"> compte des leçons apprises d’autres opérations conduites en République Démocratique du Congo, dans un contexte post conflit, dans les domaines de la foresterie et de la protection des ressources naturelles en Afrique, ainsi que, plus généralement, des programmes de renforcement des capacités. Les leçons les plus importantes retenues dans ce domaine sont les suivantes :</w:t>
      </w:r>
    </w:p>
    <w:p w:rsidR="00E86F06" w:rsidRPr="00E86F06" w:rsidRDefault="00E86F06" w:rsidP="002E3A02">
      <w:pPr>
        <w:pStyle w:val="ListParagraph"/>
        <w:numPr>
          <w:ilvl w:val="0"/>
          <w:numId w:val="8"/>
        </w:numPr>
        <w:spacing w:after="120"/>
        <w:jc w:val="both"/>
        <w:rPr>
          <w:rFonts w:asciiTheme="minorHAnsi" w:eastAsiaTheme="minorEastAsia" w:hAnsiTheme="minorHAnsi" w:cstheme="minorBidi"/>
          <w:sz w:val="20"/>
          <w:szCs w:val="22"/>
        </w:rPr>
      </w:pPr>
      <w:r w:rsidRPr="00E86F06">
        <w:rPr>
          <w:rFonts w:asciiTheme="minorHAnsi" w:eastAsiaTheme="minorEastAsia" w:hAnsiTheme="minorHAnsi" w:cstheme="minorBidi"/>
          <w:sz w:val="20"/>
          <w:szCs w:val="22"/>
        </w:rPr>
        <w:t>Prendre en compte les capacités opérationnelles réelles des agences gouvernementales est d’importance particulière dans les pays post conflit: la conception du projet incorpore des mandats de mise en œuvre avec des opérateurs non gouvernementaux, afin d’obtenir des résultats rapides sur le terrain, tout en investissant dans le renforcement des capacités des services gouvernementaux aux niveaux national, provincial et local, afin qu’ils acquièrent progressivement la capacité de devenir  opérationnels,</w:t>
      </w:r>
    </w:p>
    <w:p w:rsidR="00E86F06" w:rsidRPr="00E86F06" w:rsidRDefault="00E86F06" w:rsidP="002E3A02">
      <w:pPr>
        <w:pStyle w:val="ListParagraph"/>
        <w:numPr>
          <w:ilvl w:val="0"/>
          <w:numId w:val="8"/>
        </w:numPr>
        <w:spacing w:after="120"/>
        <w:jc w:val="both"/>
        <w:rPr>
          <w:rFonts w:asciiTheme="minorHAnsi" w:eastAsiaTheme="minorEastAsia" w:hAnsiTheme="minorHAnsi" w:cstheme="minorBidi"/>
          <w:sz w:val="20"/>
          <w:szCs w:val="22"/>
        </w:rPr>
      </w:pPr>
      <w:r w:rsidRPr="00E86F06">
        <w:rPr>
          <w:rFonts w:asciiTheme="minorHAnsi" w:eastAsiaTheme="minorEastAsia" w:hAnsiTheme="minorHAnsi" w:cstheme="minorBidi"/>
          <w:sz w:val="20"/>
          <w:szCs w:val="22"/>
        </w:rPr>
        <w:t xml:space="preserve">Prendre appui sur les fonctions régaliennes du gouvernement, en reconnaissant que le renforcement des capacités est un processus à long terme. C’est ainsi que la gestion du projet sera confiée à l’Unité de Coordination du Projet d’Investissement Forestier (UC-PIF) déjà impliquée dans la zone </w:t>
      </w:r>
      <w:r w:rsidR="006F38C5">
        <w:rPr>
          <w:rFonts w:asciiTheme="minorHAnsi" w:eastAsiaTheme="minorEastAsia" w:hAnsiTheme="minorHAnsi" w:cstheme="minorBidi"/>
          <w:sz w:val="20"/>
          <w:szCs w:val="22"/>
        </w:rPr>
        <w:t xml:space="preserve">du </w:t>
      </w:r>
      <w:r w:rsidRPr="00E86F06">
        <w:rPr>
          <w:rFonts w:asciiTheme="minorHAnsi" w:eastAsiaTheme="minorEastAsia" w:hAnsiTheme="minorHAnsi" w:cstheme="minorBidi"/>
          <w:sz w:val="20"/>
          <w:szCs w:val="22"/>
        </w:rPr>
        <w:t>projet (PIREDD Plateau) tout en sachant qu’elle bénéficie déjà de la part du PGAPF (Projet de Gestion Améliorée des Paysages Forestiers de la RDC ) d’une assistance technique dans les domaines de la passation de marché, de la gestion financière et d’un dispositif de suivi-évaluation basé sur les résultats. Ces fonctions sont un prérequis pour que le projet accomplisse sa mission dans la transparence,</w:t>
      </w:r>
    </w:p>
    <w:p w:rsidR="00E86F06" w:rsidRPr="00E86F06" w:rsidRDefault="00E86F06" w:rsidP="002E3A02">
      <w:pPr>
        <w:pStyle w:val="ListParagraph"/>
        <w:numPr>
          <w:ilvl w:val="0"/>
          <w:numId w:val="8"/>
        </w:numPr>
        <w:spacing w:after="120"/>
        <w:jc w:val="both"/>
        <w:rPr>
          <w:rFonts w:asciiTheme="minorHAnsi" w:eastAsiaTheme="minorEastAsia" w:hAnsiTheme="minorHAnsi" w:cstheme="minorBidi"/>
          <w:sz w:val="20"/>
          <w:szCs w:val="22"/>
        </w:rPr>
      </w:pPr>
      <w:r w:rsidRPr="00E86F06">
        <w:rPr>
          <w:rFonts w:asciiTheme="minorHAnsi" w:eastAsiaTheme="minorEastAsia" w:hAnsiTheme="minorHAnsi" w:cstheme="minorBidi"/>
          <w:sz w:val="20"/>
          <w:szCs w:val="22"/>
        </w:rPr>
        <w:t>Construire sur l’engagement soutenu du gouvernement. Le projet est en ligne avec la stratégie gouvernementale d’amélioration de la gouvernance des ressources naturelles et la génération de revenus, dans la mesure où les forêts ont été identifiées comme un secteur stratégique clé. Il est également aligné sur le PIREDD Plateau auquel il donne de l’ampleur dans l’ensemble de la zone du Programme RE. Il est enfin directement en phase avec le programme de préparation à la REDD+ financé par le Fonds de Partenariat pour le Carbone Forestier (FCPF) et le Programme National d’Investissement susceptible d’être mis en œuvre par le Fonds National REDD+ sur financement norvégien,</w:t>
      </w:r>
    </w:p>
    <w:p w:rsidR="00E86F06" w:rsidRPr="00E86F06" w:rsidRDefault="00E86F06" w:rsidP="002E3A02">
      <w:pPr>
        <w:pStyle w:val="ListParagraph"/>
        <w:numPr>
          <w:ilvl w:val="0"/>
          <w:numId w:val="8"/>
        </w:numPr>
        <w:spacing w:after="120"/>
        <w:jc w:val="both"/>
        <w:rPr>
          <w:rFonts w:asciiTheme="minorHAnsi" w:eastAsiaTheme="minorEastAsia" w:hAnsiTheme="minorHAnsi" w:cstheme="minorBidi"/>
          <w:sz w:val="20"/>
          <w:szCs w:val="22"/>
        </w:rPr>
      </w:pPr>
      <w:r w:rsidRPr="00E86F06">
        <w:rPr>
          <w:rFonts w:asciiTheme="minorHAnsi" w:eastAsiaTheme="minorEastAsia" w:hAnsiTheme="minorHAnsi" w:cstheme="minorBidi"/>
          <w:sz w:val="20"/>
          <w:szCs w:val="22"/>
        </w:rPr>
        <w:t>Utiliser des indicateurs réalistes et simples. Pour ce projet, la plupart des indicateurs pourront être suivis à partir de systèmes d’information existants, et sur les capacités gouvernementales, en particulier la Direction de l’Inventaire et des Aménagements Forestiers (DIAF) du Ministère de l’Environnement et Développement Durable,</w:t>
      </w:r>
    </w:p>
    <w:p w:rsidR="00E86F06" w:rsidRPr="00E86F06" w:rsidRDefault="00E86F06" w:rsidP="002E3A02">
      <w:pPr>
        <w:pStyle w:val="ListParagraph"/>
        <w:numPr>
          <w:ilvl w:val="0"/>
          <w:numId w:val="8"/>
        </w:numPr>
        <w:spacing w:after="120"/>
        <w:jc w:val="both"/>
        <w:rPr>
          <w:rFonts w:asciiTheme="minorHAnsi" w:eastAsiaTheme="minorEastAsia" w:hAnsiTheme="minorHAnsi" w:cstheme="minorBidi"/>
          <w:sz w:val="20"/>
          <w:szCs w:val="22"/>
        </w:rPr>
      </w:pPr>
      <w:r w:rsidRPr="00E86F06">
        <w:rPr>
          <w:rFonts w:asciiTheme="minorHAnsi" w:eastAsiaTheme="minorEastAsia" w:hAnsiTheme="minorHAnsi" w:cstheme="minorBidi"/>
          <w:sz w:val="20"/>
          <w:szCs w:val="22"/>
        </w:rPr>
        <w:t>Orienter les activités vers des bénéfices locaux directs, au lieu de cibler des bénéfices publics globaux comme la conservation des forêts et la séquestration du carbone. Tout en contribuant aux services environnementaux globaux, le présent projet vise des incitations et des bénéfices socio-économiques à court terme, qui garantiront la durabilité des résultats du projet dans le long terme,</w:t>
      </w:r>
    </w:p>
    <w:p w:rsidR="00F5585E" w:rsidRDefault="00E86F06" w:rsidP="002E3A02">
      <w:pPr>
        <w:pStyle w:val="ListParagraph"/>
        <w:numPr>
          <w:ilvl w:val="0"/>
          <w:numId w:val="8"/>
        </w:numPr>
        <w:jc w:val="both"/>
        <w:rPr>
          <w:rFonts w:asciiTheme="minorHAnsi" w:eastAsiaTheme="minorEastAsia" w:hAnsiTheme="minorHAnsi" w:cstheme="minorBidi"/>
          <w:sz w:val="20"/>
          <w:szCs w:val="22"/>
        </w:rPr>
      </w:pPr>
      <w:r w:rsidRPr="00E86F06">
        <w:rPr>
          <w:rFonts w:asciiTheme="minorHAnsi" w:eastAsiaTheme="minorEastAsia" w:hAnsiTheme="minorHAnsi" w:cstheme="minorBidi"/>
          <w:sz w:val="20"/>
          <w:szCs w:val="22"/>
        </w:rPr>
        <w:t>Promouvoir la complémentarité et la coopération avec d’autre</w:t>
      </w:r>
      <w:r w:rsidR="006F38C5">
        <w:rPr>
          <w:rFonts w:asciiTheme="minorHAnsi" w:eastAsiaTheme="minorEastAsia" w:hAnsiTheme="minorHAnsi" w:cstheme="minorBidi"/>
          <w:sz w:val="20"/>
          <w:szCs w:val="22"/>
        </w:rPr>
        <w:t>s partenaires au développement.</w:t>
      </w:r>
    </w:p>
    <w:p w:rsidR="00E057A3" w:rsidRPr="00E057A3" w:rsidRDefault="00E057A3" w:rsidP="00E057A3">
      <w:pPr>
        <w:ind w:left="360"/>
        <w:jc w:val="both"/>
        <w:rPr>
          <w:sz w:val="20"/>
        </w:rPr>
      </w:pPr>
    </w:p>
    <w:p w:rsidR="009B30E2" w:rsidRPr="006F38C5" w:rsidRDefault="005F3E2D" w:rsidP="00D33E12">
      <w:pPr>
        <w:spacing w:after="0"/>
        <w:contextualSpacing/>
        <w:jc w:val="both"/>
        <w:rPr>
          <w:color w:val="2E74B5" w:themeColor="accent1" w:themeShade="BF"/>
          <w:sz w:val="24"/>
          <w:szCs w:val="24"/>
        </w:rPr>
      </w:pPr>
      <w:r w:rsidRPr="006F38C5">
        <w:rPr>
          <w:color w:val="2E74B5" w:themeColor="accent1" w:themeShade="BF"/>
          <w:sz w:val="24"/>
          <w:szCs w:val="24"/>
        </w:rPr>
        <w:t>Ex</w:t>
      </w:r>
      <w:r w:rsidR="009B30E2" w:rsidRPr="006F38C5">
        <w:rPr>
          <w:color w:val="2E74B5" w:themeColor="accent1" w:themeShade="BF"/>
          <w:sz w:val="24"/>
          <w:szCs w:val="24"/>
        </w:rPr>
        <w:t xml:space="preserve">périence utile de la/des Organisations Participantes </w:t>
      </w:r>
    </w:p>
    <w:p w:rsidR="00E83375" w:rsidRDefault="00E83375" w:rsidP="00E83375">
      <w:pPr>
        <w:contextualSpacing/>
        <w:jc w:val="both"/>
        <w:rPr>
          <w:rFonts w:eastAsiaTheme="minorHAnsi"/>
          <w:bCs/>
          <w:color w:val="000000"/>
          <w:sz w:val="20"/>
          <w:szCs w:val="20"/>
          <w:lang w:eastAsia="en-US"/>
        </w:rPr>
      </w:pPr>
    </w:p>
    <w:p w:rsidR="00E83375" w:rsidRDefault="002C24ED" w:rsidP="00E83375">
      <w:pPr>
        <w:contextualSpacing/>
        <w:jc w:val="both"/>
        <w:rPr>
          <w:rFonts w:eastAsiaTheme="minorHAnsi"/>
          <w:bCs/>
          <w:color w:val="000000"/>
          <w:sz w:val="20"/>
          <w:szCs w:val="20"/>
          <w:lang w:eastAsia="en-US"/>
        </w:rPr>
      </w:pPr>
      <w:r>
        <w:rPr>
          <w:rFonts w:eastAsiaTheme="minorHAnsi"/>
          <w:bCs/>
          <w:color w:val="000000"/>
          <w:sz w:val="20"/>
          <w:szCs w:val="20"/>
          <w:lang w:eastAsia="en-US"/>
        </w:rPr>
        <w:t>Forts de l’expérience du PIREDD Plateau, il a été décidé de ne retenir qu’une seule Organisation Participante pour la mise en œuvre du PIREDD Mai-Ndombe. Elle agira</w:t>
      </w:r>
      <w:r w:rsidR="001D0E78">
        <w:rPr>
          <w:rFonts w:eastAsiaTheme="minorHAnsi"/>
          <w:bCs/>
          <w:color w:val="000000"/>
          <w:sz w:val="20"/>
          <w:szCs w:val="20"/>
          <w:lang w:eastAsia="en-US"/>
        </w:rPr>
        <w:t xml:space="preserve"> comme maitre d’ouvrage délégué</w:t>
      </w:r>
      <w:r>
        <w:rPr>
          <w:rFonts w:eastAsiaTheme="minorHAnsi"/>
          <w:bCs/>
          <w:color w:val="000000"/>
          <w:sz w:val="20"/>
          <w:szCs w:val="20"/>
          <w:lang w:eastAsia="en-US"/>
        </w:rPr>
        <w:t xml:space="preserve"> et sera sélectionné</w:t>
      </w:r>
      <w:r w:rsidR="00D55E7F">
        <w:rPr>
          <w:rFonts w:eastAsiaTheme="minorHAnsi"/>
          <w:bCs/>
          <w:color w:val="000000"/>
          <w:sz w:val="20"/>
          <w:szCs w:val="20"/>
          <w:lang w:eastAsia="en-US"/>
        </w:rPr>
        <w:t>e</w:t>
      </w:r>
      <w:r>
        <w:rPr>
          <w:rFonts w:eastAsiaTheme="minorHAnsi"/>
          <w:bCs/>
          <w:color w:val="000000"/>
          <w:sz w:val="20"/>
          <w:szCs w:val="20"/>
          <w:lang w:eastAsia="en-US"/>
        </w:rPr>
        <w:t xml:space="preserve"> par  appel d’offres international. Il s’agira d’une société internationale ou </w:t>
      </w:r>
      <w:r w:rsidR="00E31F93">
        <w:rPr>
          <w:rFonts w:eastAsiaTheme="minorHAnsi"/>
          <w:bCs/>
          <w:color w:val="000000"/>
          <w:sz w:val="20"/>
          <w:szCs w:val="20"/>
          <w:lang w:eastAsia="en-US"/>
        </w:rPr>
        <w:t>d’un consortium, et</w:t>
      </w:r>
      <w:r>
        <w:rPr>
          <w:rFonts w:eastAsiaTheme="minorHAnsi"/>
          <w:bCs/>
          <w:color w:val="000000"/>
          <w:sz w:val="20"/>
          <w:szCs w:val="20"/>
          <w:lang w:eastAsia="en-US"/>
        </w:rPr>
        <w:t xml:space="preserve"> devra avoir fait ses preuves dans les </w:t>
      </w:r>
      <w:r>
        <w:rPr>
          <w:rFonts w:eastAsiaTheme="minorHAnsi"/>
          <w:bCs/>
          <w:color w:val="000000"/>
          <w:sz w:val="20"/>
          <w:szCs w:val="20"/>
          <w:lang w:eastAsia="en-US"/>
        </w:rPr>
        <w:lastRenderedPageBreak/>
        <w:t>domaines de gestion de projet,</w:t>
      </w:r>
      <w:r w:rsidR="00E31F93">
        <w:rPr>
          <w:rFonts w:eastAsiaTheme="minorHAnsi"/>
          <w:bCs/>
          <w:color w:val="000000"/>
          <w:sz w:val="20"/>
          <w:szCs w:val="20"/>
          <w:lang w:eastAsia="en-US"/>
        </w:rPr>
        <w:t xml:space="preserve"> du suivi-</w:t>
      </w:r>
      <w:r w:rsidR="00D55E7F">
        <w:rPr>
          <w:rFonts w:eastAsiaTheme="minorHAnsi"/>
          <w:bCs/>
          <w:color w:val="000000"/>
          <w:sz w:val="20"/>
          <w:szCs w:val="20"/>
          <w:lang w:eastAsia="en-US"/>
        </w:rPr>
        <w:t>évaluation</w:t>
      </w:r>
      <w:r w:rsidR="00E31F93">
        <w:rPr>
          <w:rFonts w:eastAsiaTheme="minorHAnsi"/>
          <w:bCs/>
          <w:color w:val="000000"/>
          <w:sz w:val="20"/>
          <w:szCs w:val="20"/>
          <w:lang w:eastAsia="en-US"/>
        </w:rPr>
        <w:t>,</w:t>
      </w:r>
      <w:r>
        <w:rPr>
          <w:rFonts w:eastAsiaTheme="minorHAnsi"/>
          <w:bCs/>
          <w:color w:val="000000"/>
          <w:sz w:val="20"/>
          <w:szCs w:val="20"/>
          <w:lang w:eastAsia="en-US"/>
        </w:rPr>
        <w:t xml:space="preserve"> de l’aménagement participatif des territoires, de l’agroforesterie, de la gestion forestière, de la conservation de la nature, et de la formation professionnelle.</w:t>
      </w:r>
      <w:r w:rsidR="00E31F93">
        <w:rPr>
          <w:rFonts w:eastAsiaTheme="minorHAnsi"/>
          <w:bCs/>
          <w:color w:val="000000"/>
          <w:sz w:val="20"/>
          <w:szCs w:val="20"/>
          <w:lang w:eastAsia="en-US"/>
        </w:rPr>
        <w:t xml:space="preserve"> Ses aptitudes à la bonne gestion fiduciaire des montants délégués seront primordiales.</w:t>
      </w:r>
    </w:p>
    <w:p w:rsidR="002C24ED" w:rsidRDefault="002C24ED" w:rsidP="00E83375">
      <w:pPr>
        <w:contextualSpacing/>
        <w:jc w:val="both"/>
        <w:rPr>
          <w:rFonts w:eastAsiaTheme="minorHAnsi"/>
          <w:bCs/>
          <w:color w:val="000000"/>
          <w:sz w:val="20"/>
          <w:szCs w:val="20"/>
          <w:lang w:eastAsia="en-US"/>
        </w:rPr>
      </w:pPr>
    </w:p>
    <w:p w:rsidR="00D55E7F" w:rsidRDefault="00D55E7F" w:rsidP="00E83375">
      <w:pPr>
        <w:contextualSpacing/>
        <w:jc w:val="both"/>
        <w:rPr>
          <w:rFonts w:eastAsiaTheme="minorHAnsi"/>
          <w:bCs/>
          <w:color w:val="000000"/>
          <w:sz w:val="20"/>
          <w:szCs w:val="20"/>
          <w:lang w:eastAsia="en-US"/>
        </w:rPr>
      </w:pPr>
      <w:r>
        <w:rPr>
          <w:rFonts w:eastAsiaTheme="minorHAnsi"/>
          <w:bCs/>
          <w:color w:val="000000"/>
          <w:sz w:val="20"/>
          <w:szCs w:val="20"/>
          <w:lang w:eastAsia="en-US"/>
        </w:rPr>
        <w:t>Dans le corps du texte ci-dessous, cette entité est appelée AGENCE D’EXECUTION LOCALE (ALE) du Programme.</w:t>
      </w:r>
      <w:r w:rsidR="00732E44" w:rsidRPr="00732E44">
        <w:rPr>
          <w:rFonts w:eastAsiaTheme="minorHAnsi"/>
          <w:bCs/>
          <w:color w:val="000000"/>
          <w:sz w:val="20"/>
          <w:szCs w:val="20"/>
          <w:lang w:eastAsia="en-US"/>
        </w:rPr>
        <w:t xml:space="preserve"> </w:t>
      </w:r>
      <w:r w:rsidR="00732E44">
        <w:rPr>
          <w:rFonts w:eastAsiaTheme="minorHAnsi"/>
          <w:bCs/>
          <w:color w:val="000000"/>
          <w:sz w:val="20"/>
          <w:szCs w:val="20"/>
          <w:lang w:eastAsia="en-US"/>
        </w:rPr>
        <w:t>Les t</w:t>
      </w:r>
      <w:r w:rsidR="00732E44" w:rsidRPr="00732E44">
        <w:rPr>
          <w:rFonts w:eastAsiaTheme="minorHAnsi"/>
          <w:bCs/>
          <w:color w:val="000000"/>
          <w:sz w:val="20"/>
          <w:szCs w:val="20"/>
          <w:lang w:eastAsia="en-US"/>
        </w:rPr>
        <w:t xml:space="preserve">ermes de référence pour le recrutement </w:t>
      </w:r>
      <w:r w:rsidR="00732E44">
        <w:rPr>
          <w:rFonts w:eastAsiaTheme="minorHAnsi"/>
          <w:bCs/>
          <w:color w:val="000000"/>
          <w:sz w:val="20"/>
          <w:szCs w:val="20"/>
          <w:lang w:eastAsia="en-US"/>
        </w:rPr>
        <w:t>de l’ALE</w:t>
      </w:r>
      <w:r w:rsidR="00732E44" w:rsidRPr="00732E44">
        <w:rPr>
          <w:rFonts w:eastAsiaTheme="minorHAnsi"/>
          <w:bCs/>
          <w:color w:val="000000"/>
          <w:sz w:val="20"/>
          <w:szCs w:val="20"/>
          <w:lang w:eastAsia="en-US"/>
        </w:rPr>
        <w:t xml:space="preserve"> </w:t>
      </w:r>
      <w:r w:rsidR="00732E44">
        <w:rPr>
          <w:rFonts w:eastAsiaTheme="minorHAnsi"/>
          <w:bCs/>
          <w:color w:val="000000"/>
          <w:sz w:val="20"/>
          <w:szCs w:val="20"/>
          <w:lang w:eastAsia="en-US"/>
        </w:rPr>
        <w:t>sont présentés en Annexe 2.</w:t>
      </w:r>
    </w:p>
    <w:p w:rsidR="00D55E7F" w:rsidRDefault="00D55E7F" w:rsidP="00E83375">
      <w:pPr>
        <w:contextualSpacing/>
        <w:jc w:val="both"/>
        <w:rPr>
          <w:rFonts w:eastAsiaTheme="minorHAnsi"/>
          <w:bCs/>
          <w:color w:val="000000"/>
          <w:sz w:val="20"/>
          <w:szCs w:val="20"/>
          <w:lang w:eastAsia="en-US"/>
        </w:rPr>
      </w:pPr>
    </w:p>
    <w:p w:rsidR="00E83375" w:rsidRPr="00E31F93" w:rsidRDefault="002C24ED" w:rsidP="00D33E12">
      <w:pPr>
        <w:spacing w:after="0"/>
        <w:contextualSpacing/>
        <w:jc w:val="both"/>
        <w:rPr>
          <w:rFonts w:eastAsiaTheme="minorHAnsi"/>
          <w:bCs/>
          <w:color w:val="000000"/>
          <w:sz w:val="20"/>
          <w:szCs w:val="20"/>
          <w:lang w:eastAsia="en-US"/>
        </w:rPr>
      </w:pPr>
      <w:r>
        <w:rPr>
          <w:rFonts w:eastAsiaTheme="minorHAnsi"/>
          <w:bCs/>
          <w:color w:val="000000"/>
          <w:sz w:val="20"/>
          <w:szCs w:val="20"/>
          <w:lang w:eastAsia="en-US"/>
        </w:rPr>
        <w:t>L’UC-PIF assurera la supervision étroite des activités</w:t>
      </w:r>
      <w:r w:rsidR="00E31F93">
        <w:rPr>
          <w:rFonts w:eastAsiaTheme="minorHAnsi"/>
          <w:bCs/>
          <w:color w:val="000000"/>
          <w:sz w:val="20"/>
          <w:szCs w:val="20"/>
          <w:lang w:eastAsia="en-US"/>
        </w:rPr>
        <w:t xml:space="preserve"> en assumant les fonctions régaliennes de l’Etat dans ce domaine.</w:t>
      </w:r>
    </w:p>
    <w:p w:rsidR="00970C57" w:rsidRDefault="009B30E2" w:rsidP="00D33E12">
      <w:pPr>
        <w:pStyle w:val="Heading1"/>
        <w:ind w:left="360"/>
      </w:pPr>
      <w:bookmarkStart w:id="5" w:name="_Toc469036925"/>
      <w:r w:rsidRPr="00401544">
        <w:t>Objectifs général et spécifique et Stratégie d’intervention</w:t>
      </w:r>
      <w:bookmarkEnd w:id="5"/>
    </w:p>
    <w:p w:rsidR="002C24ED" w:rsidRPr="002C24ED" w:rsidRDefault="002C24ED" w:rsidP="00D33E12">
      <w:pPr>
        <w:spacing w:after="0"/>
      </w:pPr>
    </w:p>
    <w:p w:rsidR="00786D1B" w:rsidRPr="00786D1B" w:rsidRDefault="00786D1B" w:rsidP="00786D1B">
      <w:pPr>
        <w:jc w:val="both"/>
        <w:rPr>
          <w:sz w:val="20"/>
          <w:lang w:eastAsia="en-US"/>
        </w:rPr>
      </w:pPr>
      <w:r w:rsidRPr="00786D1B">
        <w:rPr>
          <w:sz w:val="20"/>
          <w:lang w:eastAsia="en-US"/>
        </w:rPr>
        <w:t xml:space="preserve">Le </w:t>
      </w:r>
      <w:r w:rsidR="00647F3B">
        <w:rPr>
          <w:sz w:val="20"/>
          <w:lang w:eastAsia="en-US"/>
        </w:rPr>
        <w:t>PIREDD</w:t>
      </w:r>
      <w:r w:rsidR="00E31F93">
        <w:rPr>
          <w:sz w:val="20"/>
          <w:lang w:eastAsia="en-US"/>
        </w:rPr>
        <w:t xml:space="preserve"> Mai-Ndombe, tel que</w:t>
      </w:r>
      <w:r w:rsidR="00647F3B">
        <w:rPr>
          <w:sz w:val="20"/>
          <w:lang w:eastAsia="en-US"/>
        </w:rPr>
        <w:t xml:space="preserve"> proposé</w:t>
      </w:r>
      <w:r w:rsidR="00E31F93">
        <w:rPr>
          <w:sz w:val="20"/>
          <w:lang w:eastAsia="en-US"/>
        </w:rPr>
        <w:t>,</w:t>
      </w:r>
      <w:r w:rsidR="00647F3B">
        <w:rPr>
          <w:sz w:val="20"/>
          <w:lang w:eastAsia="en-US"/>
        </w:rPr>
        <w:t xml:space="preserve"> </w:t>
      </w:r>
      <w:r w:rsidRPr="00786D1B">
        <w:rPr>
          <w:sz w:val="20"/>
          <w:lang w:eastAsia="en-US"/>
        </w:rPr>
        <w:t xml:space="preserve">vise à étendre au district du </w:t>
      </w:r>
      <w:r w:rsidR="00AA6D17">
        <w:rPr>
          <w:sz w:val="20"/>
          <w:lang w:eastAsia="en-US"/>
        </w:rPr>
        <w:t>Mai-Ndombe</w:t>
      </w:r>
      <w:r w:rsidR="00E31F93">
        <w:rPr>
          <w:sz w:val="20"/>
          <w:lang w:eastAsia="en-US"/>
        </w:rPr>
        <w:t xml:space="preserve">, </w:t>
      </w:r>
      <w:r w:rsidRPr="00786D1B">
        <w:rPr>
          <w:sz w:val="20"/>
          <w:lang w:eastAsia="en-US"/>
        </w:rPr>
        <w:t>les investissements sectoriels et habilitants que la composante 1 d</w:t>
      </w:r>
      <w:r w:rsidR="00E31F93">
        <w:rPr>
          <w:sz w:val="20"/>
          <w:lang w:eastAsia="en-US"/>
        </w:rPr>
        <w:t xml:space="preserve">u PIF a prévu de réaliser dans le district </w:t>
      </w:r>
      <w:r w:rsidR="00A5055A">
        <w:rPr>
          <w:sz w:val="20"/>
          <w:lang w:eastAsia="en-US"/>
        </w:rPr>
        <w:t>du Plateau</w:t>
      </w:r>
      <w:r w:rsidR="00E31F93">
        <w:rPr>
          <w:sz w:val="20"/>
          <w:lang w:eastAsia="en-US"/>
        </w:rPr>
        <w:t xml:space="preserve"> (PIREDD Plateau)</w:t>
      </w:r>
      <w:r w:rsidRPr="00786D1B">
        <w:rPr>
          <w:sz w:val="20"/>
          <w:lang w:eastAsia="en-US"/>
        </w:rPr>
        <w:t xml:space="preserve">, autre district de cette Province du </w:t>
      </w:r>
      <w:r w:rsidR="00AA6D17">
        <w:rPr>
          <w:sz w:val="20"/>
          <w:lang w:eastAsia="en-US"/>
        </w:rPr>
        <w:t>Mai-Ndombe</w:t>
      </w:r>
      <w:r w:rsidRPr="00786D1B">
        <w:rPr>
          <w:sz w:val="20"/>
          <w:lang w:eastAsia="en-US"/>
        </w:rPr>
        <w:t xml:space="preserve">. Il vise également à compléter sur le District </w:t>
      </w:r>
      <w:r w:rsidR="00A5055A">
        <w:rPr>
          <w:sz w:val="20"/>
          <w:lang w:eastAsia="en-US"/>
        </w:rPr>
        <w:t>du Plateau</w:t>
      </w:r>
      <w:r w:rsidRPr="00786D1B">
        <w:rPr>
          <w:sz w:val="20"/>
          <w:lang w:eastAsia="en-US"/>
        </w:rPr>
        <w:t xml:space="preserve"> les investissements nécessaires mais non programmés par le PIF (certains des investissements d’infrastructure programmés ici pour </w:t>
      </w:r>
      <w:r w:rsidR="00E31F93">
        <w:rPr>
          <w:sz w:val="20"/>
          <w:lang w:eastAsia="en-US"/>
        </w:rPr>
        <w:t xml:space="preserve">le district </w:t>
      </w:r>
      <w:r w:rsidR="00A5055A">
        <w:rPr>
          <w:sz w:val="20"/>
          <w:lang w:eastAsia="en-US"/>
        </w:rPr>
        <w:t>du Plateau</w:t>
      </w:r>
      <w:r w:rsidRPr="00786D1B">
        <w:rPr>
          <w:sz w:val="20"/>
          <w:lang w:eastAsia="en-US"/>
        </w:rPr>
        <w:t xml:space="preserve"> serviront également au District du </w:t>
      </w:r>
      <w:r w:rsidR="00AA6D17">
        <w:rPr>
          <w:sz w:val="20"/>
          <w:lang w:eastAsia="en-US"/>
        </w:rPr>
        <w:t>Mai-Ndombe</w:t>
      </w:r>
      <w:r w:rsidRPr="00786D1B">
        <w:rPr>
          <w:sz w:val="20"/>
          <w:lang w:eastAsia="en-US"/>
        </w:rPr>
        <w:t>, puisqu’ils visent à favoriser les évacuations par la route des produits agricoles de l’ensemble de la Province). Grâce au PIF et au présent projet</w:t>
      </w:r>
      <w:r w:rsidR="0083664A">
        <w:rPr>
          <w:sz w:val="20"/>
          <w:lang w:eastAsia="en-US"/>
        </w:rPr>
        <w:t>,</w:t>
      </w:r>
      <w:r w:rsidRPr="00786D1B">
        <w:rPr>
          <w:sz w:val="20"/>
          <w:lang w:eastAsia="en-US"/>
        </w:rPr>
        <w:t xml:space="preserve"> le futur Programme RE disposera des investissements nécessaires à l’atteinte de ses objectifs </w:t>
      </w:r>
      <w:r w:rsidR="0083664A">
        <w:rPr>
          <w:sz w:val="20"/>
          <w:lang w:eastAsia="en-US"/>
        </w:rPr>
        <w:t>dans son délai d’exécution, 2017-2021</w:t>
      </w:r>
      <w:r w:rsidRPr="00786D1B">
        <w:rPr>
          <w:sz w:val="20"/>
          <w:lang w:eastAsia="en-US"/>
        </w:rPr>
        <w:t>, avec le maximum de chance de durabilité pour la suite, avec des coûts récurrents d’investissement, de formation et de fonctionnement diminués.</w:t>
      </w:r>
    </w:p>
    <w:p w:rsidR="00786D1B" w:rsidRPr="00786D1B" w:rsidRDefault="00786D1B" w:rsidP="00786D1B">
      <w:pPr>
        <w:jc w:val="both"/>
        <w:rPr>
          <w:sz w:val="20"/>
          <w:lang w:eastAsia="en-US"/>
        </w:rPr>
      </w:pPr>
      <w:r w:rsidRPr="00786D1B">
        <w:rPr>
          <w:sz w:val="20"/>
          <w:lang w:eastAsia="en-US"/>
        </w:rPr>
        <w:t xml:space="preserve">La conception du présent projet s’inscrit ainsi dans la logique de celle de la  Composante 1 du PIF, le Projet Intégré REDD+ </w:t>
      </w:r>
      <w:r w:rsidR="00A5055A">
        <w:rPr>
          <w:sz w:val="20"/>
          <w:lang w:eastAsia="en-US"/>
        </w:rPr>
        <w:t>du Plateau</w:t>
      </w:r>
      <w:r w:rsidRPr="00786D1B">
        <w:rPr>
          <w:sz w:val="20"/>
          <w:lang w:eastAsia="en-US"/>
        </w:rPr>
        <w:t xml:space="preserve">, mais en élargissant </w:t>
      </w:r>
      <w:r w:rsidRPr="00CE5B48">
        <w:rPr>
          <w:sz w:val="20"/>
          <w:lang w:eastAsia="en-US"/>
        </w:rPr>
        <w:t>au Planning Familial la gamme des activités couvertes, en conformité avec le 7ème pilier de la Stratégie Nationale REDD+ et en mettant un</w:t>
      </w:r>
      <w:r w:rsidRPr="00786D1B">
        <w:rPr>
          <w:sz w:val="20"/>
          <w:lang w:eastAsia="en-US"/>
        </w:rPr>
        <w:t xml:space="preserve"> accent particulier sur les cultures pérennes. </w:t>
      </w:r>
      <w:r w:rsidR="0083664A">
        <w:rPr>
          <w:sz w:val="20"/>
          <w:lang w:eastAsia="en-US"/>
        </w:rPr>
        <w:t>La présence de Peuples Autochtones dans le district du Mai-Ndombe privilégiera en outre un appui spécifique à ces populations au travers de la mise en œuvre pendant la durée du programme d’un Plan pou</w:t>
      </w:r>
      <w:r w:rsidR="00535445">
        <w:rPr>
          <w:sz w:val="20"/>
          <w:lang w:eastAsia="en-US"/>
        </w:rPr>
        <w:t>r les Peuples Autochtones (PPA)</w:t>
      </w:r>
      <w:r w:rsidR="0083664A">
        <w:rPr>
          <w:sz w:val="20"/>
          <w:lang w:eastAsia="en-US"/>
        </w:rPr>
        <w:t xml:space="preserve">. </w:t>
      </w:r>
      <w:r w:rsidRPr="00786D1B">
        <w:rPr>
          <w:sz w:val="20"/>
          <w:lang w:eastAsia="en-US"/>
        </w:rPr>
        <w:t>Les activités sont regroupées comme suit:</w:t>
      </w:r>
    </w:p>
    <w:p w:rsidR="00786D1B" w:rsidRPr="00A04009" w:rsidRDefault="00786D1B" w:rsidP="002E3A02">
      <w:pPr>
        <w:pStyle w:val="ListParagraph"/>
        <w:numPr>
          <w:ilvl w:val="0"/>
          <w:numId w:val="9"/>
        </w:numPr>
        <w:spacing w:after="120"/>
        <w:jc w:val="both"/>
        <w:rPr>
          <w:rFonts w:asciiTheme="minorHAnsi" w:eastAsiaTheme="minorEastAsia" w:hAnsiTheme="minorHAnsi" w:cstheme="minorBidi"/>
          <w:sz w:val="20"/>
          <w:szCs w:val="22"/>
          <w:lang w:eastAsia="en-US"/>
        </w:rPr>
      </w:pPr>
      <w:r w:rsidRPr="00A04009">
        <w:rPr>
          <w:rFonts w:asciiTheme="minorHAnsi" w:eastAsiaTheme="minorEastAsia" w:hAnsiTheme="minorHAnsi" w:cstheme="minorBidi"/>
          <w:sz w:val="20"/>
          <w:szCs w:val="22"/>
          <w:lang w:eastAsia="en-US"/>
        </w:rPr>
        <w:t xml:space="preserve">renforcement des capacités des services gouvernementaux : cette activité comprend : i) la participation des services gouvernementaux au Comité de Pilotage du projet, et à son suivi-évaluation (Environnement, Agriculture, Intérieur, Cadastre), ii) le renforcement des contrôles sur l’exploitation forestière et du charbon de bois, iii) la sélection et la motivation du personnel impliqué dans les activités du projet, et iv) la formation des agents de l’état concernés (cadastre, justice, intérieur, police). Les bénéficiaires de cette composante sont les agents sélectionnés des services techniques de l’Agriculture et de l’Environnement, en y adjoignant ceux du Cadastre et de l’Intérieur. </w:t>
      </w:r>
    </w:p>
    <w:p w:rsidR="00786D1B" w:rsidRPr="00A04009" w:rsidRDefault="00786D1B" w:rsidP="002E3A02">
      <w:pPr>
        <w:pStyle w:val="ListParagraph"/>
        <w:numPr>
          <w:ilvl w:val="0"/>
          <w:numId w:val="9"/>
        </w:numPr>
        <w:spacing w:after="120"/>
        <w:jc w:val="both"/>
        <w:rPr>
          <w:rFonts w:asciiTheme="minorHAnsi" w:eastAsiaTheme="minorEastAsia" w:hAnsiTheme="minorHAnsi" w:cstheme="minorBidi"/>
          <w:sz w:val="20"/>
          <w:szCs w:val="22"/>
          <w:lang w:eastAsia="en-US"/>
        </w:rPr>
      </w:pPr>
      <w:r w:rsidRPr="00A04009">
        <w:rPr>
          <w:rFonts w:asciiTheme="minorHAnsi" w:eastAsiaTheme="minorEastAsia" w:hAnsiTheme="minorHAnsi" w:cstheme="minorBidi"/>
          <w:sz w:val="20"/>
          <w:szCs w:val="22"/>
          <w:lang w:eastAsia="en-US"/>
        </w:rPr>
        <w:t>renforcement des capacités des communautés locales pour la gestion des Territoires : i) organisation des communautés en Comités Locaux de Développement</w:t>
      </w:r>
      <w:r w:rsidR="00800617">
        <w:rPr>
          <w:rFonts w:asciiTheme="minorHAnsi" w:eastAsiaTheme="minorEastAsia" w:hAnsiTheme="minorHAnsi" w:cstheme="minorBidi"/>
          <w:sz w:val="20"/>
          <w:szCs w:val="22"/>
          <w:lang w:eastAsia="en-US"/>
        </w:rPr>
        <w:t xml:space="preserve"> (CLD)</w:t>
      </w:r>
      <w:r w:rsidRPr="00A04009">
        <w:rPr>
          <w:rFonts w:asciiTheme="minorHAnsi" w:eastAsiaTheme="minorEastAsia" w:hAnsiTheme="minorHAnsi" w:cstheme="minorBidi"/>
          <w:sz w:val="20"/>
          <w:szCs w:val="22"/>
          <w:lang w:eastAsia="en-US"/>
        </w:rPr>
        <w:t xml:space="preserve"> avec refondation éventuelle des comités anciens, ii) refondation de tous les Conseils Agricoles Ruraux de Territoire (CART) au niveau des Territoires et Secteurs (avec dotation d’équipement pour la motivation de ces comités),  iii) confirmation de la délimitation des terroirs à chaque niveau , iv) élaboration des Plans de Développement Durable</w:t>
      </w:r>
      <w:r w:rsidR="00800617">
        <w:rPr>
          <w:rFonts w:asciiTheme="minorHAnsi" w:eastAsiaTheme="minorEastAsia" w:hAnsiTheme="minorHAnsi" w:cstheme="minorBidi"/>
          <w:sz w:val="20"/>
          <w:szCs w:val="22"/>
          <w:lang w:eastAsia="en-US"/>
        </w:rPr>
        <w:t xml:space="preserve"> (PDD)</w:t>
      </w:r>
      <w:r w:rsidRPr="00A04009">
        <w:rPr>
          <w:rFonts w:asciiTheme="minorHAnsi" w:eastAsiaTheme="minorEastAsia" w:hAnsiTheme="minorHAnsi" w:cstheme="minorBidi"/>
          <w:sz w:val="20"/>
          <w:szCs w:val="22"/>
          <w:lang w:eastAsia="en-US"/>
        </w:rPr>
        <w:t xml:space="preserve"> </w:t>
      </w:r>
      <w:r w:rsidR="00E660B8">
        <w:rPr>
          <w:rFonts w:asciiTheme="minorHAnsi" w:eastAsiaTheme="minorEastAsia" w:hAnsiTheme="minorHAnsi" w:cstheme="minorBidi"/>
          <w:sz w:val="20"/>
          <w:szCs w:val="22"/>
          <w:lang w:eastAsia="en-US"/>
        </w:rPr>
        <w:t xml:space="preserve">pour la Province, le district du Mai-Ndombe, ses 4 </w:t>
      </w:r>
      <w:r w:rsidRPr="00A04009">
        <w:rPr>
          <w:rFonts w:asciiTheme="minorHAnsi" w:eastAsiaTheme="minorEastAsia" w:hAnsiTheme="minorHAnsi" w:cstheme="minorBidi"/>
          <w:sz w:val="20"/>
          <w:szCs w:val="22"/>
          <w:lang w:eastAsia="en-US"/>
        </w:rPr>
        <w:t>Territoire</w:t>
      </w:r>
      <w:r w:rsidR="00E660B8">
        <w:rPr>
          <w:rFonts w:asciiTheme="minorHAnsi" w:eastAsiaTheme="minorEastAsia" w:hAnsiTheme="minorHAnsi" w:cstheme="minorBidi"/>
          <w:sz w:val="20"/>
          <w:szCs w:val="22"/>
          <w:lang w:eastAsia="en-US"/>
        </w:rPr>
        <w:t>s et 15</w:t>
      </w:r>
      <w:r w:rsidRPr="00A04009">
        <w:rPr>
          <w:rFonts w:asciiTheme="minorHAnsi" w:eastAsiaTheme="minorEastAsia" w:hAnsiTheme="minorHAnsi" w:cstheme="minorBidi"/>
          <w:sz w:val="20"/>
          <w:szCs w:val="22"/>
          <w:lang w:eastAsia="en-US"/>
        </w:rPr>
        <w:t xml:space="preserve"> Secteur</w:t>
      </w:r>
      <w:r w:rsidR="00A33FD1">
        <w:rPr>
          <w:rFonts w:asciiTheme="minorHAnsi" w:eastAsiaTheme="minorEastAsia" w:hAnsiTheme="minorHAnsi" w:cstheme="minorBidi"/>
          <w:sz w:val="20"/>
          <w:szCs w:val="22"/>
          <w:lang w:eastAsia="en-US"/>
        </w:rPr>
        <w:t>s</w:t>
      </w:r>
      <w:r w:rsidRPr="00A04009">
        <w:rPr>
          <w:rFonts w:asciiTheme="minorHAnsi" w:eastAsiaTheme="minorEastAsia" w:hAnsiTheme="minorHAnsi" w:cstheme="minorBidi"/>
          <w:sz w:val="20"/>
          <w:szCs w:val="22"/>
          <w:lang w:eastAsia="en-US"/>
        </w:rPr>
        <w:t xml:space="preserve">), v) Plans </w:t>
      </w:r>
      <w:r w:rsidR="00816D9D">
        <w:rPr>
          <w:rFonts w:asciiTheme="minorHAnsi" w:eastAsiaTheme="minorEastAsia" w:hAnsiTheme="minorHAnsi" w:cstheme="minorBidi"/>
          <w:sz w:val="20"/>
          <w:szCs w:val="22"/>
          <w:lang w:eastAsia="en-US"/>
        </w:rPr>
        <w:t>S</w:t>
      </w:r>
      <w:r w:rsidRPr="00A04009">
        <w:rPr>
          <w:rFonts w:asciiTheme="minorHAnsi" w:eastAsiaTheme="minorEastAsia" w:hAnsiTheme="minorHAnsi" w:cstheme="minorBidi"/>
          <w:sz w:val="20"/>
          <w:szCs w:val="22"/>
          <w:lang w:eastAsia="en-US"/>
        </w:rPr>
        <w:t xml:space="preserve">imples de </w:t>
      </w:r>
      <w:r w:rsidR="00816D9D">
        <w:rPr>
          <w:rFonts w:asciiTheme="minorHAnsi" w:eastAsiaTheme="minorEastAsia" w:hAnsiTheme="minorHAnsi" w:cstheme="minorBidi"/>
          <w:sz w:val="20"/>
          <w:szCs w:val="22"/>
          <w:lang w:eastAsia="en-US"/>
        </w:rPr>
        <w:t>G</w:t>
      </w:r>
      <w:r w:rsidRPr="00A04009">
        <w:rPr>
          <w:rFonts w:asciiTheme="minorHAnsi" w:eastAsiaTheme="minorEastAsia" w:hAnsiTheme="minorHAnsi" w:cstheme="minorBidi"/>
          <w:sz w:val="20"/>
          <w:szCs w:val="22"/>
          <w:lang w:eastAsia="en-US"/>
        </w:rPr>
        <w:t>estion pour les CLD</w:t>
      </w:r>
      <w:r w:rsidR="00E660B8">
        <w:rPr>
          <w:rFonts w:asciiTheme="minorHAnsi" w:eastAsiaTheme="minorEastAsia" w:hAnsiTheme="minorHAnsi" w:cstheme="minorBidi"/>
          <w:sz w:val="20"/>
          <w:szCs w:val="22"/>
          <w:lang w:eastAsia="en-US"/>
        </w:rPr>
        <w:t xml:space="preserve"> retenus (600)</w:t>
      </w:r>
      <w:r w:rsidRPr="00A04009">
        <w:rPr>
          <w:rFonts w:asciiTheme="minorHAnsi" w:eastAsiaTheme="minorEastAsia" w:hAnsiTheme="minorHAnsi" w:cstheme="minorBidi"/>
          <w:sz w:val="20"/>
          <w:szCs w:val="22"/>
          <w:lang w:eastAsia="en-US"/>
        </w:rPr>
        <w:t xml:space="preserve"> en s’appuyant sur l’expérience du projet Makala de l’Union Européenne et mis en œuvre par le CIRAD et le WWF, vi) </w:t>
      </w:r>
      <w:r w:rsidR="00E660B8">
        <w:rPr>
          <w:rFonts w:asciiTheme="minorHAnsi" w:eastAsiaTheme="minorEastAsia" w:hAnsiTheme="minorHAnsi" w:cstheme="minorBidi"/>
          <w:sz w:val="20"/>
          <w:szCs w:val="22"/>
          <w:lang w:eastAsia="en-US"/>
        </w:rPr>
        <w:t>contractualisation pour la</w:t>
      </w:r>
      <w:r w:rsidRPr="00A04009">
        <w:rPr>
          <w:rFonts w:asciiTheme="minorHAnsi" w:eastAsiaTheme="minorEastAsia" w:hAnsiTheme="minorHAnsi" w:cstheme="minorBidi"/>
          <w:sz w:val="20"/>
          <w:szCs w:val="22"/>
          <w:lang w:eastAsia="en-US"/>
        </w:rPr>
        <w:t xml:space="preserve"> mise en œuvre des plans reprenant tous les appuis </w:t>
      </w:r>
      <w:r w:rsidRPr="00535445">
        <w:rPr>
          <w:rFonts w:asciiTheme="minorHAnsi" w:eastAsiaTheme="minorEastAsia" w:hAnsiTheme="minorHAnsi" w:cstheme="minorBidi"/>
          <w:sz w:val="20"/>
          <w:szCs w:val="22"/>
          <w:lang w:eastAsia="en-US"/>
        </w:rPr>
        <w:t xml:space="preserve">programmés par Territoire, Secteur, Groupement et CLD, </w:t>
      </w:r>
      <w:r w:rsidR="00E660B8">
        <w:rPr>
          <w:rFonts w:asciiTheme="minorHAnsi" w:eastAsiaTheme="minorEastAsia" w:hAnsiTheme="minorHAnsi" w:cstheme="minorBidi"/>
          <w:sz w:val="20"/>
          <w:szCs w:val="22"/>
          <w:lang w:eastAsia="en-US"/>
        </w:rPr>
        <w:t>et</w:t>
      </w:r>
      <w:r w:rsidRPr="00535445">
        <w:rPr>
          <w:rFonts w:asciiTheme="minorHAnsi" w:eastAsiaTheme="minorEastAsia" w:hAnsiTheme="minorHAnsi" w:cstheme="minorBidi"/>
          <w:sz w:val="20"/>
          <w:szCs w:val="22"/>
          <w:lang w:eastAsia="en-US"/>
        </w:rPr>
        <w:t xml:space="preserve"> vii) mise en œuvre des plans </w:t>
      </w:r>
      <w:r w:rsidR="00E660B8">
        <w:rPr>
          <w:rFonts w:asciiTheme="minorHAnsi" w:eastAsiaTheme="minorEastAsia" w:hAnsiTheme="minorHAnsi" w:cstheme="minorBidi"/>
          <w:sz w:val="20"/>
          <w:szCs w:val="22"/>
          <w:lang w:eastAsia="en-US"/>
        </w:rPr>
        <w:t>au travers de</w:t>
      </w:r>
      <w:r w:rsidRPr="00535445">
        <w:rPr>
          <w:rFonts w:asciiTheme="minorHAnsi" w:eastAsiaTheme="minorEastAsia" w:hAnsiTheme="minorHAnsi" w:cstheme="minorBidi"/>
          <w:sz w:val="20"/>
          <w:szCs w:val="22"/>
          <w:lang w:eastAsia="en-US"/>
        </w:rPr>
        <w:t xml:space="preserve"> Paiements pour Services Environnementaux et par les autres composantes du projet. Cette composante comprend aussi un volet cogestion de la pêche responsable. Les bénéficiaires de cette activité sont les quelques 600 terroirs du District du </w:t>
      </w:r>
      <w:r w:rsidR="00AA6D17" w:rsidRPr="00535445">
        <w:rPr>
          <w:rFonts w:asciiTheme="minorHAnsi" w:eastAsiaTheme="minorEastAsia" w:hAnsiTheme="minorHAnsi" w:cstheme="minorBidi"/>
          <w:sz w:val="20"/>
          <w:szCs w:val="22"/>
          <w:lang w:eastAsia="en-US"/>
        </w:rPr>
        <w:t>Mai-Ndombe</w:t>
      </w:r>
      <w:r w:rsidR="00800617" w:rsidRPr="00535445">
        <w:rPr>
          <w:rFonts w:asciiTheme="minorHAnsi" w:eastAsiaTheme="minorEastAsia" w:hAnsiTheme="minorHAnsi" w:cstheme="minorBidi"/>
          <w:sz w:val="20"/>
          <w:szCs w:val="22"/>
          <w:lang w:eastAsia="en-US"/>
        </w:rPr>
        <w:t xml:space="preserve"> </w:t>
      </w:r>
      <w:r w:rsidRPr="00535445">
        <w:rPr>
          <w:rFonts w:asciiTheme="minorHAnsi" w:eastAsiaTheme="minorEastAsia" w:hAnsiTheme="minorHAnsi" w:cstheme="minorBidi"/>
          <w:sz w:val="20"/>
          <w:szCs w:val="22"/>
          <w:lang w:eastAsia="en-US"/>
        </w:rPr>
        <w:t>voisins des routes et du réseau de voies navigables, ainsi que l’ensemble des Groupements</w:t>
      </w:r>
      <w:r w:rsidRPr="00A04009">
        <w:rPr>
          <w:rFonts w:asciiTheme="minorHAnsi" w:eastAsiaTheme="minorEastAsia" w:hAnsiTheme="minorHAnsi" w:cstheme="minorBidi"/>
          <w:sz w:val="20"/>
          <w:szCs w:val="22"/>
          <w:lang w:eastAsia="en-US"/>
        </w:rPr>
        <w:t xml:space="preserve">, Secteurs et  Territoires du district. </w:t>
      </w:r>
    </w:p>
    <w:p w:rsidR="00786D1B" w:rsidRPr="00A04009" w:rsidRDefault="00786D1B" w:rsidP="002E3A02">
      <w:pPr>
        <w:pStyle w:val="ListParagraph"/>
        <w:numPr>
          <w:ilvl w:val="0"/>
          <w:numId w:val="9"/>
        </w:numPr>
        <w:spacing w:after="120"/>
        <w:jc w:val="both"/>
        <w:rPr>
          <w:rFonts w:asciiTheme="minorHAnsi" w:eastAsiaTheme="minorEastAsia" w:hAnsiTheme="minorHAnsi" w:cstheme="minorBidi"/>
          <w:sz w:val="20"/>
          <w:szCs w:val="22"/>
          <w:lang w:eastAsia="en-US"/>
        </w:rPr>
      </w:pPr>
      <w:r w:rsidRPr="00A04009">
        <w:rPr>
          <w:rFonts w:asciiTheme="minorHAnsi" w:eastAsiaTheme="minorEastAsia" w:hAnsiTheme="minorHAnsi" w:cstheme="minorBidi"/>
          <w:sz w:val="20"/>
          <w:szCs w:val="22"/>
          <w:lang w:eastAsia="en-US"/>
        </w:rPr>
        <w:t xml:space="preserve">développement </w:t>
      </w:r>
      <w:r w:rsidRPr="009A2CD9">
        <w:rPr>
          <w:rFonts w:asciiTheme="minorHAnsi" w:eastAsiaTheme="minorEastAsia" w:hAnsiTheme="minorHAnsi" w:cstheme="minorBidi"/>
          <w:sz w:val="20"/>
          <w:szCs w:val="22"/>
          <w:lang w:eastAsia="en-US"/>
        </w:rPr>
        <w:t>de l’agriculture et de l’élevage en savane : cette activité vise à augmenter les terres cultivées en jachère/brulis dans les savanes, pour soulager la pression sur les galeries forestières et les périphéries urbaines. Elle prévoit pour ce faire la plantation</w:t>
      </w:r>
      <w:r w:rsidR="00934959" w:rsidRPr="009A2CD9">
        <w:rPr>
          <w:rFonts w:asciiTheme="minorHAnsi" w:eastAsiaTheme="minorEastAsia" w:hAnsiTheme="minorHAnsi" w:cstheme="minorBidi"/>
          <w:sz w:val="20"/>
          <w:szCs w:val="22"/>
          <w:lang w:eastAsia="en-US"/>
        </w:rPr>
        <w:t xml:space="preserve"> de 3 350 ha d’acacia, et de 1 650</w:t>
      </w:r>
      <w:r w:rsidRPr="009A2CD9">
        <w:rPr>
          <w:rFonts w:asciiTheme="minorHAnsi" w:eastAsiaTheme="minorEastAsia" w:hAnsiTheme="minorHAnsi" w:cstheme="minorBidi"/>
          <w:sz w:val="20"/>
          <w:szCs w:val="22"/>
          <w:lang w:eastAsia="en-US"/>
        </w:rPr>
        <w:t xml:space="preserve"> ha de palmier à huile distribués par lot de 0</w:t>
      </w:r>
      <w:r w:rsidR="009A2CD9" w:rsidRPr="009A2CD9">
        <w:rPr>
          <w:rFonts w:asciiTheme="minorHAnsi" w:eastAsiaTheme="minorEastAsia" w:hAnsiTheme="minorHAnsi" w:cstheme="minorBidi"/>
          <w:sz w:val="20"/>
          <w:szCs w:val="22"/>
          <w:lang w:eastAsia="en-US"/>
        </w:rPr>
        <w:t>,5 ha et la mise en défens de 35</w:t>
      </w:r>
      <w:r w:rsidRPr="009A2CD9">
        <w:rPr>
          <w:rFonts w:asciiTheme="minorHAnsi" w:eastAsiaTheme="minorEastAsia" w:hAnsiTheme="minorHAnsi" w:cstheme="minorBidi"/>
          <w:sz w:val="20"/>
          <w:szCs w:val="22"/>
          <w:lang w:eastAsia="en-US"/>
        </w:rPr>
        <w:t xml:space="preserve"> 000 ha sur 4 ans. L’activité prévoit également une recherche action pour l’amélioration des pratiques d’élevage et de la gestion des pâturages (gestion des feux, amélioration des </w:t>
      </w:r>
      <w:r w:rsidRPr="009A2CD9">
        <w:rPr>
          <w:rFonts w:asciiTheme="minorHAnsi" w:eastAsiaTheme="minorEastAsia" w:hAnsiTheme="minorHAnsi" w:cstheme="minorBidi"/>
          <w:sz w:val="20"/>
          <w:szCs w:val="22"/>
          <w:lang w:eastAsia="en-US"/>
        </w:rPr>
        <w:lastRenderedPageBreak/>
        <w:t>pâtu</w:t>
      </w:r>
      <w:r w:rsidR="00631811" w:rsidRPr="009A2CD9">
        <w:rPr>
          <w:rFonts w:asciiTheme="minorHAnsi" w:eastAsiaTheme="minorEastAsia" w:hAnsiTheme="minorHAnsi" w:cstheme="minorBidi"/>
          <w:sz w:val="20"/>
          <w:szCs w:val="22"/>
          <w:lang w:eastAsia="en-US"/>
        </w:rPr>
        <w:t xml:space="preserve">rages, etc.). Seront concernés </w:t>
      </w:r>
      <w:r w:rsidRPr="009A2CD9">
        <w:rPr>
          <w:rFonts w:asciiTheme="minorHAnsi" w:eastAsiaTheme="minorEastAsia" w:hAnsiTheme="minorHAnsi" w:cstheme="minorBidi"/>
          <w:sz w:val="20"/>
          <w:szCs w:val="22"/>
          <w:lang w:eastAsia="en-US"/>
        </w:rPr>
        <w:t xml:space="preserve">ont les </w:t>
      </w:r>
      <w:r w:rsidR="00FB7F0B">
        <w:rPr>
          <w:rFonts w:asciiTheme="minorHAnsi" w:eastAsiaTheme="minorEastAsia" w:hAnsiTheme="minorHAnsi" w:cstheme="minorBidi"/>
          <w:sz w:val="20"/>
          <w:szCs w:val="22"/>
          <w:lang w:eastAsia="en-US"/>
        </w:rPr>
        <w:t>7 000</w:t>
      </w:r>
      <w:r w:rsidR="009A2CD9" w:rsidRPr="009A2CD9">
        <w:rPr>
          <w:rFonts w:asciiTheme="minorHAnsi" w:eastAsiaTheme="minorEastAsia" w:hAnsiTheme="minorHAnsi" w:cstheme="minorBidi"/>
          <w:sz w:val="20"/>
          <w:szCs w:val="22"/>
          <w:lang w:eastAsia="en-US"/>
        </w:rPr>
        <w:t xml:space="preserve">  paysans et  </w:t>
      </w:r>
      <w:r w:rsidR="00FB7F0B">
        <w:rPr>
          <w:rFonts w:asciiTheme="minorHAnsi" w:eastAsiaTheme="minorEastAsia" w:hAnsiTheme="minorHAnsi" w:cstheme="minorBidi"/>
          <w:sz w:val="20"/>
          <w:szCs w:val="22"/>
          <w:lang w:eastAsia="en-US"/>
        </w:rPr>
        <w:t>500</w:t>
      </w:r>
      <w:r w:rsidR="00FB7F0B" w:rsidRPr="009A2CD9">
        <w:rPr>
          <w:rFonts w:asciiTheme="minorHAnsi" w:eastAsiaTheme="minorEastAsia" w:hAnsiTheme="minorHAnsi" w:cstheme="minorBidi"/>
          <w:sz w:val="20"/>
          <w:szCs w:val="22"/>
          <w:lang w:eastAsia="en-US"/>
        </w:rPr>
        <w:t xml:space="preserve"> </w:t>
      </w:r>
      <w:r w:rsidRPr="009A2CD9">
        <w:rPr>
          <w:rFonts w:asciiTheme="minorHAnsi" w:eastAsiaTheme="minorEastAsia" w:hAnsiTheme="minorHAnsi" w:cstheme="minorBidi"/>
          <w:sz w:val="20"/>
          <w:szCs w:val="22"/>
          <w:lang w:eastAsia="en-US"/>
        </w:rPr>
        <w:t>fermiers volontaires ainsi que les 600 communautés impliquées dans des programmes de mise en défens.</w:t>
      </w:r>
    </w:p>
    <w:p w:rsidR="00786D1B" w:rsidRPr="00A04009" w:rsidRDefault="007D031B" w:rsidP="002E3A02">
      <w:pPr>
        <w:pStyle w:val="ListParagraph"/>
        <w:numPr>
          <w:ilvl w:val="0"/>
          <w:numId w:val="9"/>
        </w:numPr>
        <w:spacing w:after="120"/>
        <w:jc w:val="both"/>
        <w:rPr>
          <w:rFonts w:asciiTheme="minorHAnsi" w:eastAsiaTheme="minorEastAsia" w:hAnsiTheme="minorHAnsi" w:cstheme="minorBidi"/>
          <w:sz w:val="20"/>
          <w:szCs w:val="22"/>
          <w:lang w:eastAsia="en-US"/>
        </w:rPr>
      </w:pPr>
      <w:r>
        <w:rPr>
          <w:rFonts w:asciiTheme="minorHAnsi" w:eastAsiaTheme="minorEastAsia" w:hAnsiTheme="minorHAnsi" w:cstheme="minorBidi"/>
          <w:sz w:val="20"/>
          <w:szCs w:val="22"/>
          <w:lang w:eastAsia="en-US"/>
        </w:rPr>
        <w:t>a</w:t>
      </w:r>
      <w:r w:rsidR="00786D1B" w:rsidRPr="00A04009">
        <w:rPr>
          <w:rFonts w:asciiTheme="minorHAnsi" w:eastAsiaTheme="minorEastAsia" w:hAnsiTheme="minorHAnsi" w:cstheme="minorBidi"/>
          <w:sz w:val="20"/>
          <w:szCs w:val="22"/>
          <w:lang w:eastAsia="en-US"/>
        </w:rPr>
        <w:t xml:space="preserve">mélioration des techniques culturales en forêt et en savane : cette activité comprend : i) des apports de semences améliorées, leur multiplication et leur large diffusion, et ii) des formations liées aux plans simples de </w:t>
      </w:r>
      <w:r w:rsidR="00786D1B" w:rsidRPr="00535445">
        <w:rPr>
          <w:rFonts w:asciiTheme="minorHAnsi" w:eastAsiaTheme="minorEastAsia" w:hAnsiTheme="minorHAnsi" w:cstheme="minorBidi"/>
          <w:sz w:val="20"/>
          <w:szCs w:val="22"/>
          <w:lang w:eastAsia="en-US"/>
        </w:rPr>
        <w:t>gestion portant sur la jachère améliorée et les produits forestiers non ligneux. Les bénéficiaires de cette activité sont potentiellement toutes les communautés impliquées dans le programme (600).</w:t>
      </w:r>
      <w:r w:rsidR="00786D1B" w:rsidRPr="00A04009">
        <w:rPr>
          <w:rFonts w:asciiTheme="minorHAnsi" w:eastAsiaTheme="minorEastAsia" w:hAnsiTheme="minorHAnsi" w:cstheme="minorBidi"/>
          <w:sz w:val="20"/>
          <w:szCs w:val="22"/>
          <w:lang w:eastAsia="en-US"/>
        </w:rPr>
        <w:t xml:space="preserve"> </w:t>
      </w:r>
    </w:p>
    <w:p w:rsidR="00786D1B" w:rsidRPr="00A04009" w:rsidRDefault="007D031B" w:rsidP="002E3A02">
      <w:pPr>
        <w:pStyle w:val="ListParagraph"/>
        <w:numPr>
          <w:ilvl w:val="0"/>
          <w:numId w:val="9"/>
        </w:numPr>
        <w:spacing w:after="120"/>
        <w:jc w:val="both"/>
        <w:rPr>
          <w:rFonts w:asciiTheme="minorHAnsi" w:eastAsiaTheme="minorEastAsia" w:hAnsiTheme="minorHAnsi" w:cstheme="minorBidi"/>
          <w:sz w:val="20"/>
          <w:szCs w:val="22"/>
          <w:lang w:eastAsia="en-US"/>
        </w:rPr>
      </w:pPr>
      <w:r>
        <w:rPr>
          <w:rFonts w:asciiTheme="minorHAnsi" w:eastAsiaTheme="minorEastAsia" w:hAnsiTheme="minorHAnsi" w:cstheme="minorBidi"/>
          <w:sz w:val="20"/>
          <w:szCs w:val="22"/>
          <w:lang w:eastAsia="en-US"/>
        </w:rPr>
        <w:t>d</w:t>
      </w:r>
      <w:r w:rsidR="00786D1B" w:rsidRPr="004C1737">
        <w:rPr>
          <w:rFonts w:asciiTheme="minorHAnsi" w:eastAsiaTheme="minorEastAsia" w:hAnsiTheme="minorHAnsi" w:cstheme="minorBidi"/>
          <w:sz w:val="20"/>
          <w:szCs w:val="22"/>
          <w:lang w:eastAsia="en-US"/>
        </w:rPr>
        <w:t xml:space="preserve">éveloppement des cultures pérennes en forêt et de leur chaine de valeur (café, cacao, palmier, hévéa): au total </w:t>
      </w:r>
      <w:r w:rsidR="009A2CD9">
        <w:rPr>
          <w:rFonts w:asciiTheme="minorHAnsi" w:eastAsiaTheme="minorEastAsia" w:hAnsiTheme="minorHAnsi" w:cstheme="minorBidi"/>
          <w:sz w:val="20"/>
          <w:szCs w:val="22"/>
          <w:lang w:eastAsia="en-US"/>
        </w:rPr>
        <w:t>10 0</w:t>
      </w:r>
      <w:r w:rsidR="00786D1B" w:rsidRPr="004C1737">
        <w:rPr>
          <w:rFonts w:asciiTheme="minorHAnsi" w:eastAsiaTheme="minorEastAsia" w:hAnsiTheme="minorHAnsi" w:cstheme="minorBidi"/>
          <w:sz w:val="20"/>
          <w:szCs w:val="22"/>
          <w:lang w:eastAsia="en-US"/>
        </w:rPr>
        <w:t>00 ha de cultures pérennes seront mi</w:t>
      </w:r>
      <w:r w:rsidR="004C1737" w:rsidRPr="004C1737">
        <w:rPr>
          <w:rFonts w:asciiTheme="minorHAnsi" w:eastAsiaTheme="minorEastAsia" w:hAnsiTheme="minorHAnsi" w:cstheme="minorBidi"/>
          <w:sz w:val="20"/>
          <w:szCs w:val="22"/>
          <w:lang w:eastAsia="en-US"/>
        </w:rPr>
        <w:t>s e</w:t>
      </w:r>
      <w:r w:rsidR="009A2CD9">
        <w:rPr>
          <w:rFonts w:asciiTheme="minorHAnsi" w:eastAsiaTheme="minorEastAsia" w:hAnsiTheme="minorHAnsi" w:cstheme="minorBidi"/>
          <w:sz w:val="20"/>
          <w:szCs w:val="22"/>
          <w:lang w:eastAsia="en-US"/>
        </w:rPr>
        <w:t>n production</w:t>
      </w:r>
      <w:r w:rsidR="00786D1B" w:rsidRPr="004C1737">
        <w:rPr>
          <w:rFonts w:asciiTheme="minorHAnsi" w:eastAsiaTheme="minorEastAsia" w:hAnsiTheme="minorHAnsi" w:cstheme="minorBidi"/>
          <w:sz w:val="20"/>
          <w:szCs w:val="22"/>
          <w:lang w:eastAsia="en-US"/>
        </w:rPr>
        <w:t>. De plus, le projet prévoit l’appui aux acheteurs du secteur privé intervenant en aval de la production (fonds de</w:t>
      </w:r>
      <w:r w:rsidR="00786D1B" w:rsidRPr="00A04009">
        <w:rPr>
          <w:rFonts w:asciiTheme="minorHAnsi" w:eastAsiaTheme="minorEastAsia" w:hAnsiTheme="minorHAnsi" w:cstheme="minorBidi"/>
          <w:sz w:val="20"/>
          <w:szCs w:val="22"/>
          <w:lang w:eastAsia="en-US"/>
        </w:rPr>
        <w:t xml:space="preserve"> </w:t>
      </w:r>
      <w:r w:rsidR="00786D1B" w:rsidRPr="004C1737">
        <w:rPr>
          <w:rFonts w:asciiTheme="minorHAnsi" w:eastAsiaTheme="minorEastAsia" w:hAnsiTheme="minorHAnsi" w:cstheme="minorBidi"/>
          <w:sz w:val="20"/>
          <w:szCs w:val="22"/>
          <w:lang w:eastAsia="en-US"/>
        </w:rPr>
        <w:t>roulement pour achat des produits, équipements de stockage, etc.). Les bénéf</w:t>
      </w:r>
      <w:r w:rsidR="009A2CD9">
        <w:rPr>
          <w:rFonts w:asciiTheme="minorHAnsi" w:eastAsiaTheme="minorEastAsia" w:hAnsiTheme="minorHAnsi" w:cstheme="minorBidi"/>
          <w:sz w:val="20"/>
          <w:szCs w:val="22"/>
          <w:lang w:eastAsia="en-US"/>
        </w:rPr>
        <w:t>iciaires sont au nombre de 1</w:t>
      </w:r>
      <w:r w:rsidR="00786D1B" w:rsidRPr="004C1737">
        <w:rPr>
          <w:rFonts w:asciiTheme="minorHAnsi" w:eastAsiaTheme="minorEastAsia" w:hAnsiTheme="minorHAnsi" w:cstheme="minorBidi"/>
          <w:sz w:val="20"/>
          <w:szCs w:val="22"/>
          <w:lang w:eastAsia="en-US"/>
        </w:rPr>
        <w:t>4 000 paysans communauta</w:t>
      </w:r>
      <w:r w:rsidR="009A2CD9">
        <w:rPr>
          <w:rFonts w:asciiTheme="minorHAnsi" w:eastAsiaTheme="minorEastAsia" w:hAnsiTheme="minorHAnsi" w:cstheme="minorBidi"/>
          <w:sz w:val="20"/>
          <w:szCs w:val="22"/>
          <w:lang w:eastAsia="en-US"/>
        </w:rPr>
        <w:t xml:space="preserve">ires (0,5 ha par ménage) et de 1 </w:t>
      </w:r>
      <w:r w:rsidR="00786D1B" w:rsidRPr="004C1737">
        <w:rPr>
          <w:rFonts w:asciiTheme="minorHAnsi" w:eastAsiaTheme="minorEastAsia" w:hAnsiTheme="minorHAnsi" w:cstheme="minorBidi"/>
          <w:sz w:val="20"/>
          <w:szCs w:val="22"/>
          <w:lang w:eastAsia="en-US"/>
        </w:rPr>
        <w:t>000 fermiers (plus de 3 ha par fermier).</w:t>
      </w:r>
      <w:r w:rsidR="00A04009" w:rsidRPr="004C1737">
        <w:rPr>
          <w:rFonts w:asciiTheme="minorHAnsi" w:eastAsiaTheme="minorEastAsia" w:hAnsiTheme="minorHAnsi" w:cstheme="minorBidi"/>
          <w:sz w:val="20"/>
          <w:szCs w:val="22"/>
          <w:lang w:eastAsia="en-US"/>
        </w:rPr>
        <w:t xml:space="preserve"> </w:t>
      </w:r>
      <w:r w:rsidR="00786D1B" w:rsidRPr="004C1737">
        <w:rPr>
          <w:rFonts w:asciiTheme="minorHAnsi" w:eastAsiaTheme="minorEastAsia" w:hAnsiTheme="minorHAnsi" w:cstheme="minorBidi"/>
          <w:sz w:val="20"/>
          <w:szCs w:val="22"/>
          <w:lang w:eastAsia="en-US"/>
        </w:rPr>
        <w:t>Au total, entre les forêts et les savanes, le nombre d</w:t>
      </w:r>
      <w:r w:rsidR="009A2CD9">
        <w:rPr>
          <w:rFonts w:asciiTheme="minorHAnsi" w:eastAsiaTheme="minorEastAsia" w:hAnsiTheme="minorHAnsi" w:cstheme="minorBidi"/>
          <w:sz w:val="20"/>
          <w:szCs w:val="22"/>
          <w:lang w:eastAsia="en-US"/>
        </w:rPr>
        <w:t xml:space="preserve">e bénéficiaires direct est de </w:t>
      </w:r>
      <w:r w:rsidR="00FB7F0B">
        <w:rPr>
          <w:rFonts w:asciiTheme="minorHAnsi" w:eastAsiaTheme="minorEastAsia" w:hAnsiTheme="minorHAnsi" w:cstheme="minorBidi"/>
          <w:sz w:val="20"/>
          <w:szCs w:val="22"/>
          <w:lang w:eastAsia="en-US"/>
        </w:rPr>
        <w:t>21 000</w:t>
      </w:r>
      <w:r w:rsidR="00786D1B" w:rsidRPr="004C1737">
        <w:rPr>
          <w:rFonts w:asciiTheme="minorHAnsi" w:eastAsiaTheme="minorEastAsia" w:hAnsiTheme="minorHAnsi" w:cstheme="minorBidi"/>
          <w:sz w:val="20"/>
          <w:szCs w:val="22"/>
          <w:lang w:eastAsia="en-US"/>
        </w:rPr>
        <w:t xml:space="preserve"> paysans comm</w:t>
      </w:r>
      <w:r w:rsidR="004C1737" w:rsidRPr="004C1737">
        <w:rPr>
          <w:rFonts w:asciiTheme="minorHAnsi" w:eastAsiaTheme="minorEastAsia" w:hAnsiTheme="minorHAnsi" w:cstheme="minorBidi"/>
          <w:sz w:val="20"/>
          <w:szCs w:val="22"/>
          <w:lang w:eastAsia="en-US"/>
        </w:rPr>
        <w:t>unautaires</w:t>
      </w:r>
      <w:r w:rsidR="004C1737">
        <w:rPr>
          <w:rFonts w:asciiTheme="minorHAnsi" w:eastAsiaTheme="minorEastAsia" w:hAnsiTheme="minorHAnsi" w:cstheme="minorBidi"/>
          <w:sz w:val="20"/>
          <w:szCs w:val="22"/>
          <w:lang w:eastAsia="en-US"/>
        </w:rPr>
        <w:t xml:space="preserve"> et de </w:t>
      </w:r>
      <w:r w:rsidR="009A2CD9">
        <w:rPr>
          <w:rFonts w:asciiTheme="minorHAnsi" w:eastAsiaTheme="minorEastAsia" w:hAnsiTheme="minorHAnsi" w:cstheme="minorBidi"/>
          <w:sz w:val="20"/>
          <w:szCs w:val="22"/>
          <w:lang w:eastAsia="en-US"/>
        </w:rPr>
        <w:t xml:space="preserve">1 </w:t>
      </w:r>
      <w:r w:rsidR="00FB7F0B">
        <w:rPr>
          <w:rFonts w:asciiTheme="minorHAnsi" w:eastAsiaTheme="minorEastAsia" w:hAnsiTheme="minorHAnsi" w:cstheme="minorBidi"/>
          <w:sz w:val="20"/>
          <w:szCs w:val="22"/>
          <w:lang w:eastAsia="en-US"/>
        </w:rPr>
        <w:t>500</w:t>
      </w:r>
      <w:r w:rsidR="00FB7F0B" w:rsidRPr="00A04009">
        <w:rPr>
          <w:rFonts w:asciiTheme="minorHAnsi" w:eastAsiaTheme="minorEastAsia" w:hAnsiTheme="minorHAnsi" w:cstheme="minorBidi"/>
          <w:sz w:val="20"/>
          <w:szCs w:val="22"/>
          <w:lang w:eastAsia="en-US"/>
        </w:rPr>
        <w:t xml:space="preserve"> </w:t>
      </w:r>
      <w:r w:rsidR="00786D1B" w:rsidRPr="00A04009">
        <w:rPr>
          <w:rFonts w:asciiTheme="minorHAnsi" w:eastAsiaTheme="minorEastAsia" w:hAnsiTheme="minorHAnsi" w:cstheme="minorBidi"/>
          <w:sz w:val="20"/>
          <w:szCs w:val="22"/>
          <w:lang w:eastAsia="en-US"/>
        </w:rPr>
        <w:t>fermiers.</w:t>
      </w:r>
    </w:p>
    <w:p w:rsidR="00786D1B" w:rsidRDefault="00A04009" w:rsidP="002E3A02">
      <w:pPr>
        <w:pStyle w:val="ListParagraph"/>
        <w:numPr>
          <w:ilvl w:val="0"/>
          <w:numId w:val="9"/>
        </w:numPr>
        <w:jc w:val="both"/>
        <w:rPr>
          <w:rFonts w:asciiTheme="minorHAnsi" w:eastAsiaTheme="minorEastAsia" w:hAnsiTheme="minorHAnsi" w:cstheme="minorBidi"/>
          <w:sz w:val="20"/>
          <w:szCs w:val="22"/>
          <w:lang w:eastAsia="en-US"/>
        </w:rPr>
      </w:pPr>
      <w:r w:rsidRPr="00535445">
        <w:rPr>
          <w:rFonts w:asciiTheme="minorHAnsi" w:eastAsiaTheme="minorEastAsia" w:hAnsiTheme="minorHAnsi" w:cstheme="minorBidi"/>
          <w:sz w:val="20"/>
          <w:szCs w:val="22"/>
          <w:lang w:eastAsia="en-US"/>
        </w:rPr>
        <w:t>In</w:t>
      </w:r>
      <w:r w:rsidR="00786D1B" w:rsidRPr="00535445">
        <w:rPr>
          <w:rFonts w:asciiTheme="minorHAnsi" w:eastAsiaTheme="minorEastAsia" w:hAnsiTheme="minorHAnsi" w:cstheme="minorBidi"/>
          <w:sz w:val="20"/>
          <w:szCs w:val="22"/>
          <w:lang w:eastAsia="en-US"/>
        </w:rPr>
        <w:t xml:space="preserve">vestissements d’intérêt commun : le </w:t>
      </w:r>
      <w:r w:rsidR="009A2CD9">
        <w:rPr>
          <w:rFonts w:asciiTheme="minorHAnsi" w:eastAsiaTheme="minorEastAsia" w:hAnsiTheme="minorHAnsi" w:cstheme="minorBidi"/>
          <w:sz w:val="20"/>
          <w:szCs w:val="22"/>
          <w:lang w:eastAsia="en-US"/>
        </w:rPr>
        <w:t xml:space="preserve">projet prévoit l’entretien </w:t>
      </w:r>
      <w:r w:rsidR="00786D1B" w:rsidRPr="00535445">
        <w:rPr>
          <w:rFonts w:asciiTheme="minorHAnsi" w:eastAsiaTheme="minorEastAsia" w:hAnsiTheme="minorHAnsi" w:cstheme="minorBidi"/>
          <w:sz w:val="20"/>
          <w:szCs w:val="22"/>
          <w:lang w:eastAsia="en-US"/>
        </w:rPr>
        <w:t xml:space="preserve">de routes </w:t>
      </w:r>
      <w:r w:rsidR="009A2CD9">
        <w:rPr>
          <w:rFonts w:asciiTheme="minorHAnsi" w:eastAsiaTheme="minorEastAsia" w:hAnsiTheme="minorHAnsi" w:cstheme="minorBidi"/>
          <w:sz w:val="20"/>
          <w:szCs w:val="22"/>
          <w:lang w:eastAsia="en-US"/>
        </w:rPr>
        <w:t>(</w:t>
      </w:r>
      <w:r w:rsidR="009A2CD9" w:rsidRPr="009A2CD9">
        <w:rPr>
          <w:rFonts w:asciiTheme="minorHAnsi" w:eastAsiaTheme="minorEastAsia" w:hAnsiTheme="minorHAnsi" w:cstheme="minorBidi"/>
          <w:sz w:val="20"/>
          <w:szCs w:val="22"/>
          <w:lang w:eastAsia="en-US"/>
        </w:rPr>
        <w:t xml:space="preserve">500 km </w:t>
      </w:r>
      <w:r w:rsidR="00786D1B" w:rsidRPr="00535445">
        <w:rPr>
          <w:rFonts w:asciiTheme="minorHAnsi" w:eastAsiaTheme="minorEastAsia" w:hAnsiTheme="minorHAnsi" w:cstheme="minorBidi"/>
          <w:sz w:val="20"/>
          <w:szCs w:val="22"/>
          <w:lang w:eastAsia="en-US"/>
        </w:rPr>
        <w:t xml:space="preserve">dans le District du </w:t>
      </w:r>
      <w:r w:rsidR="00AA6D17" w:rsidRPr="00535445">
        <w:rPr>
          <w:rFonts w:asciiTheme="minorHAnsi" w:eastAsiaTheme="minorEastAsia" w:hAnsiTheme="minorHAnsi" w:cstheme="minorBidi"/>
          <w:sz w:val="20"/>
          <w:szCs w:val="22"/>
          <w:lang w:eastAsia="en-US"/>
        </w:rPr>
        <w:t>Mai-Ndombe</w:t>
      </w:r>
      <w:r w:rsidR="009A2CD9">
        <w:rPr>
          <w:rFonts w:asciiTheme="minorHAnsi" w:eastAsiaTheme="minorEastAsia" w:hAnsiTheme="minorHAnsi" w:cstheme="minorBidi"/>
          <w:sz w:val="20"/>
          <w:szCs w:val="22"/>
          <w:lang w:eastAsia="en-US"/>
        </w:rPr>
        <w:t xml:space="preserve"> et 200 dans les Plateaux),</w:t>
      </w:r>
      <w:r w:rsidR="00786D1B" w:rsidRPr="00535445">
        <w:rPr>
          <w:rFonts w:asciiTheme="minorHAnsi" w:eastAsiaTheme="minorEastAsia" w:hAnsiTheme="minorHAnsi" w:cstheme="minorBidi"/>
          <w:sz w:val="20"/>
          <w:szCs w:val="22"/>
          <w:lang w:eastAsia="en-US"/>
        </w:rPr>
        <w:t xml:space="preserve"> la construction de </w:t>
      </w:r>
      <w:r w:rsidR="00816D9D">
        <w:rPr>
          <w:rFonts w:asciiTheme="minorHAnsi" w:eastAsiaTheme="minorEastAsia" w:hAnsiTheme="minorHAnsi" w:cstheme="minorBidi"/>
          <w:sz w:val="20"/>
          <w:szCs w:val="22"/>
          <w:lang w:eastAsia="en-US"/>
        </w:rPr>
        <w:t>41</w:t>
      </w:r>
      <w:r w:rsidR="00816D9D" w:rsidRPr="00535445">
        <w:rPr>
          <w:rFonts w:asciiTheme="minorHAnsi" w:eastAsiaTheme="minorEastAsia" w:hAnsiTheme="minorHAnsi" w:cstheme="minorBidi"/>
          <w:sz w:val="20"/>
          <w:szCs w:val="22"/>
          <w:lang w:eastAsia="en-US"/>
        </w:rPr>
        <w:t xml:space="preserve"> </w:t>
      </w:r>
      <w:r w:rsidR="00786D1B" w:rsidRPr="00535445">
        <w:rPr>
          <w:rFonts w:asciiTheme="minorHAnsi" w:eastAsiaTheme="minorEastAsia" w:hAnsiTheme="minorHAnsi" w:cstheme="minorBidi"/>
          <w:sz w:val="20"/>
          <w:szCs w:val="22"/>
          <w:lang w:eastAsia="en-US"/>
        </w:rPr>
        <w:t>ponts  dont la construction du Pont Ngampoko, qui désenclaverait le Territoire de Yumbi et la mise en place du Bac de Lédiba, sur le Kasaï, passage obligé de toute évacuation économique par la route des produits agricoles des deux districts. Le balisage des rivières au niveau des épaves de bateau et des principaux bancs de sable est également envisagé. La lutte contre les « tracasseries » le long des axes entretenus permettra aussi de réduire les coût</w:t>
      </w:r>
      <w:r w:rsidRPr="00535445">
        <w:rPr>
          <w:rFonts w:asciiTheme="minorHAnsi" w:eastAsiaTheme="minorEastAsia" w:hAnsiTheme="minorHAnsi" w:cstheme="minorBidi"/>
          <w:sz w:val="20"/>
          <w:szCs w:val="22"/>
          <w:lang w:eastAsia="en-US"/>
        </w:rPr>
        <w:t xml:space="preserve">s du transport des marchandises. </w:t>
      </w:r>
      <w:r w:rsidR="00786D1B" w:rsidRPr="00535445">
        <w:rPr>
          <w:rFonts w:asciiTheme="minorHAnsi" w:eastAsiaTheme="minorEastAsia" w:hAnsiTheme="minorHAnsi" w:cstheme="minorBidi"/>
          <w:sz w:val="20"/>
          <w:szCs w:val="22"/>
          <w:lang w:eastAsia="en-US"/>
        </w:rPr>
        <w:t>Les bénéficiaires de cette activité sont potentiellement tous les habitants du district ainsi que les commerçants opérant tout</w:t>
      </w:r>
      <w:r w:rsidR="007D031B">
        <w:rPr>
          <w:rFonts w:asciiTheme="minorHAnsi" w:eastAsiaTheme="minorEastAsia" w:hAnsiTheme="minorHAnsi" w:cstheme="minorBidi"/>
          <w:sz w:val="20"/>
          <w:szCs w:val="22"/>
          <w:lang w:eastAsia="en-US"/>
        </w:rPr>
        <w:t xml:space="preserve"> au long des chaînes de valeur.</w:t>
      </w:r>
    </w:p>
    <w:p w:rsidR="007D031B" w:rsidRDefault="007D031B" w:rsidP="007D031B">
      <w:pPr>
        <w:pStyle w:val="ListParagraph"/>
        <w:jc w:val="both"/>
        <w:rPr>
          <w:rFonts w:asciiTheme="minorHAnsi" w:eastAsiaTheme="minorEastAsia" w:hAnsiTheme="minorHAnsi" w:cstheme="minorBidi"/>
          <w:sz w:val="20"/>
          <w:szCs w:val="22"/>
          <w:lang w:eastAsia="en-US"/>
        </w:rPr>
      </w:pPr>
    </w:p>
    <w:p w:rsidR="00A777B8" w:rsidRDefault="007D031B" w:rsidP="002E3A02">
      <w:pPr>
        <w:pStyle w:val="ListParagraph"/>
        <w:numPr>
          <w:ilvl w:val="0"/>
          <w:numId w:val="9"/>
        </w:numPr>
        <w:jc w:val="both"/>
        <w:rPr>
          <w:rFonts w:asciiTheme="minorHAnsi" w:eastAsiaTheme="minorEastAsia" w:hAnsiTheme="minorHAnsi" w:cstheme="minorBidi"/>
          <w:sz w:val="20"/>
          <w:szCs w:val="22"/>
          <w:lang w:eastAsia="en-US"/>
        </w:rPr>
      </w:pPr>
      <w:r>
        <w:rPr>
          <w:rFonts w:asciiTheme="minorHAnsi" w:eastAsiaTheme="minorEastAsia" w:hAnsiTheme="minorHAnsi" w:cstheme="minorBidi"/>
          <w:sz w:val="20"/>
          <w:szCs w:val="22"/>
          <w:lang w:eastAsia="en-US"/>
        </w:rPr>
        <w:t xml:space="preserve">Support aux plus vulnérables : </w:t>
      </w:r>
      <w:r w:rsidRPr="007D031B">
        <w:rPr>
          <w:rFonts w:asciiTheme="minorHAnsi" w:eastAsiaTheme="minorEastAsia" w:hAnsiTheme="minorHAnsi" w:cstheme="minorBidi"/>
          <w:sz w:val="20"/>
          <w:szCs w:val="22"/>
          <w:lang w:eastAsia="en-US"/>
        </w:rPr>
        <w:t xml:space="preserve">Le </w:t>
      </w:r>
      <w:r>
        <w:rPr>
          <w:rFonts w:asciiTheme="minorHAnsi" w:eastAsiaTheme="minorEastAsia" w:hAnsiTheme="minorHAnsi" w:cstheme="minorBidi"/>
          <w:sz w:val="20"/>
          <w:szCs w:val="22"/>
          <w:lang w:eastAsia="en-US"/>
        </w:rPr>
        <w:t>projet</w:t>
      </w:r>
      <w:r w:rsidRPr="007D031B">
        <w:rPr>
          <w:rFonts w:asciiTheme="minorHAnsi" w:eastAsiaTheme="minorEastAsia" w:hAnsiTheme="minorHAnsi" w:cstheme="minorBidi"/>
          <w:sz w:val="20"/>
          <w:szCs w:val="22"/>
          <w:lang w:eastAsia="en-US"/>
        </w:rPr>
        <w:t xml:space="preserve"> supportera la réalisation de micro-projets à destination des Peuples Autochtones tels qu’ils ont été identifiés dans les Plans de Développement des Peuples Autochtones (PDPA) financés par le Projet Forêt, Conservation de la Nature (</w:t>
      </w:r>
      <w:r>
        <w:rPr>
          <w:rFonts w:asciiTheme="minorHAnsi" w:eastAsiaTheme="minorEastAsia" w:hAnsiTheme="minorHAnsi" w:cstheme="minorBidi"/>
          <w:sz w:val="20"/>
          <w:szCs w:val="22"/>
          <w:lang w:eastAsia="en-US"/>
        </w:rPr>
        <w:t>PFCN) de la Banque mondiale.</w:t>
      </w:r>
      <w:bookmarkStart w:id="6" w:name="_Toc420681583"/>
    </w:p>
    <w:p w:rsidR="00BB59E8" w:rsidRPr="00BB59E8" w:rsidRDefault="00BB59E8" w:rsidP="00BB59E8">
      <w:pPr>
        <w:pStyle w:val="ListParagraph"/>
        <w:rPr>
          <w:rFonts w:asciiTheme="minorHAnsi" w:eastAsiaTheme="minorEastAsia" w:hAnsiTheme="minorHAnsi" w:cstheme="minorBidi"/>
          <w:sz w:val="20"/>
          <w:szCs w:val="22"/>
          <w:lang w:eastAsia="en-US"/>
        </w:rPr>
      </w:pPr>
    </w:p>
    <w:p w:rsidR="00BB59E8" w:rsidRDefault="00BB59E8" w:rsidP="002E3A02">
      <w:pPr>
        <w:pStyle w:val="ListParagraph"/>
        <w:numPr>
          <w:ilvl w:val="0"/>
          <w:numId w:val="9"/>
        </w:numPr>
        <w:jc w:val="both"/>
        <w:rPr>
          <w:rFonts w:asciiTheme="minorHAnsi" w:eastAsiaTheme="minorEastAsia" w:hAnsiTheme="minorHAnsi" w:cstheme="minorBidi"/>
          <w:sz w:val="20"/>
          <w:szCs w:val="22"/>
          <w:lang w:eastAsia="en-US"/>
        </w:rPr>
      </w:pPr>
      <w:r w:rsidRPr="00BB59E8">
        <w:rPr>
          <w:rFonts w:asciiTheme="minorHAnsi" w:eastAsiaTheme="minorEastAsia" w:hAnsiTheme="minorHAnsi" w:cstheme="minorBidi"/>
          <w:sz w:val="20"/>
          <w:szCs w:val="22"/>
          <w:lang w:eastAsia="en-US"/>
        </w:rPr>
        <w:t>Planification familiale : Les 180 000 ménages agricoles du District de Mai-Ndombe bénéficieront (i) d’information et de sensibilisation aux méthodes de planification familiale avec le soutien des leaders d’opinion (leaders politiques, coutumiers et religieux), combinée à un accès facilité aux moyens permettant le contrôle des naissances, et (ii) de programmes d’éducation des jeunes, et notamment des jeunes filles, pour favoriser l’accès à l’emploi et la détermination d’objectifs raisonnables en termes de nombre d’enfants par famille.</w:t>
      </w:r>
    </w:p>
    <w:p w:rsidR="00F5585E" w:rsidRPr="00A777B8" w:rsidRDefault="00F5585E" w:rsidP="00A777B8">
      <w:pPr>
        <w:pStyle w:val="ListParagraph"/>
        <w:rPr>
          <w:b/>
          <w:sz w:val="20"/>
          <w:lang w:eastAsia="en-US"/>
        </w:rPr>
      </w:pPr>
    </w:p>
    <w:p w:rsidR="00970C57" w:rsidRPr="00A777B8" w:rsidRDefault="00970C57" w:rsidP="00A777B8">
      <w:pPr>
        <w:jc w:val="both"/>
        <w:rPr>
          <w:sz w:val="20"/>
          <w:lang w:eastAsia="en-US"/>
        </w:rPr>
      </w:pPr>
      <w:r w:rsidRPr="00A777B8">
        <w:rPr>
          <w:b/>
          <w:sz w:val="20"/>
          <w:lang w:eastAsia="en-US"/>
        </w:rPr>
        <w:t>Objectif 1 : renforcer les capacités des services techniques décentralisés</w:t>
      </w:r>
      <w:bookmarkEnd w:id="6"/>
    </w:p>
    <w:p w:rsidR="00A777B8" w:rsidRDefault="00970C57" w:rsidP="00A777B8">
      <w:pPr>
        <w:tabs>
          <w:tab w:val="left" w:pos="450"/>
        </w:tabs>
        <w:spacing w:after="0" w:line="240" w:lineRule="auto"/>
        <w:jc w:val="both"/>
        <w:rPr>
          <w:rFonts w:cs="Times New Roman"/>
          <w:sz w:val="20"/>
          <w:szCs w:val="20"/>
        </w:rPr>
      </w:pPr>
      <w:r w:rsidRPr="00970C57">
        <w:rPr>
          <w:rFonts w:cs="Times New Roman"/>
          <w:sz w:val="20"/>
          <w:szCs w:val="20"/>
        </w:rPr>
        <w:t xml:space="preserve">Cet objectif est partagé avec la Composante 1 du PGAPF, qui le prendra en charge au niveau des activités provinciales et pour le District </w:t>
      </w:r>
      <w:r w:rsidR="00A5055A">
        <w:rPr>
          <w:rFonts w:cs="Times New Roman"/>
          <w:sz w:val="20"/>
          <w:szCs w:val="20"/>
        </w:rPr>
        <w:t>du Plateau</w:t>
      </w:r>
      <w:r w:rsidRPr="00970C57">
        <w:rPr>
          <w:rFonts w:cs="Times New Roman"/>
          <w:sz w:val="20"/>
          <w:szCs w:val="20"/>
        </w:rPr>
        <w:t xml:space="preserve"> (édit provincial portant sur la reconnaissance des </w:t>
      </w:r>
      <w:r w:rsidR="00816D9D">
        <w:rPr>
          <w:rFonts w:cs="Times New Roman"/>
          <w:sz w:val="20"/>
          <w:szCs w:val="20"/>
        </w:rPr>
        <w:t>PDD et des PSG</w:t>
      </w:r>
      <w:r w:rsidRPr="00970C57">
        <w:rPr>
          <w:rFonts w:cs="Times New Roman"/>
          <w:sz w:val="20"/>
          <w:szCs w:val="20"/>
        </w:rPr>
        <w:t xml:space="preserve">). Les mêmes activités seront poursuivies pour le District du </w:t>
      </w:r>
      <w:r w:rsidR="00AA6D17">
        <w:rPr>
          <w:rFonts w:cs="Times New Roman"/>
          <w:sz w:val="20"/>
          <w:szCs w:val="20"/>
        </w:rPr>
        <w:t>Mai-Ndombe</w:t>
      </w:r>
      <w:r w:rsidRPr="00970C57">
        <w:rPr>
          <w:rFonts w:cs="Times New Roman"/>
          <w:sz w:val="20"/>
          <w:szCs w:val="20"/>
        </w:rPr>
        <w:t>. Il est prévu de renforcer les capacités des services techniques au niveau local, de sélectionner des agents des ministères de l’environnement, de l’agriculture et du développement rural pour les impliquer dans la mise en</w:t>
      </w:r>
      <w:r w:rsidR="00800617">
        <w:rPr>
          <w:rFonts w:cs="Times New Roman"/>
          <w:sz w:val="20"/>
          <w:szCs w:val="20"/>
        </w:rPr>
        <w:t xml:space="preserve"> œuvre des activités du projet.</w:t>
      </w:r>
      <w:bookmarkStart w:id="7" w:name="_Toc420681584"/>
    </w:p>
    <w:p w:rsidR="00A777B8" w:rsidRDefault="00A777B8" w:rsidP="00A777B8">
      <w:pPr>
        <w:tabs>
          <w:tab w:val="left" w:pos="450"/>
        </w:tabs>
        <w:spacing w:after="0" w:line="240" w:lineRule="auto"/>
        <w:jc w:val="both"/>
        <w:rPr>
          <w:rFonts w:cs="Times New Roman"/>
          <w:sz w:val="20"/>
          <w:szCs w:val="20"/>
        </w:rPr>
      </w:pPr>
    </w:p>
    <w:p w:rsidR="00970C57" w:rsidRDefault="00970C57" w:rsidP="00A777B8">
      <w:pPr>
        <w:tabs>
          <w:tab w:val="left" w:pos="450"/>
        </w:tabs>
        <w:spacing w:after="0" w:line="240" w:lineRule="auto"/>
        <w:jc w:val="both"/>
        <w:rPr>
          <w:b/>
          <w:sz w:val="20"/>
          <w:lang w:eastAsia="en-US"/>
        </w:rPr>
      </w:pPr>
      <w:r w:rsidRPr="00D11963">
        <w:rPr>
          <w:b/>
          <w:sz w:val="20"/>
          <w:lang w:eastAsia="en-US"/>
        </w:rPr>
        <w:t>Objectif 2 : renforcer les capacités des Communautés locales et entités territoriales pour la gestion des Territoires</w:t>
      </w:r>
      <w:bookmarkEnd w:id="7"/>
    </w:p>
    <w:p w:rsidR="00D33E12" w:rsidRPr="00A777B8" w:rsidRDefault="00D33E12" w:rsidP="00A777B8">
      <w:pPr>
        <w:tabs>
          <w:tab w:val="left" w:pos="450"/>
        </w:tabs>
        <w:spacing w:after="0" w:line="240" w:lineRule="auto"/>
        <w:jc w:val="both"/>
        <w:rPr>
          <w:rFonts w:cs="Times New Roman"/>
          <w:sz w:val="20"/>
          <w:szCs w:val="20"/>
        </w:rPr>
      </w:pPr>
    </w:p>
    <w:p w:rsidR="00970C57" w:rsidRPr="00970C57" w:rsidRDefault="00D11963" w:rsidP="00D11963">
      <w:pPr>
        <w:tabs>
          <w:tab w:val="left" w:pos="450"/>
        </w:tabs>
        <w:spacing w:line="240" w:lineRule="auto"/>
        <w:jc w:val="both"/>
        <w:rPr>
          <w:rFonts w:cs="Times New Roman"/>
          <w:sz w:val="20"/>
          <w:szCs w:val="20"/>
        </w:rPr>
      </w:pPr>
      <w:r>
        <w:rPr>
          <w:rFonts w:cs="Times New Roman"/>
          <w:sz w:val="20"/>
          <w:szCs w:val="20"/>
        </w:rPr>
        <w:t>L</w:t>
      </w:r>
      <w:r w:rsidR="00970C57" w:rsidRPr="00970C57">
        <w:rPr>
          <w:rFonts w:cs="Times New Roman"/>
          <w:sz w:val="20"/>
          <w:szCs w:val="20"/>
        </w:rPr>
        <w:t xml:space="preserve">e cœur de la méthodologie du PIREDD Plateau, qui sera appliquée au présent PIREDD </w:t>
      </w:r>
      <w:r w:rsidR="00AA6D17">
        <w:rPr>
          <w:rFonts w:cs="Times New Roman"/>
          <w:sz w:val="20"/>
          <w:szCs w:val="20"/>
        </w:rPr>
        <w:t>Mai-Ndombe</w:t>
      </w:r>
      <w:r w:rsidR="00970C57" w:rsidRPr="00970C57">
        <w:rPr>
          <w:rFonts w:cs="Times New Roman"/>
          <w:sz w:val="20"/>
          <w:szCs w:val="20"/>
        </w:rPr>
        <w:t xml:space="preserve">, consiste à renforcer la structuration associative des terroirs villageois et des Entités Territoriales de Base Décentralisées (ETD) sur le modèle des Comités Locaux de Développement (CLD)  et des Conseils Agricoles Ruraux de </w:t>
      </w:r>
      <w:r w:rsidR="00800617">
        <w:rPr>
          <w:rFonts w:cs="Times New Roman"/>
          <w:sz w:val="20"/>
          <w:szCs w:val="20"/>
        </w:rPr>
        <w:t>Territoire</w:t>
      </w:r>
      <w:r w:rsidR="00970C57" w:rsidRPr="00970C57">
        <w:rPr>
          <w:rFonts w:cs="Times New Roman"/>
          <w:sz w:val="20"/>
          <w:szCs w:val="20"/>
        </w:rPr>
        <w:t xml:space="preserve"> (CART)  préconisés par le Ministère du Développement Rural. Ce renforcement sera basé sur la fondation ou la régénération associative de ces institutions, jusqu’à leur reconnaissance juridique officielle. L’organisation politique coutumière, comme les élus des futures ETD, seront intimement associées à ces institutions. </w:t>
      </w:r>
    </w:p>
    <w:p w:rsidR="00970C57" w:rsidRPr="00970C57" w:rsidRDefault="00970C57" w:rsidP="00D11963">
      <w:pPr>
        <w:tabs>
          <w:tab w:val="left" w:pos="450"/>
        </w:tabs>
        <w:spacing w:line="240" w:lineRule="auto"/>
        <w:jc w:val="both"/>
        <w:rPr>
          <w:rFonts w:cs="Times New Roman"/>
          <w:sz w:val="20"/>
          <w:szCs w:val="20"/>
        </w:rPr>
      </w:pPr>
      <w:r w:rsidRPr="00970C57">
        <w:rPr>
          <w:rFonts w:cs="Times New Roman"/>
          <w:sz w:val="20"/>
          <w:szCs w:val="20"/>
        </w:rPr>
        <w:t>Ces institutions seront amenées à élaborer des Plans de Développement Durable (PDD)</w:t>
      </w:r>
      <w:r w:rsidR="00011DCC">
        <w:rPr>
          <w:rFonts w:cs="Times New Roman"/>
          <w:sz w:val="20"/>
          <w:szCs w:val="20"/>
        </w:rPr>
        <w:t xml:space="preserve"> pour la Province (1), le District du Mai-Ndombe (1), les T</w:t>
      </w:r>
      <w:r w:rsidR="00816D9D">
        <w:rPr>
          <w:rFonts w:cs="Times New Roman"/>
          <w:sz w:val="20"/>
          <w:szCs w:val="20"/>
        </w:rPr>
        <w:t>erritoires (4)</w:t>
      </w:r>
      <w:r w:rsidR="006379AE">
        <w:rPr>
          <w:rFonts w:cs="Times New Roman"/>
          <w:sz w:val="20"/>
          <w:szCs w:val="20"/>
        </w:rPr>
        <w:t xml:space="preserve"> et S</w:t>
      </w:r>
      <w:r w:rsidR="00816D9D">
        <w:rPr>
          <w:rFonts w:cs="Times New Roman"/>
          <w:sz w:val="20"/>
          <w:szCs w:val="20"/>
        </w:rPr>
        <w:t>ecteurs (15)</w:t>
      </w:r>
      <w:r w:rsidR="00011DCC">
        <w:rPr>
          <w:rFonts w:cs="Times New Roman"/>
          <w:sz w:val="20"/>
          <w:szCs w:val="20"/>
        </w:rPr>
        <w:t xml:space="preserve"> du district de Mai-Ndombe,</w:t>
      </w:r>
      <w:r w:rsidR="00816D9D">
        <w:rPr>
          <w:rFonts w:cs="Times New Roman"/>
          <w:sz w:val="20"/>
          <w:szCs w:val="20"/>
        </w:rPr>
        <w:t xml:space="preserve"> et des Plans Simples de Gestion (PSG) pour les terroirs villageois (600)</w:t>
      </w:r>
      <w:r w:rsidRPr="00970C57">
        <w:rPr>
          <w:rFonts w:cs="Times New Roman"/>
          <w:sz w:val="20"/>
          <w:szCs w:val="20"/>
        </w:rPr>
        <w:t>. L’élaboration de ces plans, lancée au niveau des terroirs villageois pour aller jusqu’aux Secteurs</w:t>
      </w:r>
      <w:r w:rsidR="00011DCC">
        <w:rPr>
          <w:rFonts w:cs="Times New Roman"/>
          <w:sz w:val="20"/>
          <w:szCs w:val="20"/>
        </w:rPr>
        <w:t>,</w:t>
      </w:r>
      <w:r w:rsidR="00816D9D">
        <w:rPr>
          <w:rFonts w:cs="Times New Roman"/>
          <w:sz w:val="20"/>
          <w:szCs w:val="20"/>
        </w:rPr>
        <w:t xml:space="preserve"> Territoires</w:t>
      </w:r>
      <w:r w:rsidR="00011DCC">
        <w:rPr>
          <w:rFonts w:cs="Times New Roman"/>
          <w:sz w:val="20"/>
          <w:szCs w:val="20"/>
        </w:rPr>
        <w:t>, District et Province</w:t>
      </w:r>
      <w:r w:rsidRPr="00970C57">
        <w:rPr>
          <w:rFonts w:cs="Times New Roman"/>
          <w:sz w:val="20"/>
          <w:szCs w:val="20"/>
        </w:rPr>
        <w:t xml:space="preserve"> donnera lieu à une analyse collective de l’évolution des ressources naturelles, des causes de la déforestation et de la dégradation des </w:t>
      </w:r>
      <w:r w:rsidR="00816D9D" w:rsidRPr="00970C57">
        <w:rPr>
          <w:rFonts w:cs="Times New Roman"/>
          <w:sz w:val="20"/>
          <w:szCs w:val="20"/>
        </w:rPr>
        <w:t>forê</w:t>
      </w:r>
      <w:r w:rsidR="00816D9D">
        <w:rPr>
          <w:rFonts w:cs="Times New Roman"/>
          <w:sz w:val="20"/>
          <w:szCs w:val="20"/>
        </w:rPr>
        <w:t>t</w:t>
      </w:r>
      <w:r w:rsidR="00816D9D" w:rsidRPr="00970C57">
        <w:rPr>
          <w:rFonts w:cs="Times New Roman"/>
          <w:sz w:val="20"/>
          <w:szCs w:val="20"/>
        </w:rPr>
        <w:t>s</w:t>
      </w:r>
      <w:r w:rsidRPr="00970C57">
        <w:rPr>
          <w:rFonts w:cs="Times New Roman"/>
          <w:sz w:val="20"/>
          <w:szCs w:val="20"/>
        </w:rPr>
        <w:t xml:space="preserve">, et à la programmation des mesures adaptées pour rendre durables l’évolution tout en améliorant les conditions de vie. Ces plans seront élaborés en tenant compte des propositions opérationnelles que le projet fera aux parties prenantes, comme la protection des forêts primaires les plus menacées, la reconquête de la savane notamment par l’agroforesterie, le développement des cultures pérennes, la mise en défens des savanes, l’amélioration des performances de la jachère brulis, la cogestion de la pêche, etc., tout en </w:t>
      </w:r>
      <w:r w:rsidRPr="00970C57">
        <w:rPr>
          <w:rFonts w:cs="Times New Roman"/>
          <w:sz w:val="20"/>
          <w:szCs w:val="20"/>
        </w:rPr>
        <w:lastRenderedPageBreak/>
        <w:t>recommandant des orientations pour les niveaux supérieurs de programmation</w:t>
      </w:r>
      <w:r w:rsidR="00816D9D">
        <w:rPr>
          <w:rFonts w:cs="Times New Roman"/>
          <w:sz w:val="20"/>
          <w:szCs w:val="20"/>
        </w:rPr>
        <w:t xml:space="preserve">. </w:t>
      </w:r>
      <w:r w:rsidRPr="00970C57">
        <w:rPr>
          <w:rFonts w:cs="Times New Roman"/>
          <w:sz w:val="20"/>
          <w:szCs w:val="20"/>
        </w:rPr>
        <w:t>Les plans de Secteur seront</w:t>
      </w:r>
      <w:r w:rsidR="00011DCC">
        <w:rPr>
          <w:rFonts w:cs="Times New Roman"/>
          <w:sz w:val="20"/>
          <w:szCs w:val="20"/>
        </w:rPr>
        <w:t xml:space="preserve"> successivement</w:t>
      </w:r>
      <w:r w:rsidRPr="00970C57">
        <w:rPr>
          <w:rFonts w:cs="Times New Roman"/>
          <w:sz w:val="20"/>
          <w:szCs w:val="20"/>
        </w:rPr>
        <w:t xml:space="preserve"> consolidés au niveau de</w:t>
      </w:r>
      <w:r w:rsidR="00011DCC">
        <w:rPr>
          <w:rFonts w:cs="Times New Roman"/>
          <w:sz w:val="20"/>
          <w:szCs w:val="20"/>
        </w:rPr>
        <w:t>s Territoires, du District</w:t>
      </w:r>
      <w:r w:rsidR="00F54D38">
        <w:rPr>
          <w:rFonts w:cs="Times New Roman"/>
          <w:sz w:val="20"/>
          <w:szCs w:val="20"/>
        </w:rPr>
        <w:t>, et enfin au niveau</w:t>
      </w:r>
      <w:r w:rsidR="00011DCC">
        <w:rPr>
          <w:rFonts w:cs="Times New Roman"/>
          <w:sz w:val="20"/>
          <w:szCs w:val="20"/>
        </w:rPr>
        <w:t xml:space="preserve"> de</w:t>
      </w:r>
      <w:r w:rsidRPr="00970C57">
        <w:rPr>
          <w:rFonts w:cs="Times New Roman"/>
          <w:sz w:val="20"/>
          <w:szCs w:val="20"/>
        </w:rPr>
        <w:t xml:space="preserve"> la Province (ETD) pour </w:t>
      </w:r>
      <w:r w:rsidR="00F54D38">
        <w:rPr>
          <w:rFonts w:cs="Times New Roman"/>
          <w:sz w:val="20"/>
          <w:szCs w:val="20"/>
        </w:rPr>
        <w:t xml:space="preserve">produire </w:t>
      </w:r>
      <w:r w:rsidR="00011DCC">
        <w:rPr>
          <w:rFonts w:cs="Times New Roman"/>
          <w:sz w:val="20"/>
          <w:szCs w:val="20"/>
        </w:rPr>
        <w:t>in fine</w:t>
      </w:r>
      <w:r w:rsidRPr="00970C57">
        <w:rPr>
          <w:rFonts w:cs="Times New Roman"/>
          <w:sz w:val="20"/>
          <w:szCs w:val="20"/>
        </w:rPr>
        <w:t xml:space="preserve"> </w:t>
      </w:r>
      <w:r w:rsidR="00011DCC">
        <w:rPr>
          <w:rFonts w:cs="Times New Roman"/>
          <w:sz w:val="20"/>
          <w:szCs w:val="20"/>
        </w:rPr>
        <w:t>21</w:t>
      </w:r>
      <w:r w:rsidR="00F54D38">
        <w:rPr>
          <w:rFonts w:cs="Times New Roman"/>
          <w:sz w:val="20"/>
          <w:szCs w:val="20"/>
        </w:rPr>
        <w:t xml:space="preserve"> documents distincts</w:t>
      </w:r>
      <w:r w:rsidRPr="00970C57">
        <w:rPr>
          <w:rFonts w:cs="Times New Roman"/>
          <w:sz w:val="20"/>
          <w:szCs w:val="20"/>
        </w:rPr>
        <w:t xml:space="preserve"> </w:t>
      </w:r>
      <w:r w:rsidR="00F54D38">
        <w:rPr>
          <w:rFonts w:cs="Times New Roman"/>
          <w:sz w:val="20"/>
          <w:szCs w:val="20"/>
        </w:rPr>
        <w:t>(</w:t>
      </w:r>
      <w:r w:rsidRPr="00970C57">
        <w:rPr>
          <w:rFonts w:cs="Times New Roman"/>
          <w:sz w:val="20"/>
          <w:szCs w:val="20"/>
        </w:rPr>
        <w:t>PDD</w:t>
      </w:r>
      <w:r w:rsidR="00F54D38">
        <w:rPr>
          <w:rFonts w:cs="Times New Roman"/>
          <w:sz w:val="20"/>
          <w:szCs w:val="20"/>
        </w:rPr>
        <w:t>)</w:t>
      </w:r>
      <w:r w:rsidRPr="00970C57">
        <w:rPr>
          <w:rFonts w:cs="Times New Roman"/>
          <w:sz w:val="20"/>
          <w:szCs w:val="20"/>
        </w:rPr>
        <w:t xml:space="preserve">. </w:t>
      </w:r>
    </w:p>
    <w:p w:rsidR="007E7086" w:rsidRDefault="00970C57" w:rsidP="00D11963">
      <w:pPr>
        <w:tabs>
          <w:tab w:val="left" w:pos="450"/>
        </w:tabs>
        <w:spacing w:line="240" w:lineRule="auto"/>
        <w:jc w:val="both"/>
        <w:rPr>
          <w:rFonts w:cs="Times New Roman"/>
          <w:sz w:val="20"/>
          <w:szCs w:val="20"/>
        </w:rPr>
      </w:pPr>
      <w:r w:rsidRPr="00970C57">
        <w:rPr>
          <w:rFonts w:cs="Times New Roman"/>
          <w:sz w:val="20"/>
          <w:szCs w:val="20"/>
        </w:rPr>
        <w:t>Il existe 137</w:t>
      </w:r>
      <w:r w:rsidR="00011DCC">
        <w:rPr>
          <w:rFonts w:cs="Times New Roman"/>
          <w:sz w:val="20"/>
          <w:szCs w:val="20"/>
        </w:rPr>
        <w:t>2</w:t>
      </w:r>
      <w:r w:rsidRPr="00970C57">
        <w:rPr>
          <w:rFonts w:cs="Times New Roman"/>
          <w:sz w:val="20"/>
          <w:szCs w:val="20"/>
        </w:rPr>
        <w:t xml:space="preserve"> villages recensés et géo-référencés dans le District du </w:t>
      </w:r>
      <w:r w:rsidR="00AA6D17">
        <w:rPr>
          <w:rFonts w:cs="Times New Roman"/>
          <w:sz w:val="20"/>
          <w:szCs w:val="20"/>
        </w:rPr>
        <w:t>Mai-Ndombe</w:t>
      </w:r>
      <w:r w:rsidR="00800617">
        <w:rPr>
          <w:rFonts w:cs="Times New Roman"/>
          <w:sz w:val="20"/>
          <w:szCs w:val="20"/>
        </w:rPr>
        <w:t xml:space="preserve"> </w:t>
      </w:r>
      <w:r w:rsidRPr="00970C57">
        <w:rPr>
          <w:rFonts w:cs="Times New Roman"/>
          <w:sz w:val="20"/>
          <w:szCs w:val="20"/>
        </w:rPr>
        <w:t>et quelques 1100 terroirs.  La planification de la gestion des ressources naturelles de l’ensemble de ces terroirs serait utile, mais son coût</w:t>
      </w:r>
      <w:r w:rsidR="00F54D38">
        <w:rPr>
          <w:rFonts w:cs="Times New Roman"/>
          <w:sz w:val="20"/>
          <w:szCs w:val="20"/>
        </w:rPr>
        <w:t xml:space="preserve"> est</w:t>
      </w:r>
      <w:r w:rsidRPr="00970C57">
        <w:rPr>
          <w:rFonts w:cs="Times New Roman"/>
          <w:sz w:val="20"/>
          <w:szCs w:val="20"/>
        </w:rPr>
        <w:t xml:space="preserve"> élevé. Surtout que nombre de ces terroirs se trouvent en profondeur d</w:t>
      </w:r>
      <w:r w:rsidR="00421D24">
        <w:rPr>
          <w:rFonts w:cs="Times New Roman"/>
          <w:sz w:val="20"/>
          <w:szCs w:val="20"/>
        </w:rPr>
        <w:t>ans</w:t>
      </w:r>
      <w:r w:rsidRPr="00970C57">
        <w:rPr>
          <w:rFonts w:cs="Times New Roman"/>
          <w:sz w:val="20"/>
          <w:szCs w:val="20"/>
        </w:rPr>
        <w:t xml:space="preserve"> la forêt, avec des villages aux faibles effectifs de population. Du point de vue de la réduction de la déforestation et de la dégradation forestière, il est préférable de concentrer les efforts de planification le long des axes fluviaux et routiers et des villages où la pression humaine est la plus forte</w:t>
      </w:r>
      <w:r w:rsidRPr="00535445">
        <w:rPr>
          <w:rFonts w:cs="Times New Roman"/>
          <w:sz w:val="20"/>
          <w:szCs w:val="20"/>
        </w:rPr>
        <w:t>, et où déjà les champs sont en profondeur de plus de 10 km parfois.  Dans le cadre du présent projet, on a estimé à 600</w:t>
      </w:r>
      <w:r w:rsidR="00F54D38">
        <w:rPr>
          <w:rStyle w:val="FootnoteReference"/>
          <w:rFonts w:cs="Times New Roman"/>
          <w:sz w:val="20"/>
          <w:szCs w:val="20"/>
        </w:rPr>
        <w:footnoteReference w:id="4"/>
      </w:r>
      <w:r w:rsidRPr="00535445">
        <w:rPr>
          <w:rFonts w:cs="Times New Roman"/>
          <w:sz w:val="20"/>
          <w:szCs w:val="20"/>
        </w:rPr>
        <w:t xml:space="preserve"> le nombre de terroirs qui entrent dans cette catégorie et qui devront faire l’objet d’un Plan </w:t>
      </w:r>
      <w:r w:rsidR="00421D24">
        <w:rPr>
          <w:rFonts w:cs="Times New Roman"/>
          <w:sz w:val="20"/>
          <w:szCs w:val="20"/>
        </w:rPr>
        <w:t>Simple de Gestion</w:t>
      </w:r>
      <w:r w:rsidRPr="00970C57">
        <w:rPr>
          <w:rFonts w:cs="Times New Roman"/>
          <w:sz w:val="20"/>
          <w:szCs w:val="20"/>
        </w:rPr>
        <w:t>. Avec un nombre de terroirs  déjà trois fois supérieur à celui du PGAPF, il conviendra de privilégier les Groupements comportant des savanes (Kutu) et/ou déjà très fortement anthropisés</w:t>
      </w:r>
      <w:r w:rsidR="00A06355">
        <w:rPr>
          <w:rFonts w:cs="Times New Roman"/>
          <w:sz w:val="20"/>
          <w:szCs w:val="20"/>
        </w:rPr>
        <w:t>, tout en se basant sur l’observation satellitale qui permet d’identifier les points chauds en matière de déforestation (voir figure 3 ci-dessous).</w:t>
      </w:r>
    </w:p>
    <w:p w:rsidR="007E7086" w:rsidRDefault="007E7086" w:rsidP="00ED144B">
      <w:pPr>
        <w:keepNext/>
        <w:tabs>
          <w:tab w:val="left" w:pos="450"/>
        </w:tabs>
        <w:spacing w:line="240" w:lineRule="auto"/>
        <w:jc w:val="center"/>
      </w:pPr>
      <w:r>
        <w:rPr>
          <w:rFonts w:cs="Times New Roman"/>
          <w:noProof/>
          <w:sz w:val="20"/>
          <w:szCs w:val="20"/>
        </w:rPr>
        <w:drawing>
          <wp:inline distT="0" distB="0" distL="0" distR="0">
            <wp:extent cx="4668502" cy="36108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4175" cy="3622928"/>
                    </a:xfrm>
                    <a:prstGeom prst="rect">
                      <a:avLst/>
                    </a:prstGeom>
                    <a:noFill/>
                  </pic:spPr>
                </pic:pic>
              </a:graphicData>
            </a:graphic>
          </wp:inline>
        </w:drawing>
      </w:r>
    </w:p>
    <w:p w:rsidR="007E7086" w:rsidRDefault="007E7086" w:rsidP="00ED144B">
      <w:pPr>
        <w:spacing w:after="0" w:line="240" w:lineRule="auto"/>
        <w:jc w:val="center"/>
        <w:rPr>
          <w:b/>
          <w:color w:val="002060"/>
          <w:sz w:val="20"/>
        </w:rPr>
      </w:pPr>
      <w:r w:rsidRPr="00ED144B">
        <w:rPr>
          <w:b/>
          <w:color w:val="002060"/>
          <w:sz w:val="20"/>
        </w:rPr>
        <w:t xml:space="preserve">Figure </w:t>
      </w:r>
      <w:r>
        <w:rPr>
          <w:b/>
          <w:color w:val="002060"/>
          <w:sz w:val="20"/>
        </w:rPr>
        <w:t>3</w:t>
      </w:r>
      <w:r w:rsidRPr="00ED144B">
        <w:rPr>
          <w:b/>
          <w:color w:val="002060"/>
          <w:sz w:val="20"/>
        </w:rPr>
        <w:t xml:space="preserve">: </w:t>
      </w:r>
      <w:r>
        <w:rPr>
          <w:b/>
          <w:color w:val="002060"/>
          <w:sz w:val="20"/>
        </w:rPr>
        <w:t>Carte localisant les p</w:t>
      </w:r>
      <w:r w:rsidR="00A06355">
        <w:rPr>
          <w:b/>
          <w:color w:val="002060"/>
          <w:sz w:val="20"/>
        </w:rPr>
        <w:t>ertes de couverture forestière sur la période 2001 -2014</w:t>
      </w:r>
    </w:p>
    <w:p w:rsidR="00970C57" w:rsidRPr="00ED144B" w:rsidRDefault="00970C57" w:rsidP="00ED144B">
      <w:pPr>
        <w:spacing w:after="0" w:line="240" w:lineRule="auto"/>
        <w:jc w:val="center"/>
        <w:rPr>
          <w:b/>
          <w:color w:val="002060"/>
          <w:sz w:val="20"/>
        </w:rPr>
      </w:pPr>
    </w:p>
    <w:p w:rsidR="00970C57" w:rsidRPr="00970C57" w:rsidRDefault="00970C57" w:rsidP="00D11963">
      <w:pPr>
        <w:tabs>
          <w:tab w:val="left" w:pos="450"/>
        </w:tabs>
        <w:spacing w:line="240" w:lineRule="auto"/>
        <w:jc w:val="both"/>
        <w:rPr>
          <w:rFonts w:cs="Times New Roman"/>
          <w:sz w:val="20"/>
          <w:szCs w:val="20"/>
        </w:rPr>
      </w:pPr>
      <w:r w:rsidRPr="00535445">
        <w:rPr>
          <w:rFonts w:cs="Times New Roman"/>
          <w:sz w:val="20"/>
          <w:szCs w:val="20"/>
        </w:rPr>
        <w:t>Aux niveaux supérie</w:t>
      </w:r>
      <w:r w:rsidR="00800617" w:rsidRPr="00535445">
        <w:rPr>
          <w:rFonts w:cs="Times New Roman"/>
          <w:sz w:val="20"/>
          <w:szCs w:val="20"/>
        </w:rPr>
        <w:t>urs de la programmation (</w:t>
      </w:r>
      <w:r w:rsidRPr="00535445">
        <w:rPr>
          <w:rFonts w:cs="Times New Roman"/>
          <w:sz w:val="20"/>
          <w:szCs w:val="20"/>
        </w:rPr>
        <w:t>Province</w:t>
      </w:r>
      <w:r w:rsidR="00421D24">
        <w:rPr>
          <w:rFonts w:cs="Times New Roman"/>
          <w:sz w:val="20"/>
          <w:szCs w:val="20"/>
        </w:rPr>
        <w:t>,</w:t>
      </w:r>
      <w:r w:rsidR="00F54D38">
        <w:rPr>
          <w:rFonts w:cs="Times New Roman"/>
          <w:sz w:val="20"/>
          <w:szCs w:val="20"/>
        </w:rPr>
        <w:t xml:space="preserve"> District,</w:t>
      </w:r>
      <w:r w:rsidR="00421D24">
        <w:rPr>
          <w:rFonts w:cs="Times New Roman"/>
          <w:sz w:val="20"/>
          <w:szCs w:val="20"/>
        </w:rPr>
        <w:t xml:space="preserve"> Territoires et Secteurs</w:t>
      </w:r>
      <w:r w:rsidRPr="00535445">
        <w:rPr>
          <w:rFonts w:cs="Times New Roman"/>
          <w:sz w:val="20"/>
          <w:szCs w:val="20"/>
        </w:rPr>
        <w:t>), la planification portera sur les équipements d’intérêt collectif. Ces niveaux sont ceux du Comité de Pilotage du Projet pour les équipements d’intérêt provincial, et celui des CART (Conseils Agricoles Ruraux de Territoire) pour les investissements d’intérêt territorial ou interterritorial</w:t>
      </w:r>
      <w:r w:rsidRPr="00535445">
        <w:rPr>
          <w:rStyle w:val="FootnoteReference"/>
          <w:rFonts w:cs="Times New Roman"/>
          <w:sz w:val="20"/>
          <w:szCs w:val="20"/>
        </w:rPr>
        <w:footnoteReference w:id="5"/>
      </w:r>
      <w:r w:rsidRPr="00535445">
        <w:rPr>
          <w:rFonts w:cs="Times New Roman"/>
          <w:sz w:val="20"/>
          <w:szCs w:val="20"/>
        </w:rPr>
        <w:t>.</w:t>
      </w:r>
      <w:r w:rsidRPr="00970C57">
        <w:rPr>
          <w:rFonts w:cs="Times New Roman"/>
          <w:sz w:val="20"/>
          <w:szCs w:val="20"/>
        </w:rPr>
        <w:t xml:space="preserve"> </w:t>
      </w:r>
    </w:p>
    <w:p w:rsidR="00970C57" w:rsidRPr="00970C57" w:rsidRDefault="00970C57" w:rsidP="00D11963">
      <w:pPr>
        <w:tabs>
          <w:tab w:val="left" w:pos="450"/>
        </w:tabs>
        <w:spacing w:line="240" w:lineRule="auto"/>
        <w:jc w:val="both"/>
        <w:rPr>
          <w:rFonts w:cs="Times New Roman"/>
          <w:sz w:val="20"/>
          <w:szCs w:val="20"/>
        </w:rPr>
      </w:pPr>
      <w:r w:rsidRPr="00970C57">
        <w:rPr>
          <w:rFonts w:cs="Times New Roman"/>
          <w:sz w:val="20"/>
          <w:szCs w:val="20"/>
        </w:rPr>
        <w:lastRenderedPageBreak/>
        <w:t>La méthodologie de mise en œuvre des Plans de tous niveaux comporte : i) la délimitation géo-référencée</w:t>
      </w:r>
      <w:r w:rsidRPr="00970C57">
        <w:rPr>
          <w:rStyle w:val="FootnoteReference"/>
          <w:rFonts w:cs="Times New Roman"/>
          <w:sz w:val="20"/>
          <w:szCs w:val="20"/>
        </w:rPr>
        <w:footnoteReference w:id="6"/>
      </w:r>
      <w:r w:rsidRPr="00970C57">
        <w:rPr>
          <w:rFonts w:cs="Times New Roman"/>
          <w:sz w:val="20"/>
          <w:szCs w:val="20"/>
        </w:rPr>
        <w:t xml:space="preserve"> du Territoire concerné, ii) la délimitation des grands types de couverts végétaux à partir de la couverture satellitaire validée de manière participative, iii) l’état des lieux des formes d’usage et d’appropriation, iv) l’état des lieux cartographié de la présence de la biodiversité et des menaces qui pèsent sur elle, v) l’estimation des besoins en terre</w:t>
      </w:r>
      <w:r w:rsidR="00421D24">
        <w:rPr>
          <w:rFonts w:cs="Times New Roman"/>
          <w:sz w:val="20"/>
          <w:szCs w:val="20"/>
        </w:rPr>
        <w:t>s</w:t>
      </w:r>
      <w:r w:rsidRPr="00970C57">
        <w:rPr>
          <w:rFonts w:cs="Times New Roman"/>
          <w:sz w:val="20"/>
          <w:szCs w:val="20"/>
        </w:rPr>
        <w:t xml:space="preserve"> agricole</w:t>
      </w:r>
      <w:r w:rsidR="00421D24">
        <w:rPr>
          <w:rFonts w:cs="Times New Roman"/>
          <w:sz w:val="20"/>
          <w:szCs w:val="20"/>
        </w:rPr>
        <w:t>s</w:t>
      </w:r>
      <w:r w:rsidRPr="00970C57">
        <w:rPr>
          <w:rFonts w:cs="Times New Roman"/>
          <w:sz w:val="20"/>
          <w:szCs w:val="20"/>
        </w:rPr>
        <w:t xml:space="preserve"> pour les populations locales et la localisation des zones d’expansion, et vi) </w:t>
      </w:r>
      <w:r w:rsidRPr="00D11963">
        <w:rPr>
          <w:rFonts w:cs="Times New Roman"/>
          <w:sz w:val="20"/>
          <w:szCs w:val="20"/>
        </w:rPr>
        <w:t>la définition participative des lignes de conduites à adopter vis-à-vis :</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grandes concessions dont éventuellement la renégociation des réserves foncières paysannes,</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fermes d’élevage en grandes, moyennes et petites concessions, dont éventuellement la récupération des fermes non mises en valeur,</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savanes et la gestion des feux de brousse et les mesures concrètes afférentes,</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forêts notamment les primaires les plus précieuses en termes de biodiversité et de services environnementaux,</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produits forestiers non ligneux,</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rivières les plus poissonneuses et les plus menacées par les pratiques destructrices,</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zones où il est possible d’envisager l’exploitation forestière : (communautaire, artisanale, industrielles),</w:t>
      </w:r>
    </w:p>
    <w:p w:rsidR="00970C57" w:rsidRDefault="00421D24" w:rsidP="002E3A02">
      <w:pPr>
        <w:pStyle w:val="ListParagraph"/>
        <w:numPr>
          <w:ilvl w:val="0"/>
          <w:numId w:val="16"/>
        </w:numPr>
        <w:tabs>
          <w:tab w:val="left" w:pos="993"/>
        </w:tabs>
        <w:ind w:left="720"/>
        <w:jc w:val="both"/>
        <w:rPr>
          <w:rFonts w:asciiTheme="minorHAnsi" w:eastAsiaTheme="minorEastAsia" w:hAnsiTheme="minorHAnsi"/>
          <w:sz w:val="20"/>
          <w:szCs w:val="20"/>
        </w:rPr>
      </w:pPr>
      <w:r>
        <w:rPr>
          <w:rFonts w:asciiTheme="minorHAnsi" w:eastAsiaTheme="minorEastAsia" w:hAnsiTheme="minorHAnsi"/>
          <w:sz w:val="20"/>
          <w:szCs w:val="20"/>
        </w:rPr>
        <w:t xml:space="preserve">de </w:t>
      </w:r>
      <w:r w:rsidR="00970C57" w:rsidRPr="00D11963">
        <w:rPr>
          <w:rFonts w:asciiTheme="minorHAnsi" w:eastAsiaTheme="minorEastAsia" w:hAnsiTheme="minorHAnsi"/>
          <w:sz w:val="20"/>
          <w:szCs w:val="20"/>
        </w:rPr>
        <w:t>la création de concessions de conservation,</w:t>
      </w:r>
    </w:p>
    <w:p w:rsidR="00421D24" w:rsidRPr="00D11963" w:rsidRDefault="00421D24" w:rsidP="002E3A02">
      <w:pPr>
        <w:pStyle w:val="ListParagraph"/>
        <w:numPr>
          <w:ilvl w:val="0"/>
          <w:numId w:val="16"/>
        </w:numPr>
        <w:tabs>
          <w:tab w:val="left" w:pos="993"/>
        </w:tabs>
        <w:ind w:left="720"/>
        <w:jc w:val="both"/>
        <w:rPr>
          <w:rFonts w:asciiTheme="minorHAnsi" w:eastAsiaTheme="minorEastAsia" w:hAnsiTheme="minorHAnsi"/>
          <w:sz w:val="20"/>
          <w:szCs w:val="20"/>
        </w:rPr>
      </w:pPr>
      <w:r>
        <w:rPr>
          <w:rFonts w:asciiTheme="minorHAnsi" w:eastAsiaTheme="minorEastAsia" w:hAnsiTheme="minorHAnsi"/>
          <w:sz w:val="20"/>
          <w:szCs w:val="20"/>
        </w:rPr>
        <w:t>de la création de forêts communautaires,</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des forêts inondées ainsi que de la chasse et de la protection des espèces les plus menacées, végétales et animales,</w:t>
      </w:r>
    </w:p>
    <w:p w:rsidR="00970C57" w:rsidRPr="00D11963" w:rsidRDefault="00421D24" w:rsidP="002E3A02">
      <w:pPr>
        <w:pStyle w:val="ListParagraph"/>
        <w:numPr>
          <w:ilvl w:val="0"/>
          <w:numId w:val="16"/>
        </w:numPr>
        <w:tabs>
          <w:tab w:val="left" w:pos="993"/>
        </w:tabs>
        <w:ind w:left="720"/>
        <w:jc w:val="both"/>
        <w:rPr>
          <w:rFonts w:asciiTheme="minorHAnsi" w:eastAsiaTheme="minorEastAsia" w:hAnsiTheme="minorHAnsi"/>
          <w:sz w:val="20"/>
          <w:szCs w:val="20"/>
        </w:rPr>
      </w:pPr>
      <w:r>
        <w:rPr>
          <w:rFonts w:asciiTheme="minorHAnsi" w:eastAsiaTheme="minorEastAsia" w:hAnsiTheme="minorHAnsi"/>
          <w:sz w:val="20"/>
          <w:szCs w:val="20"/>
        </w:rPr>
        <w:t>d</w:t>
      </w:r>
      <w:r w:rsidR="00970C57" w:rsidRPr="00D11963">
        <w:rPr>
          <w:rFonts w:asciiTheme="minorHAnsi" w:eastAsiaTheme="minorEastAsia" w:hAnsiTheme="minorHAnsi"/>
          <w:sz w:val="20"/>
          <w:szCs w:val="20"/>
        </w:rPr>
        <w:t>u charbonnage (là où on peut le pratiquer, comment on peut le pratiquer, ce que l’on peut ou pas couper afin de protéger la biodiversité, l’enrichissement de la jachère, etc.</w:t>
      </w:r>
      <w:r>
        <w:rPr>
          <w:rFonts w:asciiTheme="minorHAnsi" w:eastAsiaTheme="minorEastAsia" w:hAnsiTheme="minorHAnsi"/>
          <w:sz w:val="20"/>
          <w:szCs w:val="20"/>
        </w:rPr>
        <w:t>)</w:t>
      </w:r>
      <w:r w:rsidR="00970C57" w:rsidRPr="00D11963">
        <w:rPr>
          <w:rFonts w:asciiTheme="minorHAnsi" w:eastAsiaTheme="minorEastAsia" w:hAnsiTheme="minorHAnsi"/>
          <w:sz w:val="20"/>
          <w:szCs w:val="20"/>
        </w:rPr>
        <w:t>,</w:t>
      </w:r>
    </w:p>
    <w:p w:rsidR="00970C57" w:rsidRPr="00D11963" w:rsidRDefault="00421D24" w:rsidP="002E3A02">
      <w:pPr>
        <w:pStyle w:val="ListParagraph"/>
        <w:numPr>
          <w:ilvl w:val="0"/>
          <w:numId w:val="16"/>
        </w:numPr>
        <w:tabs>
          <w:tab w:val="left" w:pos="993"/>
        </w:tabs>
        <w:ind w:left="720"/>
        <w:jc w:val="both"/>
        <w:rPr>
          <w:rFonts w:asciiTheme="minorHAnsi" w:eastAsiaTheme="minorEastAsia" w:hAnsiTheme="minorHAnsi"/>
          <w:sz w:val="20"/>
          <w:szCs w:val="20"/>
        </w:rPr>
      </w:pPr>
      <w:r>
        <w:rPr>
          <w:rFonts w:asciiTheme="minorHAnsi" w:eastAsiaTheme="minorEastAsia" w:hAnsiTheme="minorHAnsi"/>
          <w:sz w:val="20"/>
          <w:szCs w:val="20"/>
        </w:rPr>
        <w:t>d</w:t>
      </w:r>
      <w:r w:rsidR="00970C57" w:rsidRPr="00D11963">
        <w:rPr>
          <w:rFonts w:asciiTheme="minorHAnsi" w:eastAsiaTheme="minorEastAsia" w:hAnsiTheme="minorHAnsi"/>
          <w:sz w:val="20"/>
          <w:szCs w:val="20"/>
        </w:rPr>
        <w:t>es pratiques agricoles en savane et en forêt (gestion des feux, expérimentation de nouvelles cultures, y compris sur des zones de décrue, gestion et amélioration des brulis et des jachères, agroforesterie, cultures pérennes),</w:t>
      </w:r>
    </w:p>
    <w:p w:rsidR="00970C57" w:rsidRPr="00D11963" w:rsidRDefault="00421D24" w:rsidP="002E3A02">
      <w:pPr>
        <w:pStyle w:val="ListParagraph"/>
        <w:numPr>
          <w:ilvl w:val="0"/>
          <w:numId w:val="16"/>
        </w:numPr>
        <w:tabs>
          <w:tab w:val="left" w:pos="993"/>
        </w:tabs>
        <w:ind w:left="720"/>
        <w:jc w:val="both"/>
        <w:rPr>
          <w:rFonts w:asciiTheme="minorHAnsi" w:eastAsiaTheme="minorEastAsia" w:hAnsiTheme="minorHAnsi"/>
          <w:sz w:val="20"/>
          <w:szCs w:val="20"/>
        </w:rPr>
      </w:pPr>
      <w:r>
        <w:rPr>
          <w:rFonts w:asciiTheme="minorHAnsi" w:eastAsiaTheme="minorEastAsia" w:hAnsiTheme="minorHAnsi"/>
          <w:sz w:val="20"/>
          <w:szCs w:val="20"/>
        </w:rPr>
        <w:t>d</w:t>
      </w:r>
      <w:r w:rsidR="00970C57" w:rsidRPr="00D11963">
        <w:rPr>
          <w:rFonts w:asciiTheme="minorHAnsi" w:eastAsiaTheme="minorEastAsia" w:hAnsiTheme="minorHAnsi"/>
          <w:sz w:val="20"/>
          <w:szCs w:val="20"/>
        </w:rPr>
        <w:t>es besoins en équipements et des mesures à prendre pour les satisfaire en particulier par les entités concernées (travail</w:t>
      </w:r>
      <w:r w:rsidR="00E026E6">
        <w:rPr>
          <w:rFonts w:asciiTheme="minorHAnsi" w:eastAsiaTheme="minorEastAsia" w:hAnsiTheme="minorHAnsi"/>
          <w:sz w:val="20"/>
          <w:szCs w:val="20"/>
        </w:rPr>
        <w:t xml:space="preserve">, apports divers, financement): </w:t>
      </w:r>
      <w:r w:rsidR="00970C57" w:rsidRPr="00D11963">
        <w:rPr>
          <w:rFonts w:asciiTheme="minorHAnsi" w:eastAsiaTheme="minorEastAsia" w:hAnsiTheme="minorHAnsi"/>
          <w:sz w:val="20"/>
          <w:szCs w:val="20"/>
        </w:rPr>
        <w:t>routes, ponts, équipements de transformation et de transport,</w:t>
      </w:r>
    </w:p>
    <w:p w:rsidR="00970C57" w:rsidRPr="00D11963" w:rsidRDefault="00421D24" w:rsidP="002E3A02">
      <w:pPr>
        <w:pStyle w:val="ListParagraph"/>
        <w:numPr>
          <w:ilvl w:val="0"/>
          <w:numId w:val="16"/>
        </w:numPr>
        <w:tabs>
          <w:tab w:val="left" w:pos="993"/>
        </w:tabs>
        <w:ind w:left="720"/>
        <w:jc w:val="both"/>
        <w:rPr>
          <w:rFonts w:asciiTheme="minorHAnsi" w:eastAsiaTheme="minorEastAsia" w:hAnsiTheme="minorHAnsi"/>
          <w:sz w:val="20"/>
          <w:szCs w:val="20"/>
        </w:rPr>
      </w:pPr>
      <w:r>
        <w:rPr>
          <w:rFonts w:asciiTheme="minorHAnsi" w:eastAsiaTheme="minorEastAsia" w:hAnsiTheme="minorHAnsi"/>
          <w:sz w:val="20"/>
          <w:szCs w:val="20"/>
        </w:rPr>
        <w:t>d</w:t>
      </w:r>
      <w:r w:rsidR="00970C57" w:rsidRPr="00D11963">
        <w:rPr>
          <w:rFonts w:asciiTheme="minorHAnsi" w:eastAsiaTheme="minorEastAsia" w:hAnsiTheme="minorHAnsi"/>
          <w:sz w:val="20"/>
          <w:szCs w:val="20"/>
        </w:rPr>
        <w:t>es mesures à prendre pour rendre contraignantes les dispositions des plans.</w:t>
      </w:r>
    </w:p>
    <w:p w:rsidR="00970C57" w:rsidRPr="00970C57" w:rsidRDefault="00970C57" w:rsidP="00D11963">
      <w:pPr>
        <w:tabs>
          <w:tab w:val="left" w:pos="993"/>
        </w:tabs>
        <w:spacing w:after="0" w:line="240" w:lineRule="auto"/>
        <w:jc w:val="both"/>
        <w:rPr>
          <w:rFonts w:cs="Times New Roman"/>
          <w:sz w:val="20"/>
          <w:szCs w:val="20"/>
        </w:rPr>
      </w:pPr>
    </w:p>
    <w:p w:rsidR="00970C57" w:rsidRDefault="00970C57" w:rsidP="00D11963">
      <w:pPr>
        <w:tabs>
          <w:tab w:val="left" w:pos="450"/>
        </w:tabs>
        <w:spacing w:line="240" w:lineRule="auto"/>
        <w:jc w:val="both"/>
        <w:rPr>
          <w:rFonts w:cs="Times New Roman"/>
          <w:sz w:val="20"/>
          <w:szCs w:val="20"/>
        </w:rPr>
      </w:pPr>
      <w:r w:rsidRPr="00970C57">
        <w:rPr>
          <w:rFonts w:cs="Times New Roman"/>
          <w:sz w:val="20"/>
          <w:szCs w:val="20"/>
        </w:rPr>
        <w:t xml:space="preserve">Ces éléments seront renseignés de manière participative, en s’assurant  que des </w:t>
      </w:r>
      <w:r w:rsidRPr="00D11963">
        <w:rPr>
          <w:rFonts w:cs="Times New Roman"/>
          <w:sz w:val="20"/>
          <w:szCs w:val="20"/>
        </w:rPr>
        <w:t>représentants qualifiés</w:t>
      </w:r>
      <w:r w:rsidRPr="00970C57">
        <w:rPr>
          <w:rFonts w:cs="Times New Roman"/>
          <w:sz w:val="20"/>
          <w:szCs w:val="20"/>
        </w:rPr>
        <w:t xml:space="preserve"> de tous les groupes concernés participent aux réunions de programmation, et que leurs intérêts particuliers soient entendus et pris en compte dans la programmation, de </w:t>
      </w:r>
      <w:r w:rsidRPr="00D11963">
        <w:rPr>
          <w:rFonts w:cs="Times New Roman"/>
          <w:sz w:val="20"/>
          <w:szCs w:val="20"/>
        </w:rPr>
        <w:t>manière distincte et spécifique.</w:t>
      </w:r>
      <w:r w:rsidRPr="00970C57">
        <w:rPr>
          <w:rFonts w:cs="Times New Roman"/>
          <w:sz w:val="20"/>
          <w:szCs w:val="20"/>
        </w:rPr>
        <w:t xml:space="preserve"> Font partie de ces groupes: les femmes, les jeunes, les peuples autochtones, les groupes vulnérables.</w:t>
      </w:r>
    </w:p>
    <w:p w:rsidR="009260FC" w:rsidRDefault="009260FC">
      <w:pPr>
        <w:tabs>
          <w:tab w:val="left" w:pos="450"/>
        </w:tabs>
        <w:spacing w:line="240" w:lineRule="auto"/>
        <w:jc w:val="both"/>
        <w:rPr>
          <w:rFonts w:cs="Times New Roman"/>
          <w:sz w:val="20"/>
          <w:szCs w:val="20"/>
        </w:rPr>
      </w:pPr>
      <w:r>
        <w:rPr>
          <w:rFonts w:cs="Times New Roman"/>
          <w:sz w:val="20"/>
          <w:szCs w:val="20"/>
        </w:rPr>
        <w:t xml:space="preserve">Le programme tiendra compte des initiatives en cours en matière de géo-référencement des terroirs villageois, et notamment du projet « Mapping for Rights » de </w:t>
      </w:r>
      <w:r w:rsidR="009F1103">
        <w:rPr>
          <w:rFonts w:cs="Times New Roman"/>
          <w:sz w:val="20"/>
          <w:szCs w:val="20"/>
        </w:rPr>
        <w:t>la Rainforest Foundation UK, qui a démarré dans le Nord de la Province, et autour du Lac Mai-Ndombe.</w:t>
      </w:r>
    </w:p>
    <w:p w:rsidR="009260FC" w:rsidRDefault="009260FC" w:rsidP="00ED144B">
      <w:pPr>
        <w:keepNext/>
        <w:tabs>
          <w:tab w:val="left" w:pos="450"/>
        </w:tabs>
        <w:spacing w:line="240" w:lineRule="auto"/>
        <w:jc w:val="center"/>
      </w:pPr>
      <w:r>
        <w:rPr>
          <w:noProof/>
        </w:rPr>
        <w:lastRenderedPageBreak/>
        <w:drawing>
          <wp:inline distT="0" distB="0" distL="0" distR="0">
            <wp:extent cx="4373880" cy="305154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398" t="37543" r="62546" b="17742"/>
                    <a:stretch/>
                  </pic:blipFill>
                  <pic:spPr bwMode="auto">
                    <a:xfrm>
                      <a:off x="0" y="0"/>
                      <a:ext cx="4397944" cy="3068333"/>
                    </a:xfrm>
                    <a:prstGeom prst="rect">
                      <a:avLst/>
                    </a:prstGeom>
                    <a:ln>
                      <a:noFill/>
                    </a:ln>
                    <a:extLst>
                      <a:ext uri="{53640926-AAD7-44D8-BBD7-CCE9431645EC}">
                        <a14:shadowObscured xmlns:a14="http://schemas.microsoft.com/office/drawing/2010/main"/>
                      </a:ext>
                    </a:extLst>
                  </pic:spPr>
                </pic:pic>
              </a:graphicData>
            </a:graphic>
          </wp:inline>
        </w:drawing>
      </w:r>
    </w:p>
    <w:p w:rsidR="009260FC" w:rsidRPr="00947BB6" w:rsidRDefault="009260FC" w:rsidP="00ED144B">
      <w:pPr>
        <w:pStyle w:val="Caption"/>
        <w:jc w:val="center"/>
        <w:rPr>
          <w:rFonts w:cs="Times New Roman"/>
          <w:sz w:val="20"/>
          <w:szCs w:val="20"/>
        </w:rPr>
      </w:pPr>
      <w:r w:rsidRPr="009260FC">
        <w:rPr>
          <w:b/>
          <w:i w:val="0"/>
          <w:iCs w:val="0"/>
          <w:color w:val="002060"/>
          <w:sz w:val="20"/>
        </w:rPr>
        <w:t>Figure 4</w:t>
      </w:r>
      <w:r w:rsidRPr="00ED144B">
        <w:rPr>
          <w:rFonts w:eastAsiaTheme="minorEastAsia"/>
          <w:b/>
          <w:i w:val="0"/>
          <w:iCs w:val="0"/>
          <w:color w:val="002060"/>
          <w:sz w:val="20"/>
          <w:szCs w:val="22"/>
          <w:lang w:eastAsia="fr-FR"/>
        </w:rPr>
        <w:t xml:space="preserve">: </w:t>
      </w:r>
      <w:r w:rsidRPr="00ED144B">
        <w:rPr>
          <w:b/>
          <w:color w:val="002060"/>
          <w:sz w:val="20"/>
        </w:rPr>
        <w:t xml:space="preserve">Terroirs villageois </w:t>
      </w:r>
      <w:r w:rsidRPr="009260FC">
        <w:rPr>
          <w:b/>
          <w:i w:val="0"/>
          <w:iCs w:val="0"/>
          <w:color w:val="002060"/>
          <w:sz w:val="20"/>
        </w:rPr>
        <w:t>déjà</w:t>
      </w:r>
      <w:r w:rsidRPr="00ED144B">
        <w:rPr>
          <w:b/>
          <w:color w:val="002060"/>
          <w:sz w:val="20"/>
        </w:rPr>
        <w:t xml:space="preserve"> </w:t>
      </w:r>
      <w:r>
        <w:rPr>
          <w:b/>
          <w:i w:val="0"/>
          <w:iCs w:val="0"/>
          <w:color w:val="002060"/>
          <w:sz w:val="20"/>
        </w:rPr>
        <w:t>cartographié</w:t>
      </w:r>
      <w:r w:rsidRPr="009260FC">
        <w:rPr>
          <w:b/>
          <w:i w:val="0"/>
          <w:iCs w:val="0"/>
          <w:color w:val="002060"/>
          <w:sz w:val="20"/>
        </w:rPr>
        <w:t>s</w:t>
      </w:r>
      <w:r w:rsidRPr="00ED144B">
        <w:rPr>
          <w:b/>
          <w:color w:val="002060"/>
          <w:sz w:val="20"/>
        </w:rPr>
        <w:t xml:space="preserve"> par le projet</w:t>
      </w:r>
      <w:r w:rsidRPr="009260FC">
        <w:rPr>
          <w:b/>
          <w:color w:val="002060"/>
          <w:sz w:val="20"/>
        </w:rPr>
        <w:t xml:space="preserve"> “Mapping for rights” </w:t>
      </w:r>
      <w:r w:rsidRPr="00ED144B">
        <w:rPr>
          <w:b/>
          <w:color w:val="002060"/>
          <w:sz w:val="20"/>
        </w:rPr>
        <w:t xml:space="preserve">de </w:t>
      </w:r>
      <w:r>
        <w:rPr>
          <w:b/>
          <w:i w:val="0"/>
          <w:iCs w:val="0"/>
          <w:color w:val="002060"/>
          <w:sz w:val="20"/>
        </w:rPr>
        <w:t>la Rainf</w:t>
      </w:r>
      <w:r w:rsidRPr="00ED144B">
        <w:rPr>
          <w:b/>
          <w:color w:val="002060"/>
          <w:sz w:val="20"/>
        </w:rPr>
        <w:t xml:space="preserve">orest </w:t>
      </w:r>
      <w:r>
        <w:rPr>
          <w:b/>
          <w:i w:val="0"/>
          <w:iCs w:val="0"/>
          <w:color w:val="002060"/>
          <w:sz w:val="20"/>
        </w:rPr>
        <w:t xml:space="preserve">Foundation </w:t>
      </w:r>
      <w:r w:rsidRPr="00ED144B">
        <w:rPr>
          <w:b/>
          <w:color w:val="002060"/>
          <w:sz w:val="20"/>
        </w:rPr>
        <w:t>UK</w:t>
      </w:r>
    </w:p>
    <w:p w:rsidR="00970C57" w:rsidRPr="00D11963" w:rsidRDefault="00970C57" w:rsidP="00D11963">
      <w:pPr>
        <w:tabs>
          <w:tab w:val="left" w:pos="450"/>
        </w:tabs>
        <w:spacing w:line="240" w:lineRule="auto"/>
        <w:jc w:val="both"/>
        <w:rPr>
          <w:rFonts w:cs="Times New Roman"/>
          <w:sz w:val="20"/>
          <w:szCs w:val="20"/>
        </w:rPr>
      </w:pPr>
      <w:r w:rsidRPr="00970C57">
        <w:rPr>
          <w:rFonts w:cs="Times New Roman"/>
          <w:sz w:val="20"/>
          <w:szCs w:val="20"/>
        </w:rPr>
        <w:t xml:space="preserve">Les Plans de niveau supérieur (Secteurs, Communes, Territoires, Province) feront notamment ressortir les mesures à prendre à leurs niveaux en matière de production de textes réglementaires (édits provinciaux et d’ETD), les responsabilités pour les </w:t>
      </w:r>
      <w:r w:rsidRPr="00D11963">
        <w:rPr>
          <w:rFonts w:cs="Times New Roman"/>
          <w:sz w:val="20"/>
          <w:szCs w:val="20"/>
        </w:rPr>
        <w:t xml:space="preserve">élaborer, les valider, les promulguer, les mettre en œuvre. </w:t>
      </w:r>
    </w:p>
    <w:p w:rsidR="00970C57" w:rsidRPr="00970C57" w:rsidRDefault="00970C57" w:rsidP="00D11963">
      <w:pPr>
        <w:tabs>
          <w:tab w:val="left" w:pos="450"/>
        </w:tabs>
        <w:spacing w:line="240" w:lineRule="auto"/>
        <w:jc w:val="both"/>
        <w:rPr>
          <w:rFonts w:cs="Times New Roman"/>
          <w:sz w:val="20"/>
          <w:szCs w:val="20"/>
        </w:rPr>
      </w:pPr>
      <w:r w:rsidRPr="00D11963">
        <w:rPr>
          <w:rFonts w:cs="Times New Roman"/>
          <w:sz w:val="20"/>
          <w:szCs w:val="20"/>
        </w:rPr>
        <w:t xml:space="preserve">Les </w:t>
      </w:r>
      <w:r w:rsidR="00421D24">
        <w:rPr>
          <w:rFonts w:cs="Times New Roman"/>
          <w:sz w:val="20"/>
          <w:szCs w:val="20"/>
        </w:rPr>
        <w:t>PDD et les PSG</w:t>
      </w:r>
      <w:r w:rsidRPr="00D11963">
        <w:rPr>
          <w:rFonts w:cs="Times New Roman"/>
          <w:sz w:val="20"/>
          <w:szCs w:val="20"/>
        </w:rPr>
        <w:t xml:space="preserve"> feront l’objet de contrats de mise en œuvre couvrant</w:t>
      </w:r>
      <w:r w:rsidRPr="00970C57">
        <w:rPr>
          <w:rFonts w:cs="Times New Roman"/>
          <w:sz w:val="20"/>
          <w:szCs w:val="20"/>
        </w:rPr>
        <w:t xml:space="preserve"> tout ou en partie </w:t>
      </w:r>
      <w:r w:rsidR="00421D24">
        <w:rPr>
          <w:rFonts w:cs="Times New Roman"/>
          <w:sz w:val="20"/>
          <w:szCs w:val="20"/>
        </w:rPr>
        <w:t>d</w:t>
      </w:r>
      <w:r w:rsidRPr="00970C57">
        <w:rPr>
          <w:rFonts w:cs="Times New Roman"/>
          <w:sz w:val="20"/>
          <w:szCs w:val="20"/>
        </w:rPr>
        <w:t xml:space="preserve">es activités prévues. Ces contrats, comme les plans eux-mêmes, seront formalisés sous formats standard et déposés aux bureaux du plan des administrations territoriales et de l’ETD. </w:t>
      </w:r>
    </w:p>
    <w:p w:rsidR="00970C57" w:rsidRPr="00970C57" w:rsidRDefault="00970C57" w:rsidP="00D11963">
      <w:pPr>
        <w:tabs>
          <w:tab w:val="left" w:pos="450"/>
        </w:tabs>
        <w:spacing w:line="240" w:lineRule="auto"/>
        <w:jc w:val="both"/>
        <w:rPr>
          <w:rFonts w:cs="Times New Roman"/>
          <w:sz w:val="20"/>
          <w:szCs w:val="20"/>
        </w:rPr>
      </w:pPr>
      <w:r w:rsidRPr="00970C57">
        <w:rPr>
          <w:rFonts w:cs="Times New Roman"/>
          <w:sz w:val="20"/>
          <w:szCs w:val="20"/>
        </w:rPr>
        <w:t xml:space="preserve">Il sera possible de réaliser des Plans de Développement Durable spécifiques pour la périphérie des concessions, qui parfois chevauchent plusieurs Secteurs. </w:t>
      </w:r>
    </w:p>
    <w:p w:rsidR="00970C57" w:rsidRPr="00970C57" w:rsidRDefault="00970C57" w:rsidP="00D11963">
      <w:pPr>
        <w:tabs>
          <w:tab w:val="left" w:pos="450"/>
        </w:tabs>
        <w:spacing w:line="240" w:lineRule="auto"/>
        <w:jc w:val="both"/>
        <w:rPr>
          <w:rFonts w:cs="Times New Roman"/>
          <w:sz w:val="20"/>
          <w:szCs w:val="20"/>
        </w:rPr>
      </w:pPr>
      <w:r w:rsidRPr="00970C57">
        <w:rPr>
          <w:rFonts w:cs="Times New Roman"/>
          <w:sz w:val="20"/>
          <w:szCs w:val="20"/>
        </w:rPr>
        <w:t xml:space="preserve">Il est important de souligner que les Plans de Développement Durable, s’ils comprennent des éléments d’intérêt collectif, comme l’entretien des routes de desserte agricole ou la transformation des produits à petite échelle, et s’ils doivent concerner principalement la petite paysannerie, peuvent aussi s’adresser aux opérateurs privés de taille intermédiaire, qui existent dans le </w:t>
      </w:r>
      <w:r w:rsidR="00AA6D17">
        <w:rPr>
          <w:rFonts w:cs="Times New Roman"/>
          <w:sz w:val="20"/>
          <w:szCs w:val="20"/>
        </w:rPr>
        <w:t>Mai-Ndombe</w:t>
      </w:r>
      <w:r w:rsidR="00800617">
        <w:rPr>
          <w:rFonts w:cs="Times New Roman"/>
          <w:sz w:val="20"/>
          <w:szCs w:val="20"/>
        </w:rPr>
        <w:t xml:space="preserve"> </w:t>
      </w:r>
      <w:r w:rsidRPr="00970C57">
        <w:rPr>
          <w:rFonts w:cs="Times New Roman"/>
          <w:sz w:val="20"/>
          <w:szCs w:val="20"/>
        </w:rPr>
        <w:t>comme dans le</w:t>
      </w:r>
      <w:r w:rsidR="00E31F93">
        <w:rPr>
          <w:rFonts w:cs="Times New Roman"/>
          <w:sz w:val="20"/>
          <w:szCs w:val="20"/>
        </w:rPr>
        <w:t xml:space="preserve"> district </w:t>
      </w:r>
      <w:r w:rsidR="00A5055A">
        <w:rPr>
          <w:rFonts w:cs="Times New Roman"/>
          <w:sz w:val="20"/>
          <w:szCs w:val="20"/>
        </w:rPr>
        <w:t>du Plateau</w:t>
      </w:r>
      <w:r w:rsidRPr="00970C57">
        <w:rPr>
          <w:rFonts w:cs="Times New Roman"/>
          <w:sz w:val="20"/>
          <w:szCs w:val="20"/>
        </w:rPr>
        <w:t xml:space="preserve">, ou des particuliers détiennent des terres (concessions fermières ou certificats d’enregistrement). </w:t>
      </w:r>
    </w:p>
    <w:p w:rsidR="00970C57" w:rsidRPr="00970C57" w:rsidRDefault="00970C57" w:rsidP="00D11963">
      <w:pPr>
        <w:tabs>
          <w:tab w:val="left" w:pos="450"/>
        </w:tabs>
        <w:spacing w:line="240" w:lineRule="auto"/>
        <w:jc w:val="both"/>
        <w:rPr>
          <w:rFonts w:cs="Times New Roman"/>
          <w:sz w:val="20"/>
          <w:szCs w:val="20"/>
        </w:rPr>
      </w:pPr>
      <w:r w:rsidRPr="00970C57">
        <w:rPr>
          <w:rFonts w:cs="Times New Roman"/>
          <w:sz w:val="20"/>
          <w:szCs w:val="20"/>
        </w:rPr>
        <w:t xml:space="preserve">Les résultats intermédiaires attendus de l’objectif 1 figurent dans le tableau suivant : </w:t>
      </w:r>
    </w:p>
    <w:tbl>
      <w:tblPr>
        <w:tblW w:w="9630" w:type="dxa"/>
        <w:tblInd w:w="-5" w:type="dxa"/>
        <w:tblLook w:val="04A0" w:firstRow="1" w:lastRow="0" w:firstColumn="1" w:lastColumn="0" w:noHBand="0" w:noVBand="1"/>
      </w:tblPr>
      <w:tblGrid>
        <w:gridCol w:w="567"/>
        <w:gridCol w:w="3213"/>
        <w:gridCol w:w="2790"/>
        <w:gridCol w:w="3060"/>
      </w:tblGrid>
      <w:tr w:rsidR="00970C57" w:rsidRPr="00800617" w:rsidTr="00BA7EC4">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70C57" w:rsidRPr="00800617" w:rsidRDefault="00970C57">
            <w:pPr>
              <w:tabs>
                <w:tab w:val="left" w:pos="450"/>
              </w:tabs>
              <w:spacing w:after="0" w:line="240" w:lineRule="auto"/>
              <w:jc w:val="center"/>
              <w:rPr>
                <w:rFonts w:cs="Times New Roman"/>
                <w:sz w:val="20"/>
                <w:szCs w:val="20"/>
              </w:rPr>
            </w:pPr>
          </w:p>
        </w:tc>
        <w:tc>
          <w:tcPr>
            <w:tcW w:w="32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800617" w:rsidRDefault="00970C57">
            <w:pPr>
              <w:tabs>
                <w:tab w:val="left" w:pos="450"/>
              </w:tabs>
              <w:spacing w:after="0" w:line="240" w:lineRule="auto"/>
              <w:jc w:val="center"/>
              <w:rPr>
                <w:rFonts w:cs="Times New Roman"/>
                <w:b/>
                <w:sz w:val="20"/>
                <w:szCs w:val="20"/>
              </w:rPr>
            </w:pPr>
            <w:r w:rsidRPr="00800617">
              <w:rPr>
                <w:rFonts w:cs="Times New Roman"/>
                <w:b/>
                <w:sz w:val="20"/>
                <w:szCs w:val="20"/>
              </w:rPr>
              <w:t>Résultats</w:t>
            </w:r>
          </w:p>
        </w:tc>
        <w:tc>
          <w:tcPr>
            <w:tcW w:w="279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800617" w:rsidRDefault="00970C57">
            <w:pPr>
              <w:tabs>
                <w:tab w:val="left" w:pos="450"/>
              </w:tabs>
              <w:spacing w:after="0" w:line="240" w:lineRule="auto"/>
              <w:jc w:val="center"/>
              <w:rPr>
                <w:rFonts w:cs="Times New Roman"/>
                <w:b/>
                <w:sz w:val="20"/>
                <w:szCs w:val="20"/>
              </w:rPr>
            </w:pPr>
            <w:r w:rsidRPr="00800617">
              <w:rPr>
                <w:rFonts w:cs="Times New Roman"/>
                <w:b/>
                <w:sz w:val="20"/>
                <w:szCs w:val="20"/>
              </w:rPr>
              <w:t>Indicateurs de résultat</w:t>
            </w:r>
          </w:p>
        </w:tc>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800617" w:rsidRDefault="00970C57">
            <w:pPr>
              <w:tabs>
                <w:tab w:val="left" w:pos="450"/>
              </w:tabs>
              <w:spacing w:after="0" w:line="240" w:lineRule="auto"/>
              <w:jc w:val="center"/>
              <w:rPr>
                <w:rFonts w:cs="Times New Roman"/>
                <w:b/>
                <w:sz w:val="20"/>
                <w:szCs w:val="20"/>
              </w:rPr>
            </w:pPr>
            <w:r w:rsidRPr="00800617">
              <w:rPr>
                <w:rFonts w:cs="Times New Roman"/>
                <w:b/>
                <w:sz w:val="20"/>
                <w:szCs w:val="20"/>
              </w:rPr>
              <w:t>Source de vérification</w:t>
            </w:r>
          </w:p>
        </w:tc>
      </w:tr>
      <w:tr w:rsidR="00970C57" w:rsidRPr="00800617" w:rsidTr="00BA7EC4">
        <w:tc>
          <w:tcPr>
            <w:tcW w:w="567" w:type="dxa"/>
            <w:tcBorders>
              <w:top w:val="single" w:sz="4" w:space="0" w:color="auto"/>
              <w:left w:val="single" w:sz="4" w:space="0" w:color="auto"/>
              <w:bottom w:val="single" w:sz="4" w:space="0" w:color="auto"/>
              <w:right w:val="single" w:sz="4" w:space="0" w:color="auto"/>
            </w:tcBorders>
            <w:hideMark/>
          </w:tcPr>
          <w:p w:rsidR="00970C57" w:rsidRPr="00800617" w:rsidRDefault="00970C57">
            <w:pPr>
              <w:tabs>
                <w:tab w:val="left" w:pos="450"/>
              </w:tabs>
              <w:spacing w:after="0" w:line="240" w:lineRule="auto"/>
              <w:jc w:val="center"/>
              <w:rPr>
                <w:rFonts w:cs="Times New Roman"/>
                <w:sz w:val="20"/>
                <w:szCs w:val="20"/>
              </w:rPr>
            </w:pPr>
            <w:r w:rsidRPr="00800617">
              <w:rPr>
                <w:rFonts w:cs="Times New Roman"/>
                <w:sz w:val="20"/>
                <w:szCs w:val="20"/>
              </w:rPr>
              <w:t>1</w:t>
            </w:r>
          </w:p>
        </w:tc>
        <w:tc>
          <w:tcPr>
            <w:tcW w:w="3213" w:type="dxa"/>
            <w:tcBorders>
              <w:top w:val="single" w:sz="4" w:space="0" w:color="auto"/>
              <w:left w:val="single" w:sz="4" w:space="0" w:color="auto"/>
              <w:bottom w:val="single" w:sz="4" w:space="0" w:color="auto"/>
              <w:right w:val="single" w:sz="4" w:space="0" w:color="auto"/>
            </w:tcBorders>
            <w:hideMark/>
          </w:tcPr>
          <w:p w:rsidR="00970C57" w:rsidRPr="00800617" w:rsidRDefault="00970C57">
            <w:pPr>
              <w:tabs>
                <w:tab w:val="left" w:pos="450"/>
              </w:tabs>
              <w:spacing w:after="0" w:line="240" w:lineRule="auto"/>
              <w:jc w:val="both"/>
              <w:rPr>
                <w:rFonts w:cs="Times New Roman"/>
                <w:sz w:val="20"/>
                <w:szCs w:val="20"/>
              </w:rPr>
            </w:pPr>
            <w:r w:rsidRPr="00800617">
              <w:rPr>
                <w:rFonts w:cs="Times New Roman"/>
                <w:sz w:val="20"/>
                <w:szCs w:val="20"/>
              </w:rPr>
              <w:t>Les différentes entités territoriales de la Province (Province, Territoires, Secteurs et terroirs villageois) ont élaboré et mettent en œuvre une stratégie durable d’exploitation de leurs ressources naturelles</w:t>
            </w:r>
          </w:p>
        </w:tc>
        <w:tc>
          <w:tcPr>
            <w:tcW w:w="2790" w:type="dxa"/>
            <w:tcBorders>
              <w:top w:val="single" w:sz="4" w:space="0" w:color="auto"/>
              <w:left w:val="single" w:sz="4" w:space="0" w:color="auto"/>
              <w:bottom w:val="single" w:sz="4" w:space="0" w:color="auto"/>
              <w:right w:val="single" w:sz="4" w:space="0" w:color="auto"/>
            </w:tcBorders>
            <w:hideMark/>
          </w:tcPr>
          <w:p w:rsidR="00970C57" w:rsidRPr="00800617" w:rsidRDefault="00970C57">
            <w:pPr>
              <w:tabs>
                <w:tab w:val="left" w:pos="450"/>
              </w:tabs>
              <w:spacing w:after="0" w:line="240" w:lineRule="auto"/>
              <w:jc w:val="both"/>
              <w:rPr>
                <w:rFonts w:cs="Times New Roman"/>
                <w:sz w:val="20"/>
                <w:szCs w:val="20"/>
              </w:rPr>
            </w:pPr>
            <w:r w:rsidRPr="00800617">
              <w:rPr>
                <w:rFonts w:cs="Times New Roman"/>
                <w:sz w:val="20"/>
                <w:szCs w:val="20"/>
              </w:rPr>
              <w:t xml:space="preserve">Existence de </w:t>
            </w:r>
            <w:r w:rsidR="00421D24">
              <w:rPr>
                <w:rFonts w:cs="Times New Roman"/>
                <w:sz w:val="20"/>
                <w:szCs w:val="20"/>
              </w:rPr>
              <w:t>PDD et de PSG</w:t>
            </w:r>
            <w:r w:rsidR="00421D24" w:rsidRPr="00800617">
              <w:rPr>
                <w:rFonts w:cs="Times New Roman"/>
                <w:sz w:val="20"/>
                <w:szCs w:val="20"/>
              </w:rPr>
              <w:t xml:space="preserve"> </w:t>
            </w:r>
            <w:r w:rsidRPr="00800617">
              <w:rPr>
                <w:rFonts w:cs="Times New Roman"/>
                <w:sz w:val="20"/>
                <w:szCs w:val="20"/>
              </w:rPr>
              <w:t>et de Contrats de Développement Durable pour la Pr</w:t>
            </w:r>
            <w:r w:rsidR="00E5273A">
              <w:rPr>
                <w:rFonts w:cs="Times New Roman"/>
                <w:sz w:val="20"/>
                <w:szCs w:val="20"/>
              </w:rPr>
              <w:t>ovince (1), le District du Mai-</w:t>
            </w:r>
            <w:r w:rsidRPr="00800617">
              <w:rPr>
                <w:rFonts w:cs="Times New Roman"/>
                <w:sz w:val="20"/>
                <w:szCs w:val="20"/>
              </w:rPr>
              <w:t xml:space="preserve">Ndombe (1), les Territoires (4), les Secteurs (15) et les </w:t>
            </w:r>
            <w:r w:rsidRPr="00A5055A">
              <w:rPr>
                <w:rFonts w:cs="Times New Roman"/>
                <w:sz w:val="20"/>
                <w:szCs w:val="20"/>
              </w:rPr>
              <w:t>CLD</w:t>
            </w:r>
            <w:r w:rsidR="00A5055A">
              <w:rPr>
                <w:rFonts w:cs="Times New Roman"/>
                <w:sz w:val="20"/>
                <w:szCs w:val="20"/>
              </w:rPr>
              <w:t>s</w:t>
            </w:r>
            <w:r w:rsidRPr="00A5055A">
              <w:rPr>
                <w:rFonts w:cs="Times New Roman"/>
                <w:sz w:val="20"/>
                <w:szCs w:val="20"/>
              </w:rPr>
              <w:t xml:space="preserve"> (600).</w:t>
            </w:r>
            <w:r w:rsidRPr="00800617">
              <w:rPr>
                <w:rFonts w:cs="Times New Roman"/>
                <w:sz w:val="20"/>
                <w:szCs w:val="20"/>
              </w:rPr>
              <w:t xml:space="preserve"> </w:t>
            </w:r>
          </w:p>
        </w:tc>
        <w:tc>
          <w:tcPr>
            <w:tcW w:w="3060" w:type="dxa"/>
            <w:tcBorders>
              <w:top w:val="single" w:sz="4" w:space="0" w:color="auto"/>
              <w:left w:val="single" w:sz="4" w:space="0" w:color="auto"/>
              <w:bottom w:val="single" w:sz="4" w:space="0" w:color="auto"/>
              <w:right w:val="single" w:sz="4" w:space="0" w:color="auto"/>
            </w:tcBorders>
            <w:hideMark/>
          </w:tcPr>
          <w:p w:rsidR="00970C57" w:rsidRPr="00800617" w:rsidRDefault="00970C57">
            <w:pPr>
              <w:tabs>
                <w:tab w:val="left" w:pos="450"/>
              </w:tabs>
              <w:spacing w:after="0" w:line="240" w:lineRule="auto"/>
              <w:jc w:val="both"/>
              <w:rPr>
                <w:rFonts w:cs="Times New Roman"/>
                <w:sz w:val="20"/>
                <w:szCs w:val="20"/>
              </w:rPr>
            </w:pPr>
            <w:r w:rsidRPr="00800617">
              <w:rPr>
                <w:rFonts w:cs="Times New Roman"/>
                <w:sz w:val="20"/>
                <w:szCs w:val="20"/>
              </w:rPr>
              <w:t>Documents validés par le Parlement Provincial</w:t>
            </w:r>
          </w:p>
        </w:tc>
      </w:tr>
      <w:tr w:rsidR="00970C57" w:rsidRPr="00800617" w:rsidTr="00BA7EC4">
        <w:tc>
          <w:tcPr>
            <w:tcW w:w="567" w:type="dxa"/>
            <w:tcBorders>
              <w:top w:val="single" w:sz="4" w:space="0" w:color="auto"/>
              <w:left w:val="single" w:sz="4" w:space="0" w:color="auto"/>
              <w:bottom w:val="single" w:sz="4" w:space="0" w:color="auto"/>
              <w:right w:val="single" w:sz="4" w:space="0" w:color="auto"/>
            </w:tcBorders>
            <w:hideMark/>
          </w:tcPr>
          <w:p w:rsidR="00970C57" w:rsidRPr="00800617" w:rsidRDefault="00970C57">
            <w:pPr>
              <w:tabs>
                <w:tab w:val="left" w:pos="450"/>
              </w:tabs>
              <w:spacing w:after="0" w:line="240" w:lineRule="auto"/>
              <w:jc w:val="center"/>
              <w:rPr>
                <w:rFonts w:cs="Times New Roman"/>
                <w:sz w:val="20"/>
                <w:szCs w:val="20"/>
              </w:rPr>
            </w:pPr>
            <w:r w:rsidRPr="00800617">
              <w:rPr>
                <w:rFonts w:cs="Times New Roman"/>
                <w:sz w:val="20"/>
                <w:szCs w:val="20"/>
              </w:rPr>
              <w:t>2</w:t>
            </w:r>
          </w:p>
        </w:tc>
        <w:tc>
          <w:tcPr>
            <w:tcW w:w="3213" w:type="dxa"/>
            <w:tcBorders>
              <w:top w:val="single" w:sz="4" w:space="0" w:color="auto"/>
              <w:left w:val="single" w:sz="4" w:space="0" w:color="auto"/>
              <w:bottom w:val="single" w:sz="4" w:space="0" w:color="auto"/>
              <w:right w:val="single" w:sz="4" w:space="0" w:color="auto"/>
            </w:tcBorders>
          </w:tcPr>
          <w:p w:rsidR="00970C57" w:rsidRPr="00800617" w:rsidRDefault="00970C57">
            <w:pPr>
              <w:tabs>
                <w:tab w:val="left" w:pos="450"/>
              </w:tabs>
              <w:spacing w:after="0" w:line="240" w:lineRule="auto"/>
              <w:jc w:val="both"/>
              <w:rPr>
                <w:rFonts w:cs="Times New Roman"/>
                <w:sz w:val="20"/>
                <w:szCs w:val="20"/>
              </w:rPr>
            </w:pPr>
            <w:r w:rsidRPr="00800617">
              <w:rPr>
                <w:rFonts w:cs="Times New Roman"/>
                <w:sz w:val="20"/>
                <w:szCs w:val="20"/>
              </w:rPr>
              <w:t xml:space="preserve">La mise en œuvre des </w:t>
            </w:r>
            <w:r w:rsidR="00421D24">
              <w:rPr>
                <w:rFonts w:cs="Times New Roman"/>
                <w:sz w:val="20"/>
                <w:szCs w:val="20"/>
              </w:rPr>
              <w:t>PDD et des PSG</w:t>
            </w:r>
            <w:r w:rsidRPr="00800617">
              <w:rPr>
                <w:rFonts w:cs="Times New Roman"/>
                <w:sz w:val="20"/>
                <w:szCs w:val="20"/>
              </w:rPr>
              <w:t xml:space="preserve"> fait l’objet d’un suivi-évaluation participatif et indépendant (CART, CLD), en lien avec le dispositif de suivi-évaluation de l’UC-PIF et de la CN-REDD, ouvert au public via leurs sites internet. </w:t>
            </w:r>
          </w:p>
        </w:tc>
        <w:tc>
          <w:tcPr>
            <w:tcW w:w="2790" w:type="dxa"/>
            <w:tcBorders>
              <w:top w:val="single" w:sz="4" w:space="0" w:color="auto"/>
              <w:left w:val="single" w:sz="4" w:space="0" w:color="auto"/>
              <w:bottom w:val="single" w:sz="4" w:space="0" w:color="auto"/>
              <w:right w:val="single" w:sz="4" w:space="0" w:color="auto"/>
            </w:tcBorders>
            <w:hideMark/>
          </w:tcPr>
          <w:p w:rsidR="00970C57" w:rsidRPr="00800617" w:rsidRDefault="00970C57">
            <w:pPr>
              <w:tabs>
                <w:tab w:val="left" w:pos="450"/>
              </w:tabs>
              <w:spacing w:after="0" w:line="240" w:lineRule="auto"/>
              <w:jc w:val="both"/>
              <w:rPr>
                <w:rFonts w:cs="Times New Roman"/>
                <w:sz w:val="20"/>
                <w:szCs w:val="20"/>
              </w:rPr>
            </w:pPr>
            <w:r w:rsidRPr="00800617">
              <w:rPr>
                <w:rFonts w:cs="Times New Roman"/>
                <w:sz w:val="20"/>
                <w:szCs w:val="20"/>
              </w:rPr>
              <w:t xml:space="preserve">Les rapports de suivi-évaluation sont réguliers, diffusés et discutés aux différents niveaux, suivis d’effet. ils sont accessibles sur le site internet de la CN-REDD. </w:t>
            </w:r>
          </w:p>
        </w:tc>
        <w:tc>
          <w:tcPr>
            <w:tcW w:w="3060" w:type="dxa"/>
            <w:tcBorders>
              <w:top w:val="single" w:sz="4" w:space="0" w:color="auto"/>
              <w:left w:val="single" w:sz="4" w:space="0" w:color="auto"/>
              <w:bottom w:val="single" w:sz="4" w:space="0" w:color="auto"/>
              <w:right w:val="single" w:sz="4" w:space="0" w:color="auto"/>
            </w:tcBorders>
            <w:hideMark/>
          </w:tcPr>
          <w:p w:rsidR="00970C57" w:rsidRPr="00800617" w:rsidRDefault="00970C57">
            <w:pPr>
              <w:tabs>
                <w:tab w:val="left" w:pos="450"/>
              </w:tabs>
              <w:spacing w:after="0" w:line="240" w:lineRule="auto"/>
              <w:jc w:val="both"/>
              <w:rPr>
                <w:rFonts w:cs="Times New Roman"/>
                <w:sz w:val="20"/>
                <w:szCs w:val="20"/>
              </w:rPr>
            </w:pPr>
            <w:r w:rsidRPr="00800617">
              <w:rPr>
                <w:rFonts w:cs="Times New Roman"/>
                <w:sz w:val="20"/>
                <w:szCs w:val="20"/>
              </w:rPr>
              <w:t xml:space="preserve">Rapports de suivi-évaluation du PIF, de la CN-REDD, des CARTs diffusés sur le site internet. </w:t>
            </w:r>
          </w:p>
        </w:tc>
      </w:tr>
    </w:tbl>
    <w:p w:rsidR="00970C57" w:rsidRPr="00970C57" w:rsidRDefault="00970C57" w:rsidP="00970C57">
      <w:pPr>
        <w:tabs>
          <w:tab w:val="left" w:pos="450"/>
        </w:tabs>
        <w:spacing w:line="240" w:lineRule="auto"/>
        <w:jc w:val="both"/>
        <w:rPr>
          <w:rFonts w:cs="Times New Roman"/>
          <w:sz w:val="20"/>
          <w:szCs w:val="20"/>
        </w:rPr>
      </w:pPr>
    </w:p>
    <w:p w:rsidR="00970C57" w:rsidRPr="00970C57" w:rsidRDefault="00970C57" w:rsidP="00D11963">
      <w:pPr>
        <w:tabs>
          <w:tab w:val="left" w:pos="450"/>
        </w:tabs>
        <w:spacing w:line="240" w:lineRule="auto"/>
        <w:jc w:val="both"/>
        <w:rPr>
          <w:rFonts w:cs="Times New Roman"/>
          <w:sz w:val="20"/>
          <w:szCs w:val="20"/>
        </w:rPr>
      </w:pPr>
      <w:r w:rsidRPr="00970C57">
        <w:rPr>
          <w:rFonts w:cs="Times New Roman"/>
          <w:sz w:val="20"/>
          <w:szCs w:val="20"/>
        </w:rPr>
        <w:t>Les activités à conduire dans le cadre de cet objectif sont :</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lastRenderedPageBreak/>
        <w:t>Recruter les ONGs chargées d’animer la réalisation des PDD</w:t>
      </w:r>
      <w:r w:rsidR="00A749B7">
        <w:rPr>
          <w:rFonts w:asciiTheme="minorHAnsi" w:eastAsiaTheme="minorEastAsia" w:hAnsiTheme="minorHAnsi"/>
          <w:sz w:val="20"/>
          <w:szCs w:val="20"/>
        </w:rPr>
        <w:t xml:space="preserve"> (1+1+4+15) et des PSG (600)</w:t>
      </w:r>
      <w:r w:rsidRPr="00D11963">
        <w:rPr>
          <w:rFonts w:asciiTheme="minorHAnsi" w:eastAsiaTheme="minorEastAsia" w:hAnsiTheme="minorHAnsi"/>
          <w:sz w:val="20"/>
          <w:szCs w:val="20"/>
        </w:rPr>
        <w:t>,</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Standardiser les formats de</w:t>
      </w:r>
      <w:r w:rsidR="00A749B7">
        <w:rPr>
          <w:rFonts w:asciiTheme="minorHAnsi" w:eastAsiaTheme="minorEastAsia" w:hAnsiTheme="minorHAnsi"/>
          <w:sz w:val="20"/>
          <w:szCs w:val="20"/>
        </w:rPr>
        <w:t>s</w:t>
      </w:r>
      <w:r w:rsidRPr="00D11963">
        <w:rPr>
          <w:rFonts w:asciiTheme="minorHAnsi" w:eastAsiaTheme="minorEastAsia" w:hAnsiTheme="minorHAnsi"/>
          <w:sz w:val="20"/>
          <w:szCs w:val="20"/>
        </w:rPr>
        <w:t xml:space="preserve"> </w:t>
      </w:r>
      <w:r w:rsidR="00A749B7" w:rsidRPr="00D11963">
        <w:rPr>
          <w:rFonts w:asciiTheme="minorHAnsi" w:eastAsiaTheme="minorEastAsia" w:hAnsiTheme="minorHAnsi"/>
          <w:sz w:val="20"/>
          <w:szCs w:val="20"/>
        </w:rPr>
        <w:t>PDD</w:t>
      </w:r>
      <w:r w:rsidR="00A749B7">
        <w:rPr>
          <w:rFonts w:asciiTheme="minorHAnsi" w:eastAsiaTheme="minorEastAsia" w:hAnsiTheme="minorHAnsi"/>
          <w:sz w:val="20"/>
          <w:szCs w:val="20"/>
        </w:rPr>
        <w:t xml:space="preserve">, des PSG </w:t>
      </w:r>
      <w:r w:rsidRPr="00D11963">
        <w:rPr>
          <w:rFonts w:asciiTheme="minorHAnsi" w:eastAsiaTheme="minorEastAsia" w:hAnsiTheme="minorHAnsi"/>
          <w:sz w:val="20"/>
          <w:szCs w:val="20"/>
        </w:rPr>
        <w:t xml:space="preserve">et </w:t>
      </w:r>
      <w:r w:rsidR="002629A5" w:rsidRPr="00D11963">
        <w:rPr>
          <w:rFonts w:asciiTheme="minorHAnsi" w:eastAsiaTheme="minorEastAsia" w:hAnsiTheme="minorHAnsi"/>
          <w:sz w:val="20"/>
          <w:szCs w:val="20"/>
        </w:rPr>
        <w:t>de</w:t>
      </w:r>
      <w:r w:rsidR="002629A5">
        <w:rPr>
          <w:rFonts w:asciiTheme="minorHAnsi" w:eastAsiaTheme="minorEastAsia" w:hAnsiTheme="minorHAnsi"/>
          <w:sz w:val="20"/>
          <w:szCs w:val="20"/>
        </w:rPr>
        <w:t>s</w:t>
      </w:r>
      <w:r w:rsidR="002629A5" w:rsidRPr="00D11963">
        <w:rPr>
          <w:rFonts w:asciiTheme="minorHAnsi" w:eastAsiaTheme="minorEastAsia" w:hAnsiTheme="minorHAnsi"/>
          <w:sz w:val="20"/>
          <w:szCs w:val="20"/>
        </w:rPr>
        <w:t xml:space="preserve"> contrats</w:t>
      </w:r>
      <w:r w:rsidR="00A749B7">
        <w:rPr>
          <w:rFonts w:asciiTheme="minorHAnsi" w:eastAsiaTheme="minorEastAsia" w:hAnsiTheme="minorHAnsi"/>
          <w:sz w:val="20"/>
          <w:szCs w:val="20"/>
        </w:rPr>
        <w:t xml:space="preserve"> PSE</w:t>
      </w:r>
      <w:r w:rsidRPr="00D11963">
        <w:rPr>
          <w:rFonts w:asciiTheme="minorHAnsi" w:eastAsiaTheme="minorEastAsia" w:hAnsiTheme="minorHAnsi"/>
          <w:sz w:val="20"/>
          <w:szCs w:val="20"/>
        </w:rPr>
        <w:t xml:space="preserve"> (cet exercice sera mis au point par le PGAPF),</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Fonder les CARS (Conseils Agricoles Ruraux de Secteur),</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Contracter les ONG locales chargées de fonder ou de refonder les CLD et de géo-référencer les limites  des terroirs villageois,</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Former ces ONGs et les équiper,</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Créer les CLD, délimiter leurs terroirs et les enregistrer,</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Organiser les ateliers de planification de Province, de Territoire et de Secteur (délimitations disponibles) afin de produire des PDD de niveau supérieur,</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Tirer en atelier avec les ONGs les leçons pour les niveaux inférieurs des plans de niveau supérieur,</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 xml:space="preserve">Elaborer les </w:t>
      </w:r>
      <w:r w:rsidR="00A749B7" w:rsidRPr="00D11963">
        <w:rPr>
          <w:rFonts w:asciiTheme="minorHAnsi" w:eastAsiaTheme="minorEastAsia" w:hAnsiTheme="minorHAnsi"/>
          <w:sz w:val="20"/>
          <w:szCs w:val="20"/>
        </w:rPr>
        <w:t>P</w:t>
      </w:r>
      <w:r w:rsidR="00A749B7">
        <w:rPr>
          <w:rFonts w:asciiTheme="minorHAnsi" w:eastAsiaTheme="minorEastAsia" w:hAnsiTheme="minorHAnsi"/>
          <w:sz w:val="20"/>
          <w:szCs w:val="20"/>
        </w:rPr>
        <w:t>SG</w:t>
      </w:r>
      <w:r w:rsidR="00A749B7" w:rsidRPr="00D11963">
        <w:rPr>
          <w:rFonts w:asciiTheme="minorHAnsi" w:eastAsiaTheme="minorEastAsia" w:hAnsiTheme="minorHAnsi"/>
          <w:sz w:val="20"/>
          <w:szCs w:val="20"/>
        </w:rPr>
        <w:t xml:space="preserve"> </w:t>
      </w:r>
      <w:r w:rsidRPr="00D11963">
        <w:rPr>
          <w:rFonts w:asciiTheme="minorHAnsi" w:eastAsiaTheme="minorEastAsia" w:hAnsiTheme="minorHAnsi"/>
          <w:sz w:val="20"/>
          <w:szCs w:val="20"/>
        </w:rPr>
        <w:t>de CLD et leurs contrats de plan,</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Enregistrer les PDD</w:t>
      </w:r>
      <w:r w:rsidR="00A749B7">
        <w:rPr>
          <w:rFonts w:asciiTheme="minorHAnsi" w:eastAsiaTheme="minorEastAsia" w:hAnsiTheme="minorHAnsi"/>
          <w:sz w:val="20"/>
          <w:szCs w:val="20"/>
        </w:rPr>
        <w:t xml:space="preserve"> et les PSG</w:t>
      </w:r>
      <w:r w:rsidRPr="00D11963">
        <w:rPr>
          <w:rFonts w:asciiTheme="minorHAnsi" w:eastAsiaTheme="minorEastAsia" w:hAnsiTheme="minorHAnsi"/>
          <w:sz w:val="20"/>
          <w:szCs w:val="20"/>
        </w:rPr>
        <w:t xml:space="preserve"> et les contrats de mise en œuvre,</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Vérifier la conformité socio-environnementale de ces plans (CART, ALE, PIF, CN-REDD) et réaliser les études socio-environnementales jugées nécessaires,</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Assurer le suivi-évaluation de la mise en œuvre</w:t>
      </w:r>
      <w:r w:rsidR="00A749B7">
        <w:rPr>
          <w:rFonts w:asciiTheme="minorHAnsi" w:eastAsiaTheme="minorEastAsia" w:hAnsiTheme="minorHAnsi"/>
          <w:sz w:val="20"/>
          <w:szCs w:val="20"/>
        </w:rPr>
        <w:t xml:space="preserve"> des plans ainsi produits</w:t>
      </w:r>
      <w:r w:rsidRPr="00D11963">
        <w:rPr>
          <w:rFonts w:asciiTheme="minorHAnsi" w:eastAsiaTheme="minorEastAsia" w:hAnsiTheme="minorHAnsi"/>
          <w:sz w:val="20"/>
          <w:szCs w:val="20"/>
        </w:rPr>
        <w:t xml:space="preserve"> (CARTs, PIF, ALE, CLD),</w:t>
      </w:r>
    </w:p>
    <w:p w:rsidR="00970C57" w:rsidRPr="00D11963"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D11963">
        <w:rPr>
          <w:rFonts w:asciiTheme="minorHAnsi" w:eastAsiaTheme="minorEastAsia" w:hAnsiTheme="minorHAnsi"/>
          <w:sz w:val="20"/>
          <w:szCs w:val="20"/>
        </w:rPr>
        <w:t xml:space="preserve">S’assurer de l’accessibilité directe aux CARTs du site internet de la CN-REDD et des réponses données par l’ALE, les opérateurs de projet, le PIF et la CN-REDD. </w:t>
      </w:r>
    </w:p>
    <w:p w:rsidR="00970C57" w:rsidRPr="00970C57" w:rsidRDefault="00970C57" w:rsidP="00970C57">
      <w:pPr>
        <w:tabs>
          <w:tab w:val="left" w:pos="1134"/>
        </w:tabs>
        <w:spacing w:after="0" w:line="240" w:lineRule="auto"/>
        <w:ind w:left="810"/>
        <w:jc w:val="both"/>
        <w:rPr>
          <w:rFonts w:cs="Times New Roman"/>
          <w:sz w:val="20"/>
          <w:szCs w:val="20"/>
        </w:rPr>
      </w:pPr>
    </w:p>
    <w:p w:rsidR="00970C57" w:rsidRPr="007E5852" w:rsidRDefault="00970C57" w:rsidP="00B64F66">
      <w:pPr>
        <w:tabs>
          <w:tab w:val="left" w:pos="450"/>
        </w:tabs>
        <w:spacing w:line="240" w:lineRule="auto"/>
        <w:jc w:val="both"/>
        <w:rPr>
          <w:rFonts w:cs="Times New Roman"/>
          <w:sz w:val="20"/>
          <w:szCs w:val="20"/>
        </w:rPr>
      </w:pPr>
      <w:r w:rsidRPr="00B64F66">
        <w:rPr>
          <w:rFonts w:cs="Times New Roman"/>
          <w:sz w:val="20"/>
          <w:szCs w:val="20"/>
        </w:rPr>
        <w:t xml:space="preserve">L’activité contraignante de cette programmation est la création des CLD, la délimitation de leurs terroirs et l’élaboration des </w:t>
      </w:r>
      <w:r w:rsidR="00A749B7" w:rsidRPr="00B64F66">
        <w:rPr>
          <w:rFonts w:cs="Times New Roman"/>
          <w:sz w:val="20"/>
          <w:szCs w:val="20"/>
        </w:rPr>
        <w:t>P</w:t>
      </w:r>
      <w:r w:rsidR="00A749B7">
        <w:rPr>
          <w:rFonts w:cs="Times New Roman"/>
          <w:sz w:val="20"/>
          <w:szCs w:val="20"/>
        </w:rPr>
        <w:t>SG</w:t>
      </w:r>
      <w:r w:rsidRPr="00B64F66">
        <w:rPr>
          <w:rFonts w:cs="Times New Roman"/>
          <w:sz w:val="20"/>
          <w:szCs w:val="20"/>
        </w:rPr>
        <w:t xml:space="preserve">. Une </w:t>
      </w:r>
      <w:r w:rsidRPr="007E5852">
        <w:rPr>
          <w:rFonts w:cs="Times New Roman"/>
          <w:sz w:val="20"/>
          <w:szCs w:val="20"/>
        </w:rPr>
        <w:t xml:space="preserve">ALE locale, recrutée par l’ALE en charge du programme sous contrat de Maîtrise d’Ouvrage Déléguée (voir le chapitre sur les arrangements institutionnels) est capable d’effectuer ce travail. Il faut compter une semaine pour la création des CLD et la délimitation des terroirs et une autre semaine pour la planification participative. L’enregistrement est une activité pouvant être prise en charge par l’ALE en charge du programme. </w:t>
      </w:r>
    </w:p>
    <w:p w:rsidR="00970C57" w:rsidRPr="00970C57" w:rsidRDefault="00970C57" w:rsidP="00B64F66">
      <w:pPr>
        <w:tabs>
          <w:tab w:val="left" w:pos="450"/>
        </w:tabs>
        <w:spacing w:line="240" w:lineRule="auto"/>
        <w:jc w:val="both"/>
        <w:rPr>
          <w:rFonts w:cs="Times New Roman"/>
          <w:sz w:val="20"/>
          <w:szCs w:val="20"/>
        </w:rPr>
      </w:pPr>
      <w:r w:rsidRPr="007E5852">
        <w:rPr>
          <w:rFonts w:cs="Times New Roman"/>
          <w:sz w:val="20"/>
          <w:szCs w:val="20"/>
        </w:rPr>
        <w:t>Sur la base d’un terroir par quinzaine et un objectif d’achèvement du processus de planification en un an, une trentaine d’animateurs seront à recruter, former et équiper (GPS, Vélos, etc.). Le présent projet envisage une ALE par Territoire (il y en a 4) avec 8 animateurs chacun pour couvrir les 600 CLD retenus</w:t>
      </w:r>
      <w:r w:rsidRPr="00970C57">
        <w:rPr>
          <w:rFonts w:cs="Times New Roman"/>
          <w:sz w:val="20"/>
          <w:szCs w:val="20"/>
        </w:rPr>
        <w:t xml:space="preserve">. Une partie de ces animateurs pourra être mise à disposition par les Services Techniques de l’Environnement et de l’Agriculture. </w:t>
      </w:r>
    </w:p>
    <w:p w:rsidR="00970C57" w:rsidRPr="00970C57" w:rsidRDefault="00970C57" w:rsidP="00B64F66">
      <w:pPr>
        <w:tabs>
          <w:tab w:val="left" w:pos="450"/>
        </w:tabs>
        <w:spacing w:line="240" w:lineRule="auto"/>
        <w:jc w:val="both"/>
        <w:rPr>
          <w:rFonts w:cs="Times New Roman"/>
          <w:b/>
          <w:sz w:val="20"/>
          <w:szCs w:val="20"/>
        </w:rPr>
      </w:pPr>
      <w:r w:rsidRPr="00970C57">
        <w:rPr>
          <w:rFonts w:cs="Times New Roman"/>
          <w:b/>
          <w:sz w:val="20"/>
          <w:szCs w:val="20"/>
        </w:rPr>
        <w:t xml:space="preserve">Le calendrier </w:t>
      </w:r>
      <w:r w:rsidRPr="00970C57">
        <w:rPr>
          <w:rFonts w:cs="Times New Roman"/>
          <w:sz w:val="20"/>
          <w:szCs w:val="20"/>
        </w:rPr>
        <w:t>de mise en œuvre de ces activités est le suivant</w:t>
      </w:r>
      <w:r w:rsidRPr="00970C57">
        <w:rPr>
          <w:rFonts w:cs="Times New Roman"/>
          <w:b/>
          <w:sz w:val="20"/>
          <w:szCs w:val="20"/>
        </w:rPr>
        <w:t> :</w:t>
      </w:r>
    </w:p>
    <w:tbl>
      <w:tblPr>
        <w:tblW w:w="5050" w:type="pct"/>
        <w:tblLook w:val="04A0" w:firstRow="1" w:lastRow="0" w:firstColumn="1" w:lastColumn="0" w:noHBand="0" w:noVBand="1"/>
      </w:tblPr>
      <w:tblGrid>
        <w:gridCol w:w="448"/>
        <w:gridCol w:w="4850"/>
        <w:gridCol w:w="607"/>
        <w:gridCol w:w="607"/>
        <w:gridCol w:w="607"/>
        <w:gridCol w:w="607"/>
        <w:gridCol w:w="607"/>
        <w:gridCol w:w="607"/>
        <w:gridCol w:w="607"/>
        <w:gridCol w:w="601"/>
      </w:tblGrid>
      <w:tr w:rsidR="00970C57" w:rsidRPr="00D55E7F" w:rsidTr="00C94BB1">
        <w:trPr>
          <w:tblHeader/>
        </w:trPr>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0C57" w:rsidRPr="00D55E7F" w:rsidRDefault="00970C57">
            <w:pPr>
              <w:spacing w:after="0" w:line="240" w:lineRule="auto"/>
              <w:jc w:val="both"/>
              <w:rPr>
                <w:rFonts w:cs="Times New Roman"/>
                <w:sz w:val="20"/>
                <w:szCs w:val="20"/>
              </w:rPr>
            </w:pPr>
          </w:p>
        </w:tc>
        <w:tc>
          <w:tcPr>
            <w:tcW w:w="239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b/>
                <w:sz w:val="20"/>
                <w:szCs w:val="20"/>
              </w:rPr>
            </w:pPr>
            <w:r w:rsidRPr="00D55E7F">
              <w:rPr>
                <w:rFonts w:cs="Times New Roman"/>
                <w:b/>
                <w:sz w:val="20"/>
                <w:szCs w:val="20"/>
              </w:rPr>
              <w:t>Activité</w:t>
            </w:r>
          </w:p>
        </w:tc>
        <w:tc>
          <w:tcPr>
            <w:tcW w:w="2389"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D55E7F" w:rsidRDefault="00D55E7F">
            <w:pPr>
              <w:spacing w:after="0" w:line="240" w:lineRule="auto"/>
              <w:jc w:val="center"/>
              <w:rPr>
                <w:rFonts w:cs="Times New Roman"/>
                <w:b/>
                <w:sz w:val="20"/>
                <w:szCs w:val="20"/>
              </w:rPr>
            </w:pPr>
            <w:r>
              <w:rPr>
                <w:rFonts w:cs="Times New Roman"/>
                <w:b/>
                <w:sz w:val="20"/>
                <w:szCs w:val="20"/>
              </w:rPr>
              <w:t>Semestre</w:t>
            </w:r>
          </w:p>
        </w:tc>
      </w:tr>
      <w:tr w:rsidR="00970C57" w:rsidRPr="00D55E7F">
        <w:trPr>
          <w:tblHeader/>
        </w:trPr>
        <w:tc>
          <w:tcPr>
            <w:tcW w:w="2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D55E7F" w:rsidRDefault="00970C57">
            <w:pPr>
              <w:spacing w:after="0" w:line="240" w:lineRule="auto"/>
              <w:jc w:val="both"/>
              <w:rPr>
                <w:rFonts w:cs="Times New Roman"/>
                <w:sz w:val="20"/>
                <w:szCs w:val="20"/>
              </w:rPr>
            </w:pPr>
          </w:p>
        </w:tc>
        <w:tc>
          <w:tcPr>
            <w:tcW w:w="2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D55E7F" w:rsidRDefault="00970C57">
            <w:pPr>
              <w:spacing w:after="0" w:line="240" w:lineRule="auto"/>
              <w:jc w:val="both"/>
              <w:rPr>
                <w:rFonts w:cs="Times New Roman"/>
                <w:sz w:val="20"/>
                <w:szCs w:val="20"/>
              </w:rPr>
            </w:pP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1</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2</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3</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4</w:t>
            </w:r>
          </w:p>
        </w:tc>
      </w:tr>
      <w:tr w:rsidR="00970C57" w:rsidRPr="00D55E7F" w:rsidTr="00D55E7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1</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2</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3</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4</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5</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6</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7</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D55E7F" w:rsidRDefault="00970C57">
            <w:pPr>
              <w:spacing w:after="0" w:line="240" w:lineRule="auto"/>
              <w:jc w:val="center"/>
              <w:rPr>
                <w:rFonts w:cs="Times New Roman"/>
                <w:sz w:val="20"/>
                <w:szCs w:val="20"/>
              </w:rPr>
            </w:pPr>
            <w:r w:rsidRPr="00D55E7F">
              <w:rPr>
                <w:rFonts w:cs="Times New Roman"/>
                <w:sz w:val="20"/>
                <w:szCs w:val="20"/>
              </w:rPr>
              <w:t>8</w:t>
            </w:r>
          </w:p>
        </w:tc>
      </w:tr>
      <w:tr w:rsidR="00970C57" w:rsidRP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1</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Recrutement ALE</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2</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Standardiser formats</w:t>
            </w:r>
            <w:r w:rsidR="00764826">
              <w:rPr>
                <w:rFonts w:cs="Times New Roman"/>
                <w:sz w:val="20"/>
                <w:szCs w:val="20"/>
              </w:rPr>
              <w:t xml:space="preserve"> des PSG et PDD</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3</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Former les animateurs d’ALE</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4</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Former les CLD et délimiter les terroirs</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5</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Fonder, refonder les CARTs de Secteur et de Territoire</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6</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Planifier au niveau des Secteurs, Territoires, Province</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7</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Planifier au niveau des CLD</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8</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Enregistrer les plans et contrats</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A749B7">
            <w:pPr>
              <w:spacing w:after="0" w:line="240" w:lineRule="auto"/>
              <w:rPr>
                <w:rFonts w:cs="Times New Roman"/>
                <w:sz w:val="20"/>
                <w:szCs w:val="20"/>
              </w:rPr>
            </w:pPr>
            <w:r>
              <w:rPr>
                <w:rFonts w:cs="Times New Roman"/>
                <w:sz w:val="20"/>
                <w:szCs w:val="20"/>
              </w:rPr>
              <w:t>V</w:t>
            </w:r>
            <w:r w:rsidR="00970C57" w:rsidRPr="00D55E7F">
              <w:rPr>
                <w:rFonts w:cs="Times New Roman"/>
                <w:sz w:val="20"/>
                <w:szCs w:val="20"/>
              </w:rPr>
              <w:t>érifier la conformité socio environnementale des plans</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9</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Mettre en œuvre les plans et contrats</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r>
      <w:tr w:rsidR="00970C57" w:rsidRPr="00D55E7F" w:rsidTr="00D55E7F">
        <w:tc>
          <w:tcPr>
            <w:tcW w:w="221" w:type="pct"/>
            <w:tcBorders>
              <w:top w:val="single" w:sz="4" w:space="0" w:color="auto"/>
              <w:left w:val="single" w:sz="4" w:space="0" w:color="auto"/>
              <w:bottom w:val="single" w:sz="4" w:space="0" w:color="auto"/>
              <w:right w:val="single" w:sz="4" w:space="0" w:color="auto"/>
            </w:tcBorders>
            <w:hideMark/>
          </w:tcPr>
          <w:p w:rsidR="00970C57" w:rsidRPr="00D55E7F" w:rsidRDefault="00970C57">
            <w:pPr>
              <w:spacing w:after="0" w:line="240" w:lineRule="auto"/>
              <w:jc w:val="both"/>
              <w:rPr>
                <w:rFonts w:cs="Times New Roman"/>
                <w:sz w:val="20"/>
                <w:szCs w:val="20"/>
              </w:rPr>
            </w:pPr>
            <w:r w:rsidRPr="00D55E7F">
              <w:rPr>
                <w:rFonts w:cs="Times New Roman"/>
                <w:sz w:val="20"/>
                <w:szCs w:val="20"/>
              </w:rPr>
              <w:t>10</w:t>
            </w:r>
          </w:p>
        </w:tc>
        <w:tc>
          <w:tcPr>
            <w:tcW w:w="2390" w:type="pct"/>
            <w:tcBorders>
              <w:top w:val="single" w:sz="4" w:space="0" w:color="auto"/>
              <w:left w:val="single" w:sz="4" w:space="0" w:color="auto"/>
              <w:bottom w:val="single" w:sz="4" w:space="0" w:color="auto"/>
              <w:right w:val="single" w:sz="4" w:space="0" w:color="auto"/>
            </w:tcBorders>
            <w:vAlign w:val="center"/>
            <w:hideMark/>
          </w:tcPr>
          <w:p w:rsidR="00970C57" w:rsidRPr="00D55E7F" w:rsidRDefault="00970C57">
            <w:pPr>
              <w:spacing w:after="0" w:line="240" w:lineRule="auto"/>
              <w:rPr>
                <w:rFonts w:cs="Times New Roman"/>
                <w:sz w:val="20"/>
                <w:szCs w:val="20"/>
              </w:rPr>
            </w:pPr>
            <w:r w:rsidRPr="00D55E7F">
              <w:rPr>
                <w:rFonts w:cs="Times New Roman"/>
                <w:sz w:val="20"/>
                <w:szCs w:val="20"/>
              </w:rPr>
              <w:t>Assurer le suivi-évaluation du processus (CARTs, ALE, PIF, CN-REDD)</w:t>
            </w:r>
          </w:p>
        </w:tc>
        <w:tc>
          <w:tcPr>
            <w:tcW w:w="299" w:type="pct"/>
            <w:tcBorders>
              <w:top w:val="single" w:sz="4" w:space="0" w:color="auto"/>
              <w:left w:val="single" w:sz="4" w:space="0" w:color="auto"/>
              <w:bottom w:val="single" w:sz="4" w:space="0" w:color="auto"/>
              <w:right w:val="single" w:sz="4" w:space="0" w:color="auto"/>
            </w:tcBorders>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D55E7F" w:rsidRDefault="00970C57">
            <w:pPr>
              <w:spacing w:after="0" w:line="240" w:lineRule="auto"/>
              <w:jc w:val="both"/>
              <w:rPr>
                <w:rFonts w:cs="Times New Roman"/>
                <w:sz w:val="20"/>
                <w:szCs w:val="20"/>
              </w:rPr>
            </w:pPr>
          </w:p>
        </w:tc>
      </w:tr>
    </w:tbl>
    <w:p w:rsidR="00A777B8" w:rsidRDefault="00A777B8" w:rsidP="00A777B8">
      <w:pPr>
        <w:spacing w:after="160" w:line="259" w:lineRule="auto"/>
        <w:rPr>
          <w:rFonts w:eastAsiaTheme="majorEastAsia" w:cstheme="majorBidi"/>
          <w:color w:val="1F4D78" w:themeColor="accent1" w:themeShade="7F"/>
          <w:sz w:val="20"/>
          <w:szCs w:val="20"/>
        </w:rPr>
      </w:pPr>
      <w:bookmarkStart w:id="8" w:name="_Toc420681585"/>
    </w:p>
    <w:p w:rsidR="00970C57" w:rsidRPr="00B64F66" w:rsidRDefault="00970C57" w:rsidP="00A777B8">
      <w:pPr>
        <w:spacing w:after="160" w:line="259" w:lineRule="auto"/>
        <w:rPr>
          <w:b/>
          <w:sz w:val="20"/>
          <w:lang w:eastAsia="en-US"/>
        </w:rPr>
      </w:pPr>
      <w:r w:rsidRPr="00B64F66">
        <w:rPr>
          <w:b/>
          <w:sz w:val="20"/>
          <w:lang w:eastAsia="en-US"/>
        </w:rPr>
        <w:t>Objectif 3 : Appuyer la mise en œuvre des Plans de Développement Durable</w:t>
      </w:r>
      <w:bookmarkEnd w:id="8"/>
      <w:r w:rsidR="00E660B8">
        <w:rPr>
          <w:b/>
          <w:sz w:val="20"/>
          <w:lang w:eastAsia="en-US"/>
        </w:rPr>
        <w:t xml:space="preserve"> (21) et des Plans Simples de Gestion (600)</w:t>
      </w:r>
    </w:p>
    <w:p w:rsidR="00970C57" w:rsidRPr="00970C57" w:rsidRDefault="00970C57" w:rsidP="00970C57">
      <w:pPr>
        <w:spacing w:after="0" w:line="240" w:lineRule="auto"/>
        <w:jc w:val="both"/>
        <w:rPr>
          <w:rFonts w:cs="Times New Roman"/>
          <w:sz w:val="20"/>
          <w:szCs w:val="20"/>
        </w:rPr>
      </w:pPr>
      <w:r w:rsidRPr="00970C57">
        <w:rPr>
          <w:rFonts w:cs="Times New Roman"/>
          <w:sz w:val="20"/>
          <w:szCs w:val="20"/>
        </w:rPr>
        <w:t xml:space="preserve">Cet objectif sera poursuivi par différents moyens comme : i) la formation sous des formes diverses (initiale, champ école, etc.), ii)  l’investissement initial et la fourniture d’intrants, et iii)  les paiements aux résultats. Les investissements concernent aussi bien la paysannerie traditionnelle que les fermiers pouvant bénéficier du projet sur des surfaces de 5 à 10 ha pour les plantations et de 50 à 100 ha pour les </w:t>
      </w:r>
      <w:r w:rsidR="00764826">
        <w:rPr>
          <w:rFonts w:cs="Times New Roman"/>
          <w:sz w:val="20"/>
          <w:szCs w:val="20"/>
        </w:rPr>
        <w:t>mises en défens</w:t>
      </w:r>
      <w:r w:rsidRPr="00970C57">
        <w:rPr>
          <w:rFonts w:cs="Times New Roman"/>
          <w:sz w:val="20"/>
          <w:szCs w:val="20"/>
        </w:rPr>
        <w:t>. Il s’agit exclusivement de fermiers ayant sécurisé leurs droits (enregistrements au cadastre, géo-référencé</w:t>
      </w:r>
      <w:r w:rsidR="00764826">
        <w:rPr>
          <w:rFonts w:cs="Times New Roman"/>
          <w:sz w:val="20"/>
          <w:szCs w:val="20"/>
        </w:rPr>
        <w:t>s</w:t>
      </w:r>
      <w:r w:rsidRPr="00970C57">
        <w:rPr>
          <w:rFonts w:cs="Times New Roman"/>
          <w:sz w:val="20"/>
          <w:szCs w:val="20"/>
        </w:rPr>
        <w:t xml:space="preserve"> avec l’aide du projet)  et dont les terres sont situées dans les espaces ou</w:t>
      </w:r>
      <w:r w:rsidR="00764826" w:rsidRPr="00970C57">
        <w:rPr>
          <w:rFonts w:cs="Times New Roman"/>
          <w:sz w:val="20"/>
          <w:szCs w:val="20"/>
        </w:rPr>
        <w:t xml:space="preserve"> </w:t>
      </w:r>
      <w:r w:rsidRPr="00970C57">
        <w:rPr>
          <w:rFonts w:cs="Times New Roman"/>
          <w:sz w:val="20"/>
          <w:szCs w:val="20"/>
        </w:rPr>
        <w:t xml:space="preserve">de CLD </w:t>
      </w:r>
      <w:r w:rsidR="00764826" w:rsidRPr="00970C57">
        <w:rPr>
          <w:rFonts w:cs="Times New Roman"/>
          <w:sz w:val="20"/>
          <w:szCs w:val="20"/>
        </w:rPr>
        <w:t>a</w:t>
      </w:r>
      <w:r w:rsidR="00764826">
        <w:rPr>
          <w:rFonts w:cs="Times New Roman"/>
          <w:sz w:val="20"/>
          <w:szCs w:val="20"/>
        </w:rPr>
        <w:t>dhérant aux concepts du projet</w:t>
      </w:r>
      <w:r w:rsidRPr="00970C57">
        <w:rPr>
          <w:rFonts w:cs="Times New Roman"/>
          <w:sz w:val="20"/>
          <w:szCs w:val="20"/>
        </w:rPr>
        <w:t>. Les investissements correspon</w:t>
      </w:r>
      <w:r w:rsidR="00B64F66">
        <w:rPr>
          <w:rFonts w:cs="Times New Roman"/>
          <w:sz w:val="20"/>
          <w:szCs w:val="20"/>
        </w:rPr>
        <w:t>dant sont détaillés ci-dessous.</w:t>
      </w:r>
    </w:p>
    <w:p w:rsidR="00B64F66" w:rsidRDefault="00B64F66" w:rsidP="00D33E12">
      <w:pPr>
        <w:tabs>
          <w:tab w:val="left" w:pos="450"/>
        </w:tabs>
        <w:spacing w:after="0" w:line="240" w:lineRule="auto"/>
        <w:jc w:val="both"/>
        <w:rPr>
          <w:rFonts w:cs="Times New Roman"/>
          <w:sz w:val="20"/>
          <w:szCs w:val="20"/>
        </w:rPr>
      </w:pPr>
    </w:p>
    <w:p w:rsidR="00110B00" w:rsidRDefault="00110B00" w:rsidP="00D33E12">
      <w:pPr>
        <w:tabs>
          <w:tab w:val="left" w:pos="450"/>
        </w:tabs>
        <w:spacing w:after="0" w:line="240" w:lineRule="auto"/>
        <w:jc w:val="both"/>
        <w:rPr>
          <w:rFonts w:cs="Times New Roman"/>
          <w:sz w:val="20"/>
          <w:szCs w:val="20"/>
        </w:rPr>
      </w:pPr>
    </w:p>
    <w:p w:rsidR="00B64F66" w:rsidRPr="00D55E7F" w:rsidRDefault="00B64F66" w:rsidP="002E3A02">
      <w:pPr>
        <w:pStyle w:val="ListParagraph"/>
        <w:numPr>
          <w:ilvl w:val="0"/>
          <w:numId w:val="17"/>
        </w:numPr>
        <w:tabs>
          <w:tab w:val="left" w:pos="450"/>
        </w:tabs>
        <w:jc w:val="both"/>
        <w:rPr>
          <w:rFonts w:asciiTheme="minorHAnsi" w:eastAsiaTheme="minorEastAsia" w:hAnsiTheme="minorHAnsi"/>
          <w:b/>
          <w:color w:val="2E74B5" w:themeColor="accent1" w:themeShade="BF"/>
          <w:sz w:val="20"/>
          <w:szCs w:val="20"/>
        </w:rPr>
      </w:pPr>
      <w:r w:rsidRPr="00D55E7F">
        <w:rPr>
          <w:rFonts w:asciiTheme="minorHAnsi" w:eastAsiaTheme="minorEastAsia" w:hAnsiTheme="minorHAnsi"/>
          <w:b/>
          <w:color w:val="2E74B5" w:themeColor="accent1" w:themeShade="BF"/>
          <w:sz w:val="20"/>
          <w:szCs w:val="20"/>
        </w:rPr>
        <w:lastRenderedPageBreak/>
        <w:t>Développement de l’agriculture en savane</w:t>
      </w:r>
    </w:p>
    <w:p w:rsidR="00B64F66" w:rsidRPr="00B64F66" w:rsidRDefault="00B64F66" w:rsidP="00B64F66">
      <w:pPr>
        <w:pStyle w:val="ListParagraph"/>
        <w:tabs>
          <w:tab w:val="left" w:pos="450"/>
        </w:tabs>
        <w:jc w:val="both"/>
        <w:rPr>
          <w:rFonts w:asciiTheme="minorHAnsi" w:eastAsiaTheme="minorEastAsia" w:hAnsiTheme="minorHAnsi"/>
          <w:b/>
          <w:color w:val="002060"/>
          <w:sz w:val="20"/>
          <w:szCs w:val="20"/>
        </w:rPr>
      </w:pP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Cet objectif ne concerne que les Territoires d’Inongo (Secteur de</w:t>
      </w:r>
      <w:r w:rsidR="00EA7F75">
        <w:rPr>
          <w:rFonts w:cs="Times New Roman"/>
          <w:sz w:val="20"/>
          <w:szCs w:val="20"/>
        </w:rPr>
        <w:t>s</w:t>
      </w:r>
      <w:r w:rsidRPr="00970C57">
        <w:rPr>
          <w:rFonts w:cs="Times New Roman"/>
          <w:sz w:val="20"/>
          <w:szCs w:val="20"/>
        </w:rPr>
        <w:t xml:space="preserve"> Basengele) et de Kutu (Secteurs</w:t>
      </w:r>
      <w:r w:rsidR="00764826">
        <w:rPr>
          <w:rFonts w:cs="Times New Roman"/>
          <w:sz w:val="20"/>
          <w:szCs w:val="20"/>
        </w:rPr>
        <w:t> de</w:t>
      </w:r>
      <w:r w:rsidRPr="00970C57">
        <w:rPr>
          <w:rFonts w:cs="Times New Roman"/>
          <w:sz w:val="20"/>
          <w:szCs w:val="20"/>
        </w:rPr>
        <w:t xml:space="preserve"> Kemba, Batere</w:t>
      </w:r>
      <w:r w:rsidR="00764826">
        <w:rPr>
          <w:rFonts w:cs="Times New Roman"/>
          <w:sz w:val="20"/>
          <w:szCs w:val="20"/>
        </w:rPr>
        <w:t xml:space="preserve"> et</w:t>
      </w:r>
      <w:r w:rsidRPr="00970C57">
        <w:rPr>
          <w:rFonts w:cs="Times New Roman"/>
          <w:sz w:val="20"/>
          <w:szCs w:val="20"/>
        </w:rPr>
        <w:t xml:space="preserve"> Mfimi), dans le District du </w:t>
      </w:r>
      <w:r w:rsidR="00AA6D17">
        <w:rPr>
          <w:rFonts w:cs="Times New Roman"/>
          <w:sz w:val="20"/>
          <w:szCs w:val="20"/>
        </w:rPr>
        <w:t>Mai-Ndombe</w:t>
      </w:r>
      <w:r w:rsidRPr="00970C57">
        <w:rPr>
          <w:rFonts w:cs="Times New Roman"/>
          <w:sz w:val="20"/>
          <w:szCs w:val="20"/>
        </w:rPr>
        <w:t>. Ces Secteurs possèdent de vastes savanes. Le passage répété du feu dans ces savanes associé au charbonnage aboutit progressivement aux savanes herbacées. Les temps de travaux étant plus longs en savane, reconquérir les savanes suppose une stra</w:t>
      </w:r>
      <w:r w:rsidR="00ED4805">
        <w:rPr>
          <w:rFonts w:cs="Times New Roman"/>
          <w:sz w:val="20"/>
          <w:szCs w:val="20"/>
        </w:rPr>
        <w:t>tégie</w:t>
      </w:r>
      <w:r w:rsidRPr="00970C57">
        <w:rPr>
          <w:rFonts w:cs="Times New Roman"/>
          <w:sz w:val="20"/>
          <w:szCs w:val="20"/>
        </w:rPr>
        <w:t xml:space="preserve"> qui associe la plantation (agroforesterie, palmier) à la mise en défens. Le labour de mise en défens peut être utilisé comme moyen de délimiter de vastes espaces dans lesquels la savane non soumise au feu répété pourra se régénérer, surtout si elle est proche de galeries forestières ou de lambeaux forestiers (semences). La conception des labours motorisés de protection revêt une grande importance vis-à-vis des superficies qui pourront être reboisées. Le fait de lier les plantations (agroforesterie, palmier, hévéa, café en lisière) à des </w:t>
      </w:r>
      <w:r w:rsidR="00764826">
        <w:rPr>
          <w:rFonts w:cs="Times New Roman"/>
          <w:sz w:val="20"/>
          <w:szCs w:val="20"/>
        </w:rPr>
        <w:t>pare-feu</w:t>
      </w:r>
      <w:r w:rsidRPr="00970C57">
        <w:rPr>
          <w:rFonts w:cs="Times New Roman"/>
          <w:sz w:val="20"/>
          <w:szCs w:val="20"/>
        </w:rPr>
        <w:t xml:space="preserve"> immédiatement valorisés par des cultures de manioc ou autres cultures vivrières, ou de vastes mises en défens appuyées par des paiements aux résultats est de nature à susciter l’intérêt de la paysannerie et des fermiers. Deux objectifs sont poursuivis : i) réinstaller la forêt dans les savanes pour y poursuivre l’agriculture sur brulis une fois les plantations et les mises en défens parvenues à maturité (modèles Mampu), et ii) installer des cultures pérennes dans les savanes pour y conduire une agriculture fixée. Le labour en savane pour y conduire des cultures saisonnières seules est une autre alternative, très intéressante, mais elle suppose pour l’instant l’usage du tracteur</w:t>
      </w:r>
      <w:r w:rsidR="00764826">
        <w:rPr>
          <w:rFonts w:cs="Times New Roman"/>
          <w:sz w:val="20"/>
          <w:szCs w:val="20"/>
        </w:rPr>
        <w:t>, et</w:t>
      </w:r>
      <w:r w:rsidRPr="00970C57">
        <w:rPr>
          <w:rFonts w:cs="Times New Roman"/>
          <w:sz w:val="20"/>
          <w:szCs w:val="20"/>
        </w:rPr>
        <w:t xml:space="preserve"> ce modèle </w:t>
      </w:r>
      <w:r w:rsidR="00DC716F">
        <w:rPr>
          <w:rFonts w:cs="Times New Roman"/>
          <w:sz w:val="20"/>
          <w:szCs w:val="20"/>
        </w:rPr>
        <w:t xml:space="preserve">pourrait ne pas être </w:t>
      </w:r>
      <w:r w:rsidRPr="00970C57">
        <w:rPr>
          <w:rFonts w:cs="Times New Roman"/>
          <w:sz w:val="20"/>
          <w:szCs w:val="20"/>
        </w:rPr>
        <w:t>durable en système paysan</w:t>
      </w:r>
      <w:r w:rsidR="00DC716F">
        <w:rPr>
          <w:rFonts w:cs="Times New Roman"/>
          <w:sz w:val="20"/>
          <w:szCs w:val="20"/>
        </w:rPr>
        <w:t xml:space="preserve"> une fois le projet clos. Les</w:t>
      </w:r>
      <w:r w:rsidR="00ED4805">
        <w:rPr>
          <w:rFonts w:cs="Times New Roman"/>
          <w:sz w:val="20"/>
          <w:szCs w:val="20"/>
        </w:rPr>
        <w:t xml:space="preserve"> labours paysans</w:t>
      </w:r>
      <w:r w:rsidR="00DC716F">
        <w:rPr>
          <w:rFonts w:cs="Times New Roman"/>
          <w:sz w:val="20"/>
          <w:szCs w:val="20"/>
        </w:rPr>
        <w:t>,</w:t>
      </w:r>
      <w:r w:rsidR="00ED4805">
        <w:rPr>
          <w:rFonts w:cs="Times New Roman"/>
          <w:sz w:val="20"/>
          <w:szCs w:val="20"/>
        </w:rPr>
        <w:t xml:space="preserve"> rémunérés par un système de PSE</w:t>
      </w:r>
      <w:r w:rsidR="00DC716F">
        <w:rPr>
          <w:rFonts w:cs="Times New Roman"/>
          <w:sz w:val="20"/>
          <w:szCs w:val="20"/>
        </w:rPr>
        <w:t>, seront donc exclusivement réservés pour des investissements de moyen à long terme (forêt et cultures pérennes).</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Ces deux stratégies peuvent être conduites dans des champs voisins grâce au bon usage des labours de pare</w:t>
      </w:r>
      <w:r w:rsidR="00764826">
        <w:rPr>
          <w:rFonts w:cs="Times New Roman"/>
          <w:sz w:val="20"/>
          <w:szCs w:val="20"/>
        </w:rPr>
        <w:t>-</w:t>
      </w:r>
      <w:r w:rsidRPr="00970C57">
        <w:rPr>
          <w:rFonts w:cs="Times New Roman"/>
          <w:sz w:val="20"/>
          <w:szCs w:val="20"/>
        </w:rPr>
        <w:t xml:space="preserve">feu. Elles peuvent aboutir à la réduction des superficies cultivées en forêt. </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A titre illustratif, voici les coûts de trois modèles</w:t>
      </w:r>
      <w:r w:rsidR="00DC716F">
        <w:rPr>
          <w:rFonts w:cs="Times New Roman"/>
          <w:sz w:val="20"/>
          <w:szCs w:val="20"/>
        </w:rPr>
        <w:t xml:space="preserve"> avec </w:t>
      </w:r>
      <w:r w:rsidR="00DC716F" w:rsidRPr="00970C57">
        <w:rPr>
          <w:rFonts w:cs="Times New Roman"/>
          <w:sz w:val="20"/>
          <w:szCs w:val="20"/>
        </w:rPr>
        <w:t>pare-feu de 25 m de large</w:t>
      </w:r>
      <w:r w:rsidRPr="00970C57">
        <w:rPr>
          <w:rFonts w:cs="Times New Roman"/>
          <w:sz w:val="20"/>
          <w:szCs w:val="20"/>
        </w:rPr>
        <w:t xml:space="preserve"> associant </w:t>
      </w:r>
      <w:r w:rsidRPr="00970C57">
        <w:rPr>
          <w:rFonts w:cs="Times New Roman"/>
          <w:b/>
          <w:i/>
          <w:sz w:val="20"/>
          <w:szCs w:val="20"/>
          <w:u w:val="single"/>
        </w:rPr>
        <w:t>ou non</w:t>
      </w:r>
      <w:r w:rsidRPr="00970C57">
        <w:rPr>
          <w:rFonts w:cs="Times New Roman"/>
          <w:sz w:val="20"/>
          <w:szCs w:val="20"/>
        </w:rPr>
        <w:t xml:space="preserve"> le manioc dans les </w:t>
      </w:r>
      <w:r w:rsidR="00D55E7F" w:rsidRPr="00970C57">
        <w:rPr>
          <w:rFonts w:cs="Times New Roman"/>
          <w:sz w:val="20"/>
          <w:szCs w:val="20"/>
        </w:rPr>
        <w:t>pare-feu</w:t>
      </w:r>
      <w:r w:rsidRPr="00970C57">
        <w:rPr>
          <w:rFonts w:cs="Times New Roman"/>
          <w:sz w:val="20"/>
          <w:szCs w:val="20"/>
        </w:rPr>
        <w:t>, l’agroforesterie et la plantation définitive :</w:t>
      </w:r>
    </w:p>
    <w:p w:rsidR="00B64F66" w:rsidRPr="00B64F66" w:rsidRDefault="00B64F66" w:rsidP="00ED144B">
      <w:pPr>
        <w:spacing w:line="240" w:lineRule="auto"/>
        <w:rPr>
          <w:b/>
          <w:color w:val="002060"/>
          <w:sz w:val="20"/>
          <w:szCs w:val="20"/>
        </w:rPr>
      </w:pPr>
      <w:r w:rsidRPr="00B64F66">
        <w:rPr>
          <w:b/>
          <w:color w:val="002060"/>
          <w:sz w:val="20"/>
          <w:szCs w:val="20"/>
        </w:rPr>
        <w:t>Modèle 1 avec mise en défens seule :</w:t>
      </w:r>
    </w:p>
    <w:tbl>
      <w:tblPr>
        <w:tblW w:w="9355" w:type="dxa"/>
        <w:jc w:val="center"/>
        <w:tblCellMar>
          <w:left w:w="70" w:type="dxa"/>
          <w:right w:w="70" w:type="dxa"/>
        </w:tblCellMar>
        <w:tblLook w:val="04A0" w:firstRow="1" w:lastRow="0" w:firstColumn="1" w:lastColumn="0" w:noHBand="0" w:noVBand="1"/>
      </w:tblPr>
      <w:tblGrid>
        <w:gridCol w:w="4536"/>
        <w:gridCol w:w="1276"/>
        <w:gridCol w:w="1388"/>
        <w:gridCol w:w="880"/>
        <w:gridCol w:w="1275"/>
      </w:tblGrid>
      <w:tr w:rsidR="00970C57" w:rsidRPr="00970C57" w:rsidTr="00ED144B">
        <w:trPr>
          <w:trHeight w:val="300"/>
          <w:tblHeader/>
          <w:jc w:val="center"/>
        </w:trPr>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970C57" w:rsidRPr="00D55E7F" w:rsidRDefault="00970C57" w:rsidP="00DC7877">
            <w:pPr>
              <w:spacing w:after="0"/>
              <w:rPr>
                <w:b/>
                <w:sz w:val="20"/>
                <w:szCs w:val="20"/>
              </w:rPr>
            </w:pP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rsidP="00DC787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Coût/ha</w:t>
            </w:r>
          </w:p>
        </w:tc>
        <w:tc>
          <w:tcPr>
            <w:tcW w:w="1388"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rsidP="00DC787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Superficies</w:t>
            </w:r>
          </w:p>
        </w:tc>
        <w:tc>
          <w:tcPr>
            <w:tcW w:w="88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rsidP="00DC787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Passages</w:t>
            </w:r>
          </w:p>
        </w:tc>
        <w:tc>
          <w:tcPr>
            <w:tcW w:w="1275"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rsidP="00DC787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Coût total en $US</w:t>
            </w:r>
          </w:p>
        </w:tc>
      </w:tr>
      <w:tr w:rsidR="00970C57" w:rsidRPr="00970C57" w:rsidTr="00ED144B">
        <w:trPr>
          <w:trHeight w:val="300"/>
          <w:jc w:val="center"/>
        </w:trPr>
        <w:tc>
          <w:tcPr>
            <w:tcW w:w="4536" w:type="dxa"/>
            <w:tcBorders>
              <w:top w:val="nil"/>
              <w:left w:val="single" w:sz="4" w:space="0" w:color="auto"/>
              <w:bottom w:val="single" w:sz="4" w:space="0" w:color="auto"/>
              <w:right w:val="single" w:sz="4" w:space="0" w:color="auto"/>
            </w:tcBorders>
            <w:noWrap/>
            <w:hideMark/>
          </w:tcPr>
          <w:p w:rsidR="00970C57" w:rsidRPr="00970C57" w:rsidRDefault="00764826">
            <w:pPr>
              <w:spacing w:after="0" w:line="240" w:lineRule="auto"/>
              <w:rPr>
                <w:rFonts w:eastAsia="Times New Roman" w:cs="Times New Roman"/>
                <w:color w:val="000000"/>
                <w:sz w:val="20"/>
                <w:szCs w:val="20"/>
              </w:rPr>
            </w:pPr>
            <w:r>
              <w:rPr>
                <w:rFonts w:eastAsia="Times New Roman" w:cs="Times New Roman"/>
                <w:color w:val="000000"/>
                <w:sz w:val="20"/>
                <w:szCs w:val="20"/>
              </w:rPr>
              <w:t>Pare-feu</w:t>
            </w:r>
            <w:r w:rsidR="00970C57" w:rsidRPr="00970C57">
              <w:rPr>
                <w:rFonts w:eastAsia="Times New Roman" w:cs="Times New Roman"/>
                <w:color w:val="000000"/>
                <w:sz w:val="20"/>
                <w:szCs w:val="20"/>
              </w:rPr>
              <w:t xml:space="preserve"> </w:t>
            </w:r>
          </w:p>
        </w:tc>
        <w:tc>
          <w:tcPr>
            <w:tcW w:w="1276" w:type="dxa"/>
            <w:tcBorders>
              <w:top w:val="nil"/>
              <w:left w:val="nil"/>
              <w:bottom w:val="single" w:sz="4" w:space="0" w:color="auto"/>
              <w:right w:val="single" w:sz="4" w:space="0" w:color="auto"/>
            </w:tcBorders>
            <w:noWrap/>
            <w:hideMark/>
          </w:tcPr>
          <w:p w:rsidR="00970C57" w:rsidRPr="00970C57" w:rsidRDefault="00970C57">
            <w:pPr>
              <w:spacing w:after="0" w:line="240" w:lineRule="auto"/>
              <w:jc w:val="center"/>
              <w:rPr>
                <w:rFonts w:eastAsia="Times New Roman" w:cs="Times New Roman"/>
                <w:color w:val="000000"/>
                <w:sz w:val="20"/>
                <w:szCs w:val="20"/>
              </w:rPr>
            </w:pPr>
            <w:r w:rsidRPr="00970C57">
              <w:rPr>
                <w:rFonts w:eastAsia="Times New Roman" w:cs="Times New Roman"/>
                <w:color w:val="000000"/>
                <w:sz w:val="20"/>
                <w:szCs w:val="20"/>
              </w:rPr>
              <w:t>200</w:t>
            </w:r>
          </w:p>
        </w:tc>
        <w:tc>
          <w:tcPr>
            <w:tcW w:w="1388" w:type="dxa"/>
            <w:tcBorders>
              <w:top w:val="nil"/>
              <w:left w:val="nil"/>
              <w:bottom w:val="single" w:sz="4" w:space="0" w:color="auto"/>
              <w:right w:val="single" w:sz="4" w:space="0" w:color="auto"/>
            </w:tcBorders>
            <w:noWrap/>
            <w:hideMark/>
          </w:tcPr>
          <w:p w:rsidR="00970C57" w:rsidRPr="00970C57" w:rsidRDefault="00970C57">
            <w:pPr>
              <w:spacing w:after="0" w:line="240" w:lineRule="auto"/>
              <w:jc w:val="center"/>
              <w:rPr>
                <w:rFonts w:eastAsia="Times New Roman" w:cs="Times New Roman"/>
                <w:color w:val="000000"/>
                <w:sz w:val="20"/>
                <w:szCs w:val="20"/>
              </w:rPr>
            </w:pPr>
            <w:r w:rsidRPr="00970C57">
              <w:rPr>
                <w:rFonts w:eastAsia="Times New Roman" w:cs="Times New Roman"/>
                <w:color w:val="000000"/>
                <w:sz w:val="20"/>
                <w:szCs w:val="20"/>
              </w:rPr>
              <w:t>6</w:t>
            </w:r>
          </w:p>
        </w:tc>
        <w:tc>
          <w:tcPr>
            <w:tcW w:w="880" w:type="dxa"/>
            <w:tcBorders>
              <w:top w:val="nil"/>
              <w:left w:val="nil"/>
              <w:bottom w:val="single" w:sz="4" w:space="0" w:color="auto"/>
              <w:right w:val="single" w:sz="4" w:space="0" w:color="auto"/>
            </w:tcBorders>
            <w:noWrap/>
            <w:hideMark/>
          </w:tcPr>
          <w:p w:rsidR="00970C57" w:rsidRPr="00970C57" w:rsidRDefault="00970C57">
            <w:pPr>
              <w:spacing w:after="0" w:line="240" w:lineRule="auto"/>
              <w:jc w:val="center"/>
              <w:rPr>
                <w:rFonts w:eastAsia="Times New Roman" w:cs="Times New Roman"/>
                <w:color w:val="000000"/>
                <w:sz w:val="20"/>
                <w:szCs w:val="20"/>
              </w:rPr>
            </w:pPr>
            <w:r w:rsidRPr="00970C57">
              <w:rPr>
                <w:rFonts w:eastAsia="Times New Roman" w:cs="Times New Roman"/>
                <w:color w:val="000000"/>
                <w:sz w:val="20"/>
                <w:szCs w:val="20"/>
              </w:rPr>
              <w:t>2</w:t>
            </w:r>
          </w:p>
        </w:tc>
        <w:tc>
          <w:tcPr>
            <w:tcW w:w="1275" w:type="dxa"/>
            <w:tcBorders>
              <w:top w:val="nil"/>
              <w:left w:val="nil"/>
              <w:bottom w:val="single" w:sz="4" w:space="0" w:color="auto"/>
              <w:right w:val="single" w:sz="4" w:space="0" w:color="auto"/>
            </w:tcBorders>
            <w:noWrap/>
            <w:hideMark/>
          </w:tcPr>
          <w:p w:rsidR="00970C57" w:rsidRPr="00970C57" w:rsidRDefault="00970C57">
            <w:pPr>
              <w:spacing w:after="0" w:line="240" w:lineRule="auto"/>
              <w:jc w:val="center"/>
              <w:rPr>
                <w:rFonts w:eastAsia="Times New Roman" w:cs="Times New Roman"/>
                <w:color w:val="000000"/>
                <w:sz w:val="20"/>
                <w:szCs w:val="20"/>
              </w:rPr>
            </w:pPr>
            <w:r w:rsidRPr="00970C57">
              <w:rPr>
                <w:rFonts w:eastAsia="Times New Roman" w:cs="Times New Roman"/>
                <w:color w:val="000000"/>
                <w:sz w:val="20"/>
                <w:szCs w:val="20"/>
              </w:rPr>
              <w:t>2 400</w:t>
            </w:r>
          </w:p>
        </w:tc>
      </w:tr>
      <w:tr w:rsidR="00970C57" w:rsidRPr="00970C57" w:rsidTr="00ED144B">
        <w:trPr>
          <w:trHeight w:val="300"/>
          <w:jc w:val="center"/>
        </w:trPr>
        <w:tc>
          <w:tcPr>
            <w:tcW w:w="4536" w:type="dxa"/>
            <w:tcBorders>
              <w:top w:val="nil"/>
              <w:left w:val="single" w:sz="4" w:space="0" w:color="auto"/>
              <w:bottom w:val="single" w:sz="4" w:space="0" w:color="auto"/>
              <w:right w:val="single" w:sz="4" w:space="0" w:color="auto"/>
            </w:tcBorders>
            <w:noWrap/>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Mise en défens</w:t>
            </w:r>
            <w:r w:rsidR="001715A3">
              <w:rPr>
                <w:rFonts w:eastAsia="Times New Roman" w:cs="Times New Roman"/>
                <w:color w:val="000000"/>
                <w:sz w:val="20"/>
                <w:szCs w:val="20"/>
              </w:rPr>
              <w:t xml:space="preserve"> (MD)</w:t>
            </w:r>
          </w:p>
        </w:tc>
        <w:tc>
          <w:tcPr>
            <w:tcW w:w="1276" w:type="dxa"/>
            <w:tcBorders>
              <w:top w:val="nil"/>
              <w:left w:val="nil"/>
              <w:bottom w:val="single" w:sz="4" w:space="0" w:color="auto"/>
              <w:right w:val="single" w:sz="4" w:space="0" w:color="auto"/>
            </w:tcBorders>
            <w:noWrap/>
            <w:hideMark/>
          </w:tcPr>
          <w:p w:rsidR="00970C57" w:rsidRPr="00970C57" w:rsidRDefault="005552B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r w:rsidR="00970C57" w:rsidRPr="00970C57">
              <w:rPr>
                <w:rFonts w:eastAsia="Times New Roman" w:cs="Times New Roman"/>
                <w:color w:val="000000"/>
                <w:sz w:val="20"/>
                <w:szCs w:val="20"/>
              </w:rPr>
              <w:t>0</w:t>
            </w:r>
          </w:p>
        </w:tc>
        <w:tc>
          <w:tcPr>
            <w:tcW w:w="1388" w:type="dxa"/>
            <w:tcBorders>
              <w:top w:val="nil"/>
              <w:left w:val="nil"/>
              <w:bottom w:val="single" w:sz="4" w:space="0" w:color="auto"/>
              <w:right w:val="single" w:sz="4" w:space="0" w:color="auto"/>
            </w:tcBorders>
            <w:noWrap/>
            <w:hideMark/>
          </w:tcPr>
          <w:p w:rsidR="00970C57" w:rsidRPr="00970C57" w:rsidRDefault="00970C57">
            <w:pPr>
              <w:spacing w:after="0" w:line="240" w:lineRule="auto"/>
              <w:jc w:val="center"/>
              <w:rPr>
                <w:rFonts w:eastAsia="Times New Roman" w:cs="Times New Roman"/>
                <w:color w:val="000000"/>
                <w:sz w:val="20"/>
                <w:szCs w:val="20"/>
              </w:rPr>
            </w:pPr>
            <w:r w:rsidRPr="00970C57">
              <w:rPr>
                <w:rFonts w:eastAsia="Times New Roman" w:cs="Times New Roman"/>
                <w:color w:val="000000"/>
                <w:sz w:val="20"/>
                <w:szCs w:val="20"/>
              </w:rPr>
              <w:t>60</w:t>
            </w:r>
          </w:p>
        </w:tc>
        <w:tc>
          <w:tcPr>
            <w:tcW w:w="880" w:type="dxa"/>
            <w:tcBorders>
              <w:top w:val="nil"/>
              <w:left w:val="nil"/>
              <w:bottom w:val="single" w:sz="4" w:space="0" w:color="auto"/>
              <w:right w:val="single" w:sz="4" w:space="0" w:color="auto"/>
            </w:tcBorders>
            <w:noWrap/>
            <w:hideMark/>
          </w:tcPr>
          <w:p w:rsidR="00970C57" w:rsidRPr="00970C57" w:rsidRDefault="00970C57">
            <w:pPr>
              <w:spacing w:after="0" w:line="240" w:lineRule="auto"/>
              <w:jc w:val="center"/>
              <w:rPr>
                <w:rFonts w:eastAsia="Times New Roman" w:cs="Times New Roman"/>
                <w:color w:val="000000"/>
                <w:sz w:val="20"/>
                <w:szCs w:val="20"/>
              </w:rPr>
            </w:pPr>
          </w:p>
        </w:tc>
        <w:tc>
          <w:tcPr>
            <w:tcW w:w="1275" w:type="dxa"/>
            <w:tcBorders>
              <w:top w:val="nil"/>
              <w:left w:val="nil"/>
              <w:bottom w:val="single" w:sz="4" w:space="0" w:color="auto"/>
              <w:right w:val="single" w:sz="4" w:space="0" w:color="auto"/>
            </w:tcBorders>
            <w:noWrap/>
            <w:hideMark/>
          </w:tcPr>
          <w:p w:rsidR="00970C57" w:rsidRPr="00970C57" w:rsidRDefault="005552B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1 2</w:t>
            </w:r>
            <w:r w:rsidR="00970C57" w:rsidRPr="00970C57">
              <w:rPr>
                <w:rFonts w:eastAsia="Times New Roman" w:cs="Times New Roman"/>
                <w:color w:val="000000"/>
                <w:sz w:val="20"/>
                <w:szCs w:val="20"/>
              </w:rPr>
              <w:t>00</w:t>
            </w:r>
          </w:p>
        </w:tc>
      </w:tr>
      <w:tr w:rsidR="00970C57" w:rsidRPr="00970C57" w:rsidTr="00ED144B">
        <w:trPr>
          <w:trHeight w:val="85"/>
          <w:jc w:val="center"/>
        </w:trPr>
        <w:tc>
          <w:tcPr>
            <w:tcW w:w="4536" w:type="dxa"/>
            <w:tcBorders>
              <w:top w:val="nil"/>
              <w:left w:val="single" w:sz="4" w:space="0" w:color="auto"/>
              <w:bottom w:val="single" w:sz="4" w:space="0" w:color="auto"/>
              <w:right w:val="single" w:sz="4" w:space="0" w:color="auto"/>
            </w:tcBorders>
            <w:shd w:val="clear" w:color="auto" w:fill="DEEAF6" w:themeFill="accent1" w:themeFillTint="33"/>
            <w:noWrap/>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DEEAF6" w:themeFill="accent1" w:themeFillTint="33"/>
            <w:noWrap/>
            <w:hideMark/>
          </w:tcPr>
          <w:p w:rsidR="00970C57" w:rsidRPr="00970C57" w:rsidRDefault="00970C57" w:rsidP="00DC7877">
            <w:pPr>
              <w:spacing w:after="0"/>
              <w:rPr>
                <w:rFonts w:eastAsia="Times New Roman" w:cs="Times New Roman"/>
                <w:color w:val="000000"/>
                <w:sz w:val="20"/>
                <w:szCs w:val="20"/>
              </w:rPr>
            </w:pPr>
          </w:p>
        </w:tc>
        <w:tc>
          <w:tcPr>
            <w:tcW w:w="1388" w:type="dxa"/>
            <w:tcBorders>
              <w:top w:val="nil"/>
              <w:left w:val="nil"/>
              <w:bottom w:val="single" w:sz="4" w:space="0" w:color="auto"/>
              <w:right w:val="single" w:sz="4" w:space="0" w:color="auto"/>
            </w:tcBorders>
            <w:shd w:val="clear" w:color="auto" w:fill="DEEAF6" w:themeFill="accent1" w:themeFillTint="33"/>
            <w:noWrap/>
            <w:hideMark/>
          </w:tcPr>
          <w:p w:rsidR="00970C57" w:rsidRPr="00970C57" w:rsidRDefault="00DC787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T</w:t>
            </w:r>
            <w:r w:rsidR="00970C57" w:rsidRPr="00970C57">
              <w:rPr>
                <w:rFonts w:eastAsia="Times New Roman" w:cs="Times New Roman"/>
                <w:color w:val="000000"/>
                <w:sz w:val="20"/>
                <w:szCs w:val="20"/>
              </w:rPr>
              <w:t>otal</w:t>
            </w:r>
          </w:p>
        </w:tc>
        <w:tc>
          <w:tcPr>
            <w:tcW w:w="880" w:type="dxa"/>
            <w:tcBorders>
              <w:top w:val="nil"/>
              <w:left w:val="nil"/>
              <w:bottom w:val="single" w:sz="4" w:space="0" w:color="auto"/>
              <w:right w:val="single" w:sz="4" w:space="0" w:color="auto"/>
            </w:tcBorders>
            <w:shd w:val="clear" w:color="auto" w:fill="DEEAF6" w:themeFill="accent1" w:themeFillTint="33"/>
            <w:noWrap/>
            <w:hideMark/>
          </w:tcPr>
          <w:p w:rsidR="00970C57" w:rsidRPr="00970C57" w:rsidRDefault="00970C57" w:rsidP="00DC7877">
            <w:pPr>
              <w:spacing w:after="0"/>
              <w:rPr>
                <w:rFonts w:eastAsia="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DEEAF6" w:themeFill="accent1" w:themeFillTint="33"/>
            <w:noWrap/>
            <w:hideMark/>
          </w:tcPr>
          <w:p w:rsidR="00970C57" w:rsidRPr="00970C57" w:rsidRDefault="005552B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3 6</w:t>
            </w:r>
            <w:r w:rsidR="00970C57" w:rsidRPr="00970C57">
              <w:rPr>
                <w:rFonts w:eastAsia="Times New Roman" w:cs="Times New Roman"/>
                <w:color w:val="000000"/>
                <w:sz w:val="20"/>
                <w:szCs w:val="20"/>
              </w:rPr>
              <w:t>00</w:t>
            </w:r>
          </w:p>
        </w:tc>
      </w:tr>
      <w:tr w:rsidR="00970C57" w:rsidRPr="00970C57" w:rsidTr="00ED144B">
        <w:trPr>
          <w:trHeight w:val="300"/>
          <w:jc w:val="center"/>
        </w:trPr>
        <w:tc>
          <w:tcPr>
            <w:tcW w:w="4536" w:type="dxa"/>
            <w:tcBorders>
              <w:top w:val="nil"/>
              <w:left w:val="single" w:sz="4" w:space="0" w:color="auto"/>
              <w:bottom w:val="single" w:sz="4" w:space="0" w:color="auto"/>
              <w:right w:val="single" w:sz="4" w:space="0" w:color="auto"/>
            </w:tcBorders>
            <w:noWrap/>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noWrap/>
            <w:hideMark/>
          </w:tcPr>
          <w:p w:rsidR="00970C57" w:rsidRPr="00970C57" w:rsidRDefault="00970C57">
            <w:pPr>
              <w:rPr>
                <w:rFonts w:eastAsia="Times New Roman" w:cs="Times New Roman"/>
                <w:color w:val="000000"/>
                <w:sz w:val="20"/>
                <w:szCs w:val="20"/>
              </w:rPr>
            </w:pPr>
          </w:p>
        </w:tc>
        <w:tc>
          <w:tcPr>
            <w:tcW w:w="1388" w:type="dxa"/>
            <w:tcBorders>
              <w:top w:val="nil"/>
              <w:left w:val="nil"/>
              <w:bottom w:val="single" w:sz="4" w:space="0" w:color="auto"/>
              <w:right w:val="single" w:sz="4" w:space="0" w:color="auto"/>
            </w:tcBorders>
            <w:shd w:val="clear" w:color="auto" w:fill="DEEAF6" w:themeFill="accent1" w:themeFillTint="33"/>
            <w:noWrap/>
            <w:hideMark/>
          </w:tcPr>
          <w:p w:rsidR="00970C57" w:rsidRDefault="001715A3" w:rsidP="00DC787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C</w:t>
            </w:r>
            <w:r w:rsidR="00970C57" w:rsidRPr="00970C57">
              <w:rPr>
                <w:rFonts w:eastAsia="Times New Roman" w:cs="Times New Roman"/>
                <w:color w:val="000000"/>
                <w:sz w:val="20"/>
                <w:szCs w:val="20"/>
              </w:rPr>
              <w:t>oût/ha</w:t>
            </w:r>
          </w:p>
          <w:p w:rsidR="00DC7877" w:rsidRPr="00970C57" w:rsidRDefault="00DC7877" w:rsidP="00DC787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Base 60 ha</w:t>
            </w:r>
          </w:p>
        </w:tc>
        <w:tc>
          <w:tcPr>
            <w:tcW w:w="880" w:type="dxa"/>
            <w:tcBorders>
              <w:top w:val="nil"/>
              <w:left w:val="nil"/>
              <w:bottom w:val="single" w:sz="4" w:space="0" w:color="auto"/>
              <w:right w:val="single" w:sz="4" w:space="0" w:color="auto"/>
            </w:tcBorders>
            <w:shd w:val="clear" w:color="auto" w:fill="DEEAF6" w:themeFill="accent1" w:themeFillTint="33"/>
            <w:noWrap/>
            <w:hideMark/>
          </w:tcPr>
          <w:p w:rsidR="00970C57" w:rsidRPr="00970C57" w:rsidRDefault="00970C57">
            <w:pPr>
              <w:rPr>
                <w:rFonts w:eastAsia="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DEEAF6" w:themeFill="accent1" w:themeFillTint="33"/>
            <w:noWrap/>
            <w:hideMark/>
          </w:tcPr>
          <w:p w:rsidR="00970C57" w:rsidRPr="00970C57" w:rsidRDefault="005552BD">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r w:rsidR="00DC7877">
              <w:rPr>
                <w:rFonts w:eastAsia="Times New Roman" w:cs="Times New Roman"/>
                <w:color w:val="000000"/>
                <w:sz w:val="20"/>
                <w:szCs w:val="20"/>
              </w:rPr>
              <w:t>0</w:t>
            </w:r>
          </w:p>
        </w:tc>
      </w:tr>
    </w:tbl>
    <w:p w:rsidR="00970C57" w:rsidRPr="00970C57" w:rsidRDefault="00970C57" w:rsidP="00970C57">
      <w:pPr>
        <w:spacing w:line="240" w:lineRule="auto"/>
        <w:ind w:left="810"/>
        <w:jc w:val="both"/>
        <w:rPr>
          <w:rFonts w:eastAsiaTheme="minorHAnsi"/>
          <w:sz w:val="20"/>
          <w:szCs w:val="20"/>
          <w:lang w:eastAsia="en-US"/>
        </w:rPr>
      </w:pPr>
    </w:p>
    <w:p w:rsidR="00970C57" w:rsidRPr="00B64F66" w:rsidRDefault="00970C57" w:rsidP="00ED144B">
      <w:pPr>
        <w:spacing w:line="240" w:lineRule="auto"/>
        <w:rPr>
          <w:b/>
          <w:color w:val="002060"/>
          <w:sz w:val="20"/>
          <w:szCs w:val="20"/>
        </w:rPr>
      </w:pPr>
      <w:r w:rsidRPr="00B64F66">
        <w:rPr>
          <w:b/>
          <w:color w:val="002060"/>
          <w:sz w:val="20"/>
          <w:szCs w:val="20"/>
        </w:rPr>
        <w:t>Modèle 2 avec mise en défens associée à un bloc agroforestier :</w:t>
      </w:r>
    </w:p>
    <w:tbl>
      <w:tblPr>
        <w:tblW w:w="9360" w:type="dxa"/>
        <w:jc w:val="center"/>
        <w:tblCellMar>
          <w:left w:w="70" w:type="dxa"/>
          <w:right w:w="70" w:type="dxa"/>
        </w:tblCellMar>
        <w:tblLook w:val="04A0" w:firstRow="1" w:lastRow="0" w:firstColumn="1" w:lastColumn="0" w:noHBand="0" w:noVBand="1"/>
      </w:tblPr>
      <w:tblGrid>
        <w:gridCol w:w="4590"/>
        <w:gridCol w:w="1260"/>
        <w:gridCol w:w="1350"/>
        <w:gridCol w:w="900"/>
        <w:gridCol w:w="1260"/>
      </w:tblGrid>
      <w:tr w:rsidR="00970C57" w:rsidRPr="00970C57" w:rsidTr="00ED144B">
        <w:trPr>
          <w:trHeight w:val="300"/>
          <w:tblHeader/>
          <w:jc w:val="center"/>
        </w:trPr>
        <w:tc>
          <w:tcPr>
            <w:tcW w:w="459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970C57" w:rsidRPr="00D55E7F" w:rsidRDefault="00970C57">
            <w:pPr>
              <w:rPr>
                <w:b/>
                <w:sz w:val="20"/>
                <w:szCs w:val="20"/>
              </w:rPr>
            </w:pPr>
          </w:p>
        </w:tc>
        <w:tc>
          <w:tcPr>
            <w:tcW w:w="126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Coût/ha</w:t>
            </w:r>
          </w:p>
        </w:tc>
        <w:tc>
          <w:tcPr>
            <w:tcW w:w="135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Superficies</w:t>
            </w:r>
          </w:p>
        </w:tc>
        <w:tc>
          <w:tcPr>
            <w:tcW w:w="90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Passages</w:t>
            </w:r>
          </w:p>
        </w:tc>
        <w:tc>
          <w:tcPr>
            <w:tcW w:w="126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D55E7F" w:rsidRDefault="00970C5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Coût total</w:t>
            </w:r>
          </w:p>
          <w:p w:rsidR="00970C57" w:rsidRPr="00D55E7F" w:rsidRDefault="00970C57">
            <w:pPr>
              <w:spacing w:after="0" w:line="240" w:lineRule="auto"/>
              <w:jc w:val="center"/>
              <w:rPr>
                <w:rFonts w:eastAsia="Times New Roman" w:cs="Times New Roman"/>
                <w:b/>
                <w:color w:val="000000"/>
                <w:sz w:val="20"/>
                <w:szCs w:val="20"/>
              </w:rPr>
            </w:pPr>
            <w:r w:rsidRPr="00D55E7F">
              <w:rPr>
                <w:rFonts w:eastAsia="Times New Roman" w:cs="Times New Roman"/>
                <w:b/>
                <w:color w:val="000000"/>
                <w:sz w:val="20"/>
                <w:szCs w:val="20"/>
              </w:rPr>
              <w:t>$US</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noWrap/>
            <w:vAlign w:val="bottom"/>
            <w:hideMark/>
          </w:tcPr>
          <w:p w:rsidR="00970C57" w:rsidRPr="00970C57" w:rsidRDefault="00764826">
            <w:pPr>
              <w:spacing w:after="0" w:line="240" w:lineRule="auto"/>
              <w:rPr>
                <w:rFonts w:eastAsia="Times New Roman" w:cs="Times New Roman"/>
                <w:color w:val="000000"/>
                <w:sz w:val="20"/>
                <w:szCs w:val="20"/>
              </w:rPr>
            </w:pPr>
            <w:r>
              <w:rPr>
                <w:rFonts w:eastAsia="Times New Roman" w:cs="Times New Roman"/>
                <w:color w:val="000000"/>
                <w:sz w:val="20"/>
                <w:szCs w:val="20"/>
              </w:rPr>
              <w:t>Pare-feu</w:t>
            </w:r>
            <w:r w:rsidR="00970C57" w:rsidRPr="00970C57">
              <w:rPr>
                <w:rFonts w:eastAsia="Times New Roman" w:cs="Times New Roman"/>
                <w:color w:val="000000"/>
                <w:sz w:val="20"/>
                <w:szCs w:val="20"/>
              </w:rPr>
              <w:t xml:space="preserve"> </w:t>
            </w:r>
          </w:p>
        </w:tc>
        <w:tc>
          <w:tcPr>
            <w:tcW w:w="126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200</w:t>
            </w:r>
          </w:p>
        </w:tc>
        <w:tc>
          <w:tcPr>
            <w:tcW w:w="135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6</w:t>
            </w:r>
          </w:p>
        </w:tc>
        <w:tc>
          <w:tcPr>
            <w:tcW w:w="90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w:t>
            </w:r>
          </w:p>
        </w:tc>
        <w:tc>
          <w:tcPr>
            <w:tcW w:w="126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2 400</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Mise en défens</w:t>
            </w:r>
            <w:r w:rsidR="00F701AD">
              <w:rPr>
                <w:rFonts w:eastAsia="Times New Roman" w:cs="Times New Roman"/>
                <w:color w:val="000000"/>
                <w:sz w:val="20"/>
                <w:szCs w:val="20"/>
              </w:rPr>
              <w:t xml:space="preserve"> </w:t>
            </w:r>
          </w:p>
        </w:tc>
        <w:tc>
          <w:tcPr>
            <w:tcW w:w="1260" w:type="dxa"/>
            <w:tcBorders>
              <w:top w:val="nil"/>
              <w:left w:val="nil"/>
              <w:bottom w:val="single" w:sz="4" w:space="0" w:color="auto"/>
              <w:right w:val="single" w:sz="4" w:space="0" w:color="auto"/>
            </w:tcBorders>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2</w:t>
            </w:r>
            <w:r w:rsidR="00970C57" w:rsidRPr="00970C57">
              <w:rPr>
                <w:rFonts w:eastAsia="Times New Roman" w:cs="Times New Roman"/>
                <w:color w:val="000000"/>
                <w:sz w:val="20"/>
                <w:szCs w:val="20"/>
              </w:rPr>
              <w:t>0</w:t>
            </w:r>
          </w:p>
        </w:tc>
        <w:tc>
          <w:tcPr>
            <w:tcW w:w="135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60</w:t>
            </w:r>
          </w:p>
        </w:tc>
        <w:tc>
          <w:tcPr>
            <w:tcW w:w="90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p>
        </w:tc>
        <w:tc>
          <w:tcPr>
            <w:tcW w:w="1260" w:type="dxa"/>
            <w:tcBorders>
              <w:top w:val="nil"/>
              <w:left w:val="nil"/>
              <w:bottom w:val="single" w:sz="4" w:space="0" w:color="auto"/>
              <w:right w:val="single" w:sz="4" w:space="0" w:color="auto"/>
            </w:tcBorders>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1 2</w:t>
            </w:r>
            <w:r w:rsidR="00970C57" w:rsidRPr="00970C57">
              <w:rPr>
                <w:rFonts w:eastAsia="Times New Roman" w:cs="Times New Roman"/>
                <w:color w:val="000000"/>
                <w:sz w:val="20"/>
                <w:szCs w:val="20"/>
              </w:rPr>
              <w:t>00</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Plantation</w:t>
            </w:r>
            <w:r w:rsidR="00F701AD">
              <w:rPr>
                <w:rFonts w:eastAsia="Times New Roman" w:cs="Times New Roman"/>
                <w:color w:val="000000"/>
                <w:sz w:val="20"/>
                <w:szCs w:val="20"/>
              </w:rPr>
              <w:t xml:space="preserve"> d’acacia</w:t>
            </w:r>
            <w:r w:rsidRPr="00970C57">
              <w:rPr>
                <w:rFonts w:eastAsia="Times New Roman" w:cs="Times New Roman"/>
                <w:color w:val="000000"/>
                <w:sz w:val="20"/>
                <w:szCs w:val="20"/>
              </w:rPr>
              <w:t xml:space="preserve"> </w:t>
            </w:r>
            <w:r w:rsidR="00F701AD">
              <w:rPr>
                <w:rFonts w:eastAsia="Times New Roman" w:cs="Times New Roman"/>
                <w:color w:val="000000"/>
                <w:sz w:val="20"/>
                <w:szCs w:val="20"/>
              </w:rPr>
              <w:t>(</w:t>
            </w:r>
            <w:r w:rsidRPr="00970C57">
              <w:rPr>
                <w:rFonts w:eastAsia="Times New Roman" w:cs="Times New Roman"/>
                <w:color w:val="000000"/>
                <w:sz w:val="20"/>
                <w:szCs w:val="20"/>
              </w:rPr>
              <w:t xml:space="preserve">ou </w:t>
            </w:r>
            <w:r w:rsidR="00F701AD">
              <w:rPr>
                <w:rFonts w:eastAsia="Times New Roman" w:cs="Times New Roman"/>
                <w:color w:val="000000"/>
                <w:sz w:val="20"/>
                <w:szCs w:val="20"/>
              </w:rPr>
              <w:t>d’</w:t>
            </w:r>
            <w:r w:rsidRPr="00970C57">
              <w:rPr>
                <w:rFonts w:eastAsia="Times New Roman" w:cs="Times New Roman"/>
                <w:color w:val="000000"/>
                <w:sz w:val="20"/>
                <w:szCs w:val="20"/>
              </w:rPr>
              <w:t>autres essences agroforestières et fruitières</w:t>
            </w:r>
            <w:r w:rsidR="00F701AD">
              <w:rPr>
                <w:rFonts w:eastAsia="Times New Roman" w:cs="Times New Roman"/>
                <w:color w:val="000000"/>
                <w:sz w:val="20"/>
                <w:szCs w:val="20"/>
              </w:rPr>
              <w:t>).</w:t>
            </w:r>
            <w:r w:rsidR="00A10619">
              <w:rPr>
                <w:rFonts w:eastAsia="Times New Roman" w:cs="Times New Roman"/>
                <w:color w:val="000000"/>
                <w:sz w:val="20"/>
                <w:szCs w:val="20"/>
              </w:rPr>
              <w:t xml:space="preserve"> </w:t>
            </w:r>
            <w:r w:rsidR="00F701AD">
              <w:rPr>
                <w:rFonts w:eastAsia="Times New Roman" w:cs="Times New Roman"/>
                <w:color w:val="000000"/>
                <w:sz w:val="20"/>
                <w:szCs w:val="20"/>
              </w:rPr>
              <w:t>L</w:t>
            </w:r>
            <w:r w:rsidR="00A10619">
              <w:rPr>
                <w:rFonts w:eastAsia="Times New Roman" w:cs="Times New Roman"/>
                <w:color w:val="000000"/>
                <w:sz w:val="20"/>
                <w:szCs w:val="20"/>
              </w:rPr>
              <w:t>es 20 hectares sont contenus dans la zone de 60 hectares de MD</w:t>
            </w:r>
            <w:r w:rsidR="00F701AD">
              <w:rPr>
                <w:rFonts w:eastAsia="Times New Roman" w:cs="Times New Roman"/>
                <w:color w:val="000000"/>
                <w:sz w:val="20"/>
                <w:szCs w:val="20"/>
              </w:rPr>
              <w:t>.</w:t>
            </w:r>
          </w:p>
        </w:tc>
        <w:tc>
          <w:tcPr>
            <w:tcW w:w="1260" w:type="dxa"/>
            <w:tcBorders>
              <w:top w:val="nil"/>
              <w:left w:val="nil"/>
              <w:bottom w:val="single" w:sz="4" w:space="0" w:color="auto"/>
              <w:right w:val="single" w:sz="4" w:space="0" w:color="auto"/>
            </w:tcBorders>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270</w:t>
            </w:r>
          </w:p>
        </w:tc>
        <w:tc>
          <w:tcPr>
            <w:tcW w:w="135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20</w:t>
            </w:r>
          </w:p>
        </w:tc>
        <w:tc>
          <w:tcPr>
            <w:tcW w:w="90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5 400</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DC7877" w:rsidP="00DC787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T</w:t>
            </w:r>
            <w:r w:rsidR="00970C57" w:rsidRPr="00970C57">
              <w:rPr>
                <w:rFonts w:eastAsia="Times New Roman" w:cs="Times New Roman"/>
                <w:color w:val="000000"/>
                <w:sz w:val="20"/>
                <w:szCs w:val="20"/>
              </w:rPr>
              <w:t>otal</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9 000</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Default="00DC7877" w:rsidP="00DC787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C</w:t>
            </w:r>
            <w:r w:rsidR="00970C57" w:rsidRPr="00970C57">
              <w:rPr>
                <w:rFonts w:eastAsia="Times New Roman" w:cs="Times New Roman"/>
                <w:color w:val="000000"/>
                <w:sz w:val="20"/>
                <w:szCs w:val="20"/>
              </w:rPr>
              <w:t>oût/ha</w:t>
            </w:r>
          </w:p>
          <w:p w:rsidR="00DC7877" w:rsidRPr="00970C57" w:rsidRDefault="00A10619" w:rsidP="00DC787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Base 6</w:t>
            </w:r>
            <w:r w:rsidR="00DC7877">
              <w:rPr>
                <w:rFonts w:eastAsia="Times New Roman" w:cs="Times New Roman"/>
                <w:color w:val="000000"/>
                <w:sz w:val="20"/>
                <w:szCs w:val="20"/>
              </w:rPr>
              <w:t>0 ha</w:t>
            </w:r>
          </w:p>
        </w:tc>
        <w:tc>
          <w:tcPr>
            <w:tcW w:w="90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DC7877">
            <w:pPr>
              <w:spacing w:after="0" w:line="240" w:lineRule="auto"/>
              <w:jc w:val="right"/>
              <w:rPr>
                <w:rFonts w:eastAsia="Times New Roman" w:cs="Times New Roman"/>
                <w:color w:val="000000"/>
                <w:sz w:val="20"/>
                <w:szCs w:val="20"/>
              </w:rPr>
            </w:pPr>
            <w:r>
              <w:rPr>
                <w:rFonts w:eastAsia="Times New Roman" w:cs="Times New Roman"/>
                <w:color w:val="000000"/>
                <w:sz w:val="20"/>
                <w:szCs w:val="20"/>
              </w:rPr>
              <w:t>1</w:t>
            </w:r>
            <w:r w:rsidR="005552BD">
              <w:rPr>
                <w:rFonts w:eastAsia="Times New Roman" w:cs="Times New Roman"/>
                <w:color w:val="000000"/>
                <w:sz w:val="20"/>
                <w:szCs w:val="20"/>
              </w:rPr>
              <w:t>5</w:t>
            </w:r>
            <w:r w:rsidR="00A10619">
              <w:rPr>
                <w:rFonts w:eastAsia="Times New Roman" w:cs="Times New Roman"/>
                <w:color w:val="000000"/>
                <w:sz w:val="20"/>
                <w:szCs w:val="20"/>
              </w:rPr>
              <w:t>0</w:t>
            </w:r>
          </w:p>
        </w:tc>
      </w:tr>
    </w:tbl>
    <w:p w:rsidR="00A777B8" w:rsidRDefault="00A777B8">
      <w:pPr>
        <w:spacing w:after="160" w:line="259" w:lineRule="auto"/>
        <w:rPr>
          <w:b/>
          <w:color w:val="002060"/>
          <w:sz w:val="20"/>
          <w:szCs w:val="20"/>
        </w:rPr>
      </w:pPr>
    </w:p>
    <w:p w:rsidR="00F5585E" w:rsidRDefault="00F5585E">
      <w:pPr>
        <w:spacing w:after="160" w:line="259" w:lineRule="auto"/>
        <w:rPr>
          <w:b/>
          <w:color w:val="002060"/>
          <w:sz w:val="20"/>
          <w:szCs w:val="20"/>
        </w:rPr>
      </w:pPr>
      <w:r>
        <w:rPr>
          <w:b/>
          <w:color w:val="002060"/>
          <w:sz w:val="20"/>
          <w:szCs w:val="20"/>
        </w:rPr>
        <w:br w:type="page"/>
      </w:r>
    </w:p>
    <w:p w:rsidR="00970C57" w:rsidRPr="00B64F66" w:rsidRDefault="00970C57" w:rsidP="00ED144B">
      <w:pPr>
        <w:spacing w:line="240" w:lineRule="auto"/>
        <w:rPr>
          <w:b/>
          <w:color w:val="002060"/>
          <w:sz w:val="20"/>
          <w:szCs w:val="20"/>
        </w:rPr>
      </w:pPr>
      <w:r w:rsidRPr="00B64F66">
        <w:rPr>
          <w:b/>
          <w:color w:val="002060"/>
          <w:sz w:val="20"/>
          <w:szCs w:val="20"/>
        </w:rPr>
        <w:lastRenderedPageBreak/>
        <w:t>Modèle 3 avec mise en défens associé à la plantation de palmier</w:t>
      </w:r>
    </w:p>
    <w:tbl>
      <w:tblPr>
        <w:tblW w:w="9360" w:type="dxa"/>
        <w:jc w:val="center"/>
        <w:tblCellMar>
          <w:left w:w="70" w:type="dxa"/>
          <w:right w:w="70" w:type="dxa"/>
        </w:tblCellMar>
        <w:tblLook w:val="04A0" w:firstRow="1" w:lastRow="0" w:firstColumn="1" w:lastColumn="0" w:noHBand="0" w:noVBand="1"/>
      </w:tblPr>
      <w:tblGrid>
        <w:gridCol w:w="4590"/>
        <w:gridCol w:w="1260"/>
        <w:gridCol w:w="1260"/>
        <w:gridCol w:w="990"/>
        <w:gridCol w:w="1260"/>
      </w:tblGrid>
      <w:tr w:rsidR="00970C57" w:rsidRPr="00970C57" w:rsidTr="00ED144B">
        <w:trPr>
          <w:trHeight w:val="300"/>
          <w:jc w:val="center"/>
        </w:trPr>
        <w:tc>
          <w:tcPr>
            <w:tcW w:w="459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970C57" w:rsidRPr="00A10619" w:rsidRDefault="00970C57">
            <w:pPr>
              <w:rPr>
                <w:b/>
                <w:sz w:val="20"/>
                <w:szCs w:val="20"/>
              </w:rPr>
            </w:pPr>
          </w:p>
        </w:tc>
        <w:tc>
          <w:tcPr>
            <w:tcW w:w="126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A10619" w:rsidRDefault="00970C57">
            <w:pPr>
              <w:spacing w:after="0" w:line="240" w:lineRule="auto"/>
              <w:jc w:val="center"/>
              <w:rPr>
                <w:rFonts w:eastAsia="Times New Roman" w:cs="Times New Roman"/>
                <w:b/>
                <w:color w:val="000000"/>
                <w:sz w:val="20"/>
                <w:szCs w:val="20"/>
              </w:rPr>
            </w:pPr>
            <w:r w:rsidRPr="00A10619">
              <w:rPr>
                <w:rFonts w:eastAsia="Times New Roman" w:cs="Times New Roman"/>
                <w:b/>
                <w:color w:val="000000"/>
                <w:sz w:val="20"/>
                <w:szCs w:val="20"/>
              </w:rPr>
              <w:t>Coût/ha</w:t>
            </w:r>
          </w:p>
        </w:tc>
        <w:tc>
          <w:tcPr>
            <w:tcW w:w="126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A10619" w:rsidRDefault="00970C57">
            <w:pPr>
              <w:spacing w:after="0" w:line="240" w:lineRule="auto"/>
              <w:jc w:val="center"/>
              <w:rPr>
                <w:rFonts w:eastAsia="Times New Roman" w:cs="Times New Roman"/>
                <w:b/>
                <w:color w:val="000000"/>
                <w:sz w:val="20"/>
                <w:szCs w:val="20"/>
              </w:rPr>
            </w:pPr>
            <w:r w:rsidRPr="00A10619">
              <w:rPr>
                <w:rFonts w:eastAsia="Times New Roman" w:cs="Times New Roman"/>
                <w:b/>
                <w:color w:val="000000"/>
                <w:sz w:val="20"/>
                <w:szCs w:val="20"/>
              </w:rPr>
              <w:t>Superficies</w:t>
            </w:r>
          </w:p>
        </w:tc>
        <w:tc>
          <w:tcPr>
            <w:tcW w:w="99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A10619" w:rsidRDefault="00970C57">
            <w:pPr>
              <w:spacing w:after="0" w:line="240" w:lineRule="auto"/>
              <w:jc w:val="center"/>
              <w:rPr>
                <w:rFonts w:eastAsia="Times New Roman" w:cs="Times New Roman"/>
                <w:b/>
                <w:color w:val="000000"/>
                <w:sz w:val="20"/>
                <w:szCs w:val="20"/>
              </w:rPr>
            </w:pPr>
            <w:r w:rsidRPr="00A10619">
              <w:rPr>
                <w:rFonts w:eastAsia="Times New Roman" w:cs="Times New Roman"/>
                <w:b/>
                <w:color w:val="000000"/>
                <w:sz w:val="20"/>
                <w:szCs w:val="20"/>
              </w:rPr>
              <w:t>Passages</w:t>
            </w:r>
          </w:p>
        </w:tc>
        <w:tc>
          <w:tcPr>
            <w:tcW w:w="1260" w:type="dxa"/>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A10619" w:rsidRDefault="00970C57">
            <w:pPr>
              <w:spacing w:after="0" w:line="240" w:lineRule="auto"/>
              <w:jc w:val="center"/>
              <w:rPr>
                <w:rFonts w:eastAsia="Times New Roman" w:cs="Times New Roman"/>
                <w:b/>
                <w:color w:val="000000"/>
                <w:sz w:val="20"/>
                <w:szCs w:val="20"/>
              </w:rPr>
            </w:pPr>
            <w:r w:rsidRPr="00A10619">
              <w:rPr>
                <w:rFonts w:eastAsia="Times New Roman" w:cs="Times New Roman"/>
                <w:b/>
                <w:color w:val="000000"/>
                <w:sz w:val="20"/>
                <w:szCs w:val="20"/>
              </w:rPr>
              <w:t>Coût total</w:t>
            </w:r>
          </w:p>
          <w:p w:rsidR="00970C57" w:rsidRPr="00A10619" w:rsidRDefault="00970C57">
            <w:pPr>
              <w:spacing w:after="0" w:line="240" w:lineRule="auto"/>
              <w:jc w:val="center"/>
              <w:rPr>
                <w:rFonts w:eastAsia="Times New Roman" w:cs="Times New Roman"/>
                <w:b/>
                <w:color w:val="000000"/>
                <w:sz w:val="20"/>
                <w:szCs w:val="20"/>
              </w:rPr>
            </w:pPr>
            <w:r w:rsidRPr="00A10619">
              <w:rPr>
                <w:rFonts w:eastAsia="Times New Roman" w:cs="Times New Roman"/>
                <w:b/>
                <w:color w:val="000000"/>
                <w:sz w:val="20"/>
                <w:szCs w:val="20"/>
              </w:rPr>
              <w:t>$US</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noWrap/>
            <w:vAlign w:val="bottom"/>
            <w:hideMark/>
          </w:tcPr>
          <w:p w:rsidR="00970C57" w:rsidRPr="00970C57" w:rsidRDefault="00764826">
            <w:pPr>
              <w:spacing w:after="0" w:line="240" w:lineRule="auto"/>
              <w:rPr>
                <w:rFonts w:eastAsia="Times New Roman" w:cs="Times New Roman"/>
                <w:color w:val="000000"/>
                <w:sz w:val="20"/>
                <w:szCs w:val="20"/>
              </w:rPr>
            </w:pPr>
            <w:r>
              <w:rPr>
                <w:rFonts w:eastAsia="Times New Roman" w:cs="Times New Roman"/>
                <w:color w:val="000000"/>
                <w:sz w:val="20"/>
                <w:szCs w:val="20"/>
              </w:rPr>
              <w:t>Pare-feu</w:t>
            </w:r>
            <w:r w:rsidR="00970C57" w:rsidRPr="00970C57">
              <w:rPr>
                <w:rFonts w:eastAsia="Times New Roman" w:cs="Times New Roman"/>
                <w:color w:val="000000"/>
                <w:sz w:val="20"/>
                <w:szCs w:val="20"/>
              </w:rPr>
              <w:t xml:space="preserve"> </w:t>
            </w:r>
          </w:p>
        </w:tc>
        <w:tc>
          <w:tcPr>
            <w:tcW w:w="126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200</w:t>
            </w:r>
          </w:p>
        </w:tc>
        <w:tc>
          <w:tcPr>
            <w:tcW w:w="126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6</w:t>
            </w:r>
          </w:p>
        </w:tc>
        <w:tc>
          <w:tcPr>
            <w:tcW w:w="99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w:t>
            </w:r>
          </w:p>
        </w:tc>
        <w:tc>
          <w:tcPr>
            <w:tcW w:w="126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2 400</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Mise en défens (PSE)</w:t>
            </w:r>
          </w:p>
        </w:tc>
        <w:tc>
          <w:tcPr>
            <w:tcW w:w="1260" w:type="dxa"/>
            <w:tcBorders>
              <w:top w:val="nil"/>
              <w:left w:val="nil"/>
              <w:bottom w:val="single" w:sz="4" w:space="0" w:color="auto"/>
              <w:right w:val="single" w:sz="4" w:space="0" w:color="auto"/>
            </w:tcBorders>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2</w:t>
            </w:r>
            <w:r w:rsidR="00970C57" w:rsidRPr="00970C57">
              <w:rPr>
                <w:rFonts w:eastAsia="Times New Roman" w:cs="Times New Roman"/>
                <w:color w:val="000000"/>
                <w:sz w:val="20"/>
                <w:szCs w:val="20"/>
              </w:rPr>
              <w:t>0</w:t>
            </w:r>
          </w:p>
        </w:tc>
        <w:tc>
          <w:tcPr>
            <w:tcW w:w="126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60</w:t>
            </w:r>
          </w:p>
        </w:tc>
        <w:tc>
          <w:tcPr>
            <w:tcW w:w="990" w:type="dxa"/>
            <w:tcBorders>
              <w:top w:val="nil"/>
              <w:left w:val="nil"/>
              <w:bottom w:val="single" w:sz="4" w:space="0" w:color="auto"/>
              <w:right w:val="single" w:sz="4" w:space="0" w:color="auto"/>
            </w:tcBorders>
            <w:noWrap/>
            <w:vAlign w:val="bottom"/>
            <w:hideMark/>
          </w:tcPr>
          <w:p w:rsidR="00970C57" w:rsidRPr="00970C57" w:rsidRDefault="00970C57">
            <w:pPr>
              <w:spacing w:after="0" w:line="240" w:lineRule="auto"/>
              <w:jc w:val="right"/>
              <w:rPr>
                <w:rFonts w:eastAsia="Times New Roman" w:cs="Times New Roman"/>
                <w:color w:val="000000"/>
                <w:sz w:val="20"/>
                <w:szCs w:val="20"/>
              </w:rPr>
            </w:pPr>
          </w:p>
        </w:tc>
        <w:tc>
          <w:tcPr>
            <w:tcW w:w="1260" w:type="dxa"/>
            <w:tcBorders>
              <w:top w:val="nil"/>
              <w:left w:val="nil"/>
              <w:bottom w:val="single" w:sz="4" w:space="0" w:color="auto"/>
              <w:right w:val="single" w:sz="4" w:space="0" w:color="auto"/>
            </w:tcBorders>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1 2</w:t>
            </w:r>
            <w:r w:rsidR="00970C57" w:rsidRPr="00970C57">
              <w:rPr>
                <w:rFonts w:eastAsia="Times New Roman" w:cs="Times New Roman"/>
                <w:color w:val="000000"/>
                <w:sz w:val="20"/>
                <w:szCs w:val="20"/>
              </w:rPr>
              <w:t>00</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Plantation de palmier</w:t>
            </w:r>
            <w:r w:rsidR="00F701AD">
              <w:rPr>
                <w:rFonts w:eastAsia="Times New Roman" w:cs="Times New Roman"/>
                <w:color w:val="000000"/>
                <w:sz w:val="20"/>
                <w:szCs w:val="20"/>
              </w:rPr>
              <w:t>. L</w:t>
            </w:r>
            <w:r w:rsidR="00A10619" w:rsidRPr="00A10619">
              <w:rPr>
                <w:rFonts w:eastAsia="Times New Roman" w:cs="Times New Roman"/>
                <w:color w:val="000000"/>
                <w:sz w:val="20"/>
                <w:szCs w:val="20"/>
              </w:rPr>
              <w:t>es 20 hectares sont contenus dans la zone de 60 hectares de MD</w:t>
            </w:r>
            <w:r w:rsidR="00F701AD">
              <w:rPr>
                <w:rFonts w:eastAsia="Times New Roman" w:cs="Times New Roman"/>
                <w:color w:val="000000"/>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51</w:t>
            </w:r>
            <w:r w:rsidR="00970C57" w:rsidRPr="00970C57">
              <w:rPr>
                <w:rFonts w:eastAsia="Times New Roman" w:cs="Times New Roman"/>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bottom"/>
            <w:hideMark/>
          </w:tcPr>
          <w:p w:rsidR="00970C57" w:rsidRPr="00970C57" w:rsidRDefault="00970C57">
            <w:pPr>
              <w:spacing w:after="0" w:line="240" w:lineRule="auto"/>
              <w:jc w:val="right"/>
              <w:rPr>
                <w:rFonts w:eastAsia="Times New Roman" w:cs="Times New Roman"/>
                <w:color w:val="000000"/>
                <w:sz w:val="20"/>
                <w:szCs w:val="20"/>
              </w:rPr>
            </w:pPr>
            <w:r w:rsidRPr="00970C57">
              <w:rPr>
                <w:rFonts w:eastAsia="Times New Roman" w:cs="Times New Roman"/>
                <w:color w:val="000000"/>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10 2</w:t>
            </w:r>
            <w:r w:rsidR="00970C57" w:rsidRPr="00970C57">
              <w:rPr>
                <w:rFonts w:eastAsia="Times New Roman" w:cs="Times New Roman"/>
                <w:color w:val="000000"/>
                <w:sz w:val="20"/>
                <w:szCs w:val="20"/>
              </w:rPr>
              <w:t>00</w:t>
            </w:r>
          </w:p>
        </w:tc>
      </w:tr>
      <w:tr w:rsidR="00970C57" w:rsidRPr="00970C57" w:rsidTr="00ED144B">
        <w:trPr>
          <w:trHeight w:val="300"/>
          <w:jc w:val="center"/>
        </w:trPr>
        <w:tc>
          <w:tcPr>
            <w:tcW w:w="459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BD5C0A" w:rsidP="00BD5C0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T</w:t>
            </w:r>
            <w:r w:rsidR="00970C57" w:rsidRPr="00970C57">
              <w:rPr>
                <w:rFonts w:eastAsia="Times New Roman" w:cs="Times New Roman"/>
                <w:color w:val="000000"/>
                <w:sz w:val="20"/>
                <w:szCs w:val="20"/>
              </w:rPr>
              <w:t>otal</w:t>
            </w:r>
          </w:p>
        </w:tc>
        <w:tc>
          <w:tcPr>
            <w:tcW w:w="99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13</w:t>
            </w:r>
            <w:r w:rsidR="00970C57" w:rsidRPr="00970C57">
              <w:rPr>
                <w:rFonts w:eastAsia="Times New Roman" w:cs="Times New Roman"/>
                <w:color w:val="000000"/>
                <w:sz w:val="20"/>
                <w:szCs w:val="20"/>
              </w:rPr>
              <w:t xml:space="preserve"> 800</w:t>
            </w:r>
          </w:p>
        </w:tc>
      </w:tr>
      <w:tr w:rsidR="00970C57" w:rsidRPr="00970C57" w:rsidTr="00ED144B">
        <w:trPr>
          <w:trHeight w:val="300"/>
          <w:jc w:val="center"/>
        </w:trPr>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Default="00BD5C0A" w:rsidP="00BD5C0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C</w:t>
            </w:r>
            <w:r w:rsidR="00970C57" w:rsidRPr="00970C57">
              <w:rPr>
                <w:rFonts w:eastAsia="Times New Roman" w:cs="Times New Roman"/>
                <w:color w:val="000000"/>
                <w:sz w:val="20"/>
                <w:szCs w:val="20"/>
              </w:rPr>
              <w:t>oût/ha</w:t>
            </w:r>
          </w:p>
          <w:p w:rsidR="00BD5C0A" w:rsidRPr="00970C57" w:rsidRDefault="00BD5C0A" w:rsidP="00BD5C0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Base 60 ha</w:t>
            </w:r>
          </w:p>
        </w:tc>
        <w:tc>
          <w:tcPr>
            <w:tcW w:w="99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970C57">
            <w:pPr>
              <w:spacing w:after="0" w:line="240" w:lineRule="auto"/>
              <w:rPr>
                <w:rFonts w:eastAsia="Times New Roman" w:cs="Times New Roman"/>
                <w:color w:val="000000"/>
                <w:sz w:val="20"/>
                <w:szCs w:val="20"/>
              </w:rPr>
            </w:pPr>
            <w:r w:rsidRPr="00970C57">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DEEAF6" w:themeFill="accent1" w:themeFillTint="33"/>
            <w:noWrap/>
            <w:vAlign w:val="bottom"/>
            <w:hideMark/>
          </w:tcPr>
          <w:p w:rsidR="00970C57" w:rsidRPr="00970C57"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230</w:t>
            </w:r>
          </w:p>
        </w:tc>
      </w:tr>
    </w:tbl>
    <w:p w:rsidR="00DC716F" w:rsidRDefault="00DC716F" w:rsidP="00EF6F07">
      <w:pPr>
        <w:tabs>
          <w:tab w:val="left" w:pos="450"/>
        </w:tabs>
        <w:spacing w:line="240" w:lineRule="auto"/>
        <w:jc w:val="both"/>
        <w:rPr>
          <w:rFonts w:cs="Times New Roman"/>
          <w:sz w:val="20"/>
          <w:szCs w:val="20"/>
        </w:rPr>
      </w:pPr>
    </w:p>
    <w:p w:rsidR="000257C1" w:rsidRPr="00EF6F07" w:rsidRDefault="00970C57" w:rsidP="00EF6F07">
      <w:pPr>
        <w:tabs>
          <w:tab w:val="left" w:pos="450"/>
        </w:tabs>
        <w:spacing w:line="240" w:lineRule="auto"/>
        <w:jc w:val="both"/>
        <w:rPr>
          <w:rFonts w:cs="Times New Roman"/>
          <w:sz w:val="20"/>
          <w:szCs w:val="20"/>
        </w:rPr>
      </w:pPr>
      <w:r w:rsidRPr="00970C57">
        <w:rPr>
          <w:rFonts w:cs="Times New Roman"/>
          <w:sz w:val="20"/>
          <w:szCs w:val="20"/>
        </w:rPr>
        <w:t>Il faut insister sur le caractère non normatif des deux dernières modèles : les paysans concernés doivent choisir eux-mêmes les associations qui leur conviendront. Il est important d’en tenir compte, lors de la mise en place des modèles de démonstration en première année en les conce</w:t>
      </w:r>
      <w:r w:rsidR="00BD5C0A">
        <w:rPr>
          <w:rFonts w:cs="Times New Roman"/>
          <w:sz w:val="20"/>
          <w:szCs w:val="20"/>
        </w:rPr>
        <w:t>vant avec les parties prenantes</w:t>
      </w:r>
      <w:r w:rsidRPr="00970C57">
        <w:rPr>
          <w:rFonts w:cs="Times New Roman"/>
          <w:sz w:val="20"/>
          <w:szCs w:val="20"/>
        </w:rPr>
        <w:t xml:space="preserve">. </w:t>
      </w:r>
    </w:p>
    <w:p w:rsidR="00970C57" w:rsidRPr="00B64F66" w:rsidRDefault="00970C57" w:rsidP="00B64F66">
      <w:pPr>
        <w:tabs>
          <w:tab w:val="left" w:pos="450"/>
        </w:tabs>
        <w:spacing w:line="240" w:lineRule="auto"/>
        <w:jc w:val="both"/>
        <w:rPr>
          <w:rFonts w:cs="Times New Roman"/>
          <w:b/>
          <w:color w:val="002060"/>
          <w:sz w:val="20"/>
          <w:szCs w:val="20"/>
        </w:rPr>
      </w:pPr>
      <w:r w:rsidRPr="00B64F66">
        <w:rPr>
          <w:rFonts w:cs="Times New Roman"/>
          <w:b/>
          <w:color w:val="002060"/>
          <w:sz w:val="20"/>
          <w:szCs w:val="20"/>
        </w:rPr>
        <w:t xml:space="preserve">L’application de ces trois modèles permet de fixer les objectifs suivants pour l’agriculture en savanes :  </w:t>
      </w:r>
    </w:p>
    <w:tbl>
      <w:tblPr>
        <w:tblW w:w="4979" w:type="pct"/>
        <w:jc w:val="center"/>
        <w:tblLayout w:type="fixed"/>
        <w:tblCellMar>
          <w:left w:w="70" w:type="dxa"/>
          <w:right w:w="70" w:type="dxa"/>
        </w:tblCellMar>
        <w:tblLook w:val="04A0" w:firstRow="1" w:lastRow="0" w:firstColumn="1" w:lastColumn="0" w:noHBand="0" w:noVBand="1"/>
      </w:tblPr>
      <w:tblGrid>
        <w:gridCol w:w="1085"/>
        <w:gridCol w:w="1193"/>
        <w:gridCol w:w="1089"/>
        <w:gridCol w:w="1089"/>
        <w:gridCol w:w="1383"/>
        <w:gridCol w:w="1090"/>
        <w:gridCol w:w="1760"/>
        <w:gridCol w:w="1241"/>
      </w:tblGrid>
      <w:tr w:rsidR="00970C57" w:rsidRPr="001D0E78" w:rsidTr="00ED144B">
        <w:trPr>
          <w:trHeight w:val="827"/>
          <w:jc w:val="center"/>
        </w:trPr>
        <w:tc>
          <w:tcPr>
            <w:tcW w:w="54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970C57" w:rsidRPr="001D0E78" w:rsidRDefault="00970C57">
            <w:pPr>
              <w:rPr>
                <w:rFonts w:cs="Times New Roman"/>
                <w:b/>
                <w:sz w:val="20"/>
                <w:szCs w:val="20"/>
              </w:rPr>
            </w:pPr>
          </w:p>
        </w:tc>
        <w:tc>
          <w:tcPr>
            <w:tcW w:w="600" w:type="pct"/>
            <w:tcBorders>
              <w:top w:val="single" w:sz="4" w:space="0" w:color="auto"/>
              <w:left w:val="nil"/>
              <w:bottom w:val="single" w:sz="4" w:space="0" w:color="auto"/>
              <w:right w:val="single" w:sz="4" w:space="0" w:color="auto"/>
            </w:tcBorders>
            <w:shd w:val="clear" w:color="auto" w:fill="DEEAF6" w:themeFill="accent1" w:themeFillTint="33"/>
          </w:tcPr>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Superficies protégées</w:t>
            </w:r>
          </w:p>
          <w:p w:rsidR="00970C57" w:rsidRPr="001D0E78" w:rsidRDefault="00970C57">
            <w:pPr>
              <w:spacing w:after="0" w:line="240" w:lineRule="auto"/>
              <w:jc w:val="center"/>
              <w:rPr>
                <w:rFonts w:eastAsia="Times New Roman" w:cs="Times New Roman"/>
                <w:b/>
                <w:color w:val="000000"/>
                <w:sz w:val="20"/>
                <w:szCs w:val="20"/>
              </w:rPr>
            </w:pPr>
          </w:p>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(ha)</w:t>
            </w:r>
          </w:p>
        </w:tc>
        <w:tc>
          <w:tcPr>
            <w:tcW w:w="548" w:type="pct"/>
            <w:tcBorders>
              <w:top w:val="single" w:sz="4" w:space="0" w:color="auto"/>
              <w:left w:val="nil"/>
              <w:bottom w:val="single" w:sz="4" w:space="0" w:color="auto"/>
              <w:right w:val="single" w:sz="4" w:space="0" w:color="auto"/>
            </w:tcBorders>
            <w:shd w:val="clear" w:color="auto" w:fill="DEEAF6" w:themeFill="accent1" w:themeFillTint="33"/>
            <w:noWrap/>
          </w:tcPr>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Coût moyen</w:t>
            </w:r>
          </w:p>
          <w:p w:rsidR="00970C57" w:rsidRPr="001D0E78" w:rsidRDefault="00970C57">
            <w:pPr>
              <w:spacing w:after="0" w:line="240" w:lineRule="auto"/>
              <w:jc w:val="center"/>
              <w:rPr>
                <w:rFonts w:eastAsia="Times New Roman" w:cs="Times New Roman"/>
                <w:b/>
                <w:color w:val="000000"/>
                <w:sz w:val="20"/>
                <w:szCs w:val="20"/>
              </w:rPr>
            </w:pPr>
          </w:p>
          <w:p w:rsidR="00970C57" w:rsidRPr="001D0E78" w:rsidRDefault="00970C57">
            <w:pPr>
              <w:spacing w:after="0" w:line="240" w:lineRule="auto"/>
              <w:jc w:val="center"/>
              <w:rPr>
                <w:rFonts w:eastAsia="Times New Roman" w:cs="Times New Roman"/>
                <w:b/>
                <w:color w:val="000000"/>
                <w:sz w:val="20"/>
                <w:szCs w:val="20"/>
              </w:rPr>
            </w:pPr>
          </w:p>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($US)</w:t>
            </w:r>
          </w:p>
        </w:tc>
        <w:tc>
          <w:tcPr>
            <w:tcW w:w="548" w:type="pct"/>
            <w:tcBorders>
              <w:top w:val="single" w:sz="4" w:space="0" w:color="auto"/>
              <w:left w:val="nil"/>
              <w:bottom w:val="single" w:sz="4" w:space="0" w:color="auto"/>
              <w:right w:val="single" w:sz="4" w:space="0" w:color="auto"/>
            </w:tcBorders>
            <w:shd w:val="clear" w:color="auto" w:fill="DEEAF6" w:themeFill="accent1" w:themeFillTint="33"/>
            <w:noWrap/>
          </w:tcPr>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Montant</w:t>
            </w:r>
          </w:p>
          <w:p w:rsidR="00970C57" w:rsidRPr="001D0E78" w:rsidRDefault="00970C57">
            <w:pPr>
              <w:spacing w:after="0" w:line="240" w:lineRule="auto"/>
              <w:jc w:val="center"/>
              <w:rPr>
                <w:rFonts w:eastAsia="Times New Roman" w:cs="Times New Roman"/>
                <w:b/>
                <w:color w:val="000000"/>
                <w:sz w:val="20"/>
                <w:szCs w:val="20"/>
              </w:rPr>
            </w:pPr>
          </w:p>
          <w:p w:rsidR="00970C57" w:rsidRPr="001D0E78" w:rsidRDefault="00970C57">
            <w:pPr>
              <w:spacing w:after="0" w:line="240" w:lineRule="auto"/>
              <w:jc w:val="center"/>
              <w:rPr>
                <w:rFonts w:eastAsia="Times New Roman" w:cs="Times New Roman"/>
                <w:b/>
                <w:color w:val="000000"/>
                <w:sz w:val="20"/>
                <w:szCs w:val="20"/>
              </w:rPr>
            </w:pPr>
          </w:p>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($US)</w:t>
            </w:r>
          </w:p>
        </w:tc>
        <w:tc>
          <w:tcPr>
            <w:tcW w:w="696" w:type="pct"/>
            <w:tcBorders>
              <w:top w:val="single" w:sz="4" w:space="0" w:color="auto"/>
              <w:left w:val="nil"/>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Surf. en régénération naturelle</w:t>
            </w:r>
          </w:p>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(ha)</w:t>
            </w:r>
          </w:p>
        </w:tc>
        <w:tc>
          <w:tcPr>
            <w:tcW w:w="549" w:type="pct"/>
            <w:tcBorders>
              <w:top w:val="single" w:sz="4" w:space="0" w:color="auto"/>
              <w:left w:val="nil"/>
              <w:bottom w:val="single" w:sz="4" w:space="0" w:color="auto"/>
              <w:right w:val="single" w:sz="4" w:space="0" w:color="auto"/>
            </w:tcBorders>
            <w:shd w:val="clear" w:color="auto" w:fill="DEEAF6" w:themeFill="accent1" w:themeFillTint="33"/>
          </w:tcPr>
          <w:p w:rsidR="00970C57"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 xml:space="preserve">Surf. </w:t>
            </w:r>
            <w:r w:rsidR="00ED4805" w:rsidRPr="001D0E78">
              <w:rPr>
                <w:rFonts w:eastAsia="Times New Roman" w:cs="Times New Roman"/>
                <w:b/>
                <w:color w:val="000000"/>
                <w:sz w:val="20"/>
                <w:szCs w:val="20"/>
              </w:rPr>
              <w:t>L</w:t>
            </w:r>
            <w:r w:rsidRPr="001D0E78">
              <w:rPr>
                <w:rFonts w:eastAsia="Times New Roman" w:cs="Times New Roman"/>
                <w:b/>
                <w:color w:val="000000"/>
                <w:sz w:val="20"/>
                <w:szCs w:val="20"/>
              </w:rPr>
              <w:t>abourée</w:t>
            </w:r>
          </w:p>
          <w:p w:rsidR="00ED4805" w:rsidRPr="001D0E78" w:rsidRDefault="00ED4805">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(labours paysans)</w:t>
            </w:r>
          </w:p>
          <w:p w:rsidR="00970C57" w:rsidRPr="001D0E78" w:rsidRDefault="00970C57">
            <w:pPr>
              <w:spacing w:after="0" w:line="240" w:lineRule="auto"/>
              <w:jc w:val="center"/>
              <w:rPr>
                <w:rFonts w:eastAsia="Times New Roman" w:cs="Times New Roman"/>
                <w:b/>
                <w:color w:val="000000"/>
                <w:sz w:val="20"/>
                <w:szCs w:val="20"/>
              </w:rPr>
            </w:pPr>
          </w:p>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(ha)</w:t>
            </w:r>
          </w:p>
        </w:tc>
        <w:tc>
          <w:tcPr>
            <w:tcW w:w="886" w:type="pct"/>
            <w:tcBorders>
              <w:top w:val="single" w:sz="4" w:space="0" w:color="auto"/>
              <w:left w:val="nil"/>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Superficie plantées d’arbres en (ha)</w:t>
            </w:r>
          </w:p>
        </w:tc>
        <w:tc>
          <w:tcPr>
            <w:tcW w:w="625" w:type="pct"/>
            <w:tcBorders>
              <w:top w:val="single" w:sz="4" w:space="0" w:color="auto"/>
              <w:left w:val="nil"/>
              <w:bottom w:val="single" w:sz="4" w:space="0" w:color="auto"/>
              <w:right w:val="single" w:sz="4" w:space="0" w:color="auto"/>
            </w:tcBorders>
            <w:shd w:val="clear" w:color="auto" w:fill="DEEAF6" w:themeFill="accent1" w:themeFillTint="33"/>
            <w:noWrap/>
            <w:hideMark/>
          </w:tcPr>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Coût/ha planté d’arbres</w:t>
            </w:r>
          </w:p>
          <w:p w:rsidR="00970C57" w:rsidRPr="001D0E78" w:rsidRDefault="00970C57">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($US)</w:t>
            </w:r>
          </w:p>
        </w:tc>
      </w:tr>
      <w:tr w:rsidR="00970C57" w:rsidRPr="001D0E78" w:rsidTr="00ED144B">
        <w:trPr>
          <w:trHeight w:val="300"/>
          <w:jc w:val="center"/>
        </w:trPr>
        <w:tc>
          <w:tcPr>
            <w:tcW w:w="546" w:type="pct"/>
            <w:tcBorders>
              <w:top w:val="nil"/>
              <w:left w:val="single" w:sz="4" w:space="0" w:color="auto"/>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Modèle 1</w:t>
            </w:r>
          </w:p>
        </w:tc>
        <w:tc>
          <w:tcPr>
            <w:tcW w:w="600" w:type="pct"/>
            <w:tcBorders>
              <w:top w:val="nil"/>
              <w:left w:val="nil"/>
              <w:bottom w:val="single" w:sz="4" w:space="0" w:color="auto"/>
              <w:right w:val="single" w:sz="4" w:space="0" w:color="auto"/>
            </w:tcBorders>
            <w:noWrap/>
            <w:vAlign w:val="bottom"/>
            <w:hideMark/>
          </w:tcPr>
          <w:p w:rsidR="00970C57" w:rsidRPr="001D0E78" w:rsidRDefault="00970C57">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20 000</w:t>
            </w:r>
          </w:p>
        </w:tc>
        <w:tc>
          <w:tcPr>
            <w:tcW w:w="548"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6</w:t>
            </w:r>
            <w:r w:rsidR="00DA5F9C" w:rsidRPr="001D0E78">
              <w:rPr>
                <w:rFonts w:eastAsia="Times New Roman" w:cs="Times New Roman"/>
                <w:color w:val="000000"/>
                <w:sz w:val="20"/>
                <w:szCs w:val="20"/>
              </w:rPr>
              <w:t>0</w:t>
            </w:r>
          </w:p>
        </w:tc>
        <w:tc>
          <w:tcPr>
            <w:tcW w:w="548" w:type="pct"/>
            <w:tcBorders>
              <w:top w:val="nil"/>
              <w:left w:val="nil"/>
              <w:bottom w:val="single" w:sz="4" w:space="0" w:color="auto"/>
              <w:right w:val="single" w:sz="4" w:space="0" w:color="auto"/>
            </w:tcBorders>
            <w:shd w:val="clear" w:color="auto" w:fill="auto"/>
            <w:noWrap/>
            <w:vAlign w:val="bottom"/>
            <w:hideMark/>
          </w:tcPr>
          <w:p w:rsidR="00970C57" w:rsidRPr="001D0E78" w:rsidRDefault="00DA5F9C">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 xml:space="preserve">1 </w:t>
            </w:r>
            <w:r w:rsidR="005552BD">
              <w:rPr>
                <w:rFonts w:eastAsia="Times New Roman" w:cs="Times New Roman"/>
                <w:color w:val="000000"/>
                <w:sz w:val="20"/>
                <w:szCs w:val="20"/>
              </w:rPr>
              <w:t>2</w:t>
            </w:r>
            <w:r w:rsidR="00970C57" w:rsidRPr="001D0E78">
              <w:rPr>
                <w:rFonts w:eastAsia="Times New Roman" w:cs="Times New Roman"/>
                <w:color w:val="000000"/>
                <w:sz w:val="20"/>
                <w:szCs w:val="20"/>
              </w:rPr>
              <w:t>0</w:t>
            </w:r>
            <w:r w:rsidRPr="001D0E78">
              <w:rPr>
                <w:rFonts w:eastAsia="Times New Roman" w:cs="Times New Roman"/>
                <w:color w:val="000000"/>
                <w:sz w:val="20"/>
                <w:szCs w:val="20"/>
              </w:rPr>
              <w:t>0</w:t>
            </w:r>
            <w:r w:rsidR="00970C57" w:rsidRPr="001D0E78">
              <w:rPr>
                <w:rFonts w:eastAsia="Times New Roman" w:cs="Times New Roman"/>
                <w:color w:val="000000"/>
                <w:sz w:val="20"/>
                <w:szCs w:val="20"/>
              </w:rPr>
              <w:t xml:space="preserve"> 000  </w:t>
            </w:r>
          </w:p>
        </w:tc>
        <w:tc>
          <w:tcPr>
            <w:tcW w:w="696" w:type="pct"/>
            <w:tcBorders>
              <w:top w:val="nil"/>
              <w:left w:val="nil"/>
              <w:bottom w:val="single" w:sz="4" w:space="0" w:color="auto"/>
              <w:right w:val="single" w:sz="4" w:space="0" w:color="auto"/>
            </w:tcBorders>
            <w:noWrap/>
            <w:vAlign w:val="bottom"/>
            <w:hideMark/>
          </w:tcPr>
          <w:p w:rsidR="00970C57" w:rsidRPr="001D0E78" w:rsidRDefault="00970C57">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 xml:space="preserve">20 000  </w:t>
            </w:r>
          </w:p>
        </w:tc>
        <w:tc>
          <w:tcPr>
            <w:tcW w:w="549" w:type="pct"/>
            <w:tcBorders>
              <w:top w:val="nil"/>
              <w:left w:val="nil"/>
              <w:bottom w:val="single" w:sz="4" w:space="0" w:color="auto"/>
              <w:right w:val="single" w:sz="4" w:space="0" w:color="auto"/>
            </w:tcBorders>
            <w:noWrap/>
            <w:vAlign w:val="bottom"/>
            <w:hideMark/>
          </w:tcPr>
          <w:p w:rsidR="00970C57" w:rsidRPr="001D0E78" w:rsidRDefault="007E5852">
            <w:pPr>
              <w:spacing w:after="0" w:line="240" w:lineRule="auto"/>
              <w:jc w:val="right"/>
              <w:rPr>
                <w:rFonts w:eastAsia="Times New Roman" w:cs="Times New Roman"/>
                <w:color w:val="000000"/>
                <w:sz w:val="20"/>
                <w:szCs w:val="20"/>
              </w:rPr>
            </w:pPr>
            <w:r>
              <w:rPr>
                <w:rFonts w:eastAsia="Times New Roman" w:cs="Times New Roman"/>
                <w:color w:val="000000"/>
                <w:sz w:val="20"/>
                <w:szCs w:val="20"/>
              </w:rPr>
              <w:t>2 000</w:t>
            </w:r>
            <w:r w:rsidR="00970C57" w:rsidRPr="001D0E78">
              <w:rPr>
                <w:rFonts w:eastAsia="Times New Roman" w:cs="Times New Roman"/>
                <w:color w:val="000000"/>
                <w:sz w:val="20"/>
                <w:szCs w:val="20"/>
              </w:rPr>
              <w:t xml:space="preserve">  </w:t>
            </w:r>
          </w:p>
        </w:tc>
        <w:tc>
          <w:tcPr>
            <w:tcW w:w="886" w:type="pct"/>
            <w:tcBorders>
              <w:top w:val="nil"/>
              <w:left w:val="nil"/>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 </w:t>
            </w:r>
          </w:p>
        </w:tc>
        <w:tc>
          <w:tcPr>
            <w:tcW w:w="625" w:type="pct"/>
            <w:tcBorders>
              <w:top w:val="nil"/>
              <w:left w:val="nil"/>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 </w:t>
            </w:r>
          </w:p>
        </w:tc>
      </w:tr>
      <w:tr w:rsidR="00970C57" w:rsidRPr="001D0E78" w:rsidTr="00ED144B">
        <w:trPr>
          <w:trHeight w:val="300"/>
          <w:jc w:val="center"/>
        </w:trPr>
        <w:tc>
          <w:tcPr>
            <w:tcW w:w="546" w:type="pct"/>
            <w:tcBorders>
              <w:top w:val="nil"/>
              <w:left w:val="single" w:sz="4" w:space="0" w:color="auto"/>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Modèle 2</w:t>
            </w:r>
          </w:p>
        </w:tc>
        <w:tc>
          <w:tcPr>
            <w:tcW w:w="600" w:type="pct"/>
            <w:tcBorders>
              <w:top w:val="nil"/>
              <w:left w:val="nil"/>
              <w:bottom w:val="single" w:sz="4" w:space="0" w:color="auto"/>
              <w:right w:val="single" w:sz="4" w:space="0" w:color="auto"/>
            </w:tcBorders>
            <w:noWrap/>
            <w:vAlign w:val="bottom"/>
            <w:hideMark/>
          </w:tcPr>
          <w:p w:rsidR="00970C57" w:rsidRPr="001D0E78" w:rsidRDefault="00DA5F9C">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10</w:t>
            </w:r>
            <w:r w:rsidR="00970C57" w:rsidRPr="001D0E78">
              <w:rPr>
                <w:rFonts w:eastAsia="Times New Roman" w:cs="Times New Roman"/>
                <w:color w:val="000000"/>
                <w:sz w:val="20"/>
                <w:szCs w:val="20"/>
              </w:rPr>
              <w:t xml:space="preserve"> 000</w:t>
            </w:r>
          </w:p>
        </w:tc>
        <w:tc>
          <w:tcPr>
            <w:tcW w:w="548" w:type="pct"/>
            <w:tcBorders>
              <w:top w:val="nil"/>
              <w:left w:val="nil"/>
              <w:bottom w:val="single" w:sz="4" w:space="0" w:color="auto"/>
              <w:right w:val="single" w:sz="4" w:space="0" w:color="auto"/>
            </w:tcBorders>
            <w:noWrap/>
            <w:vAlign w:val="bottom"/>
            <w:hideMark/>
          </w:tcPr>
          <w:p w:rsidR="00970C57" w:rsidRPr="001D0E78"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15</w:t>
            </w:r>
            <w:r w:rsidR="00DA5F9C" w:rsidRPr="001D0E78">
              <w:rPr>
                <w:rFonts w:eastAsia="Times New Roman" w:cs="Times New Roman"/>
                <w:color w:val="000000"/>
                <w:sz w:val="20"/>
                <w:szCs w:val="20"/>
              </w:rPr>
              <w:t>0</w:t>
            </w:r>
          </w:p>
        </w:tc>
        <w:tc>
          <w:tcPr>
            <w:tcW w:w="548" w:type="pct"/>
            <w:tcBorders>
              <w:top w:val="nil"/>
              <w:left w:val="nil"/>
              <w:bottom w:val="single" w:sz="4" w:space="0" w:color="auto"/>
              <w:right w:val="single" w:sz="4" w:space="0" w:color="auto"/>
            </w:tcBorders>
            <w:noWrap/>
            <w:vAlign w:val="bottom"/>
            <w:hideMark/>
          </w:tcPr>
          <w:p w:rsidR="00970C57" w:rsidRPr="001D0E78" w:rsidRDefault="00970C57" w:rsidP="00DA5F9C">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 xml:space="preserve">1 </w:t>
            </w:r>
            <w:r w:rsidR="005552BD">
              <w:rPr>
                <w:rFonts w:eastAsia="Times New Roman" w:cs="Times New Roman"/>
                <w:color w:val="000000"/>
                <w:sz w:val="20"/>
                <w:szCs w:val="20"/>
              </w:rPr>
              <w:t>5</w:t>
            </w:r>
            <w:r w:rsidR="00DA5F9C" w:rsidRPr="001D0E78">
              <w:rPr>
                <w:rFonts w:eastAsia="Times New Roman" w:cs="Times New Roman"/>
                <w:color w:val="000000"/>
                <w:sz w:val="20"/>
                <w:szCs w:val="20"/>
              </w:rPr>
              <w:t>00</w:t>
            </w:r>
            <w:r w:rsidRPr="001D0E78">
              <w:rPr>
                <w:rFonts w:eastAsia="Times New Roman" w:cs="Times New Roman"/>
                <w:color w:val="000000"/>
                <w:sz w:val="20"/>
                <w:szCs w:val="20"/>
              </w:rPr>
              <w:t xml:space="preserve"> 000  </w:t>
            </w:r>
          </w:p>
        </w:tc>
        <w:tc>
          <w:tcPr>
            <w:tcW w:w="696" w:type="pct"/>
            <w:tcBorders>
              <w:top w:val="nil"/>
              <w:left w:val="nil"/>
              <w:bottom w:val="single" w:sz="4" w:space="0" w:color="auto"/>
              <w:right w:val="single" w:sz="4" w:space="0" w:color="auto"/>
            </w:tcBorders>
            <w:noWrap/>
            <w:vAlign w:val="bottom"/>
            <w:hideMark/>
          </w:tcPr>
          <w:p w:rsidR="00970C57" w:rsidRPr="001D0E78" w:rsidRDefault="00970C57">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6</w:t>
            </w:r>
            <w:r w:rsidR="00C94BB1" w:rsidRPr="001D0E78">
              <w:rPr>
                <w:rFonts w:eastAsia="Times New Roman" w:cs="Times New Roman"/>
                <w:color w:val="000000"/>
                <w:sz w:val="20"/>
                <w:szCs w:val="20"/>
              </w:rPr>
              <w:t xml:space="preserve"> 667</w:t>
            </w:r>
            <w:r w:rsidRPr="001D0E78">
              <w:rPr>
                <w:rFonts w:eastAsia="Times New Roman" w:cs="Times New Roman"/>
                <w:color w:val="000000"/>
                <w:sz w:val="20"/>
                <w:szCs w:val="20"/>
              </w:rPr>
              <w:t xml:space="preserve">  </w:t>
            </w:r>
          </w:p>
        </w:tc>
        <w:tc>
          <w:tcPr>
            <w:tcW w:w="549" w:type="pct"/>
            <w:tcBorders>
              <w:top w:val="nil"/>
              <w:left w:val="nil"/>
              <w:bottom w:val="single" w:sz="4" w:space="0" w:color="auto"/>
              <w:right w:val="single" w:sz="4" w:space="0" w:color="auto"/>
            </w:tcBorders>
            <w:noWrap/>
            <w:vAlign w:val="bottom"/>
            <w:hideMark/>
          </w:tcPr>
          <w:p w:rsidR="00970C57" w:rsidRPr="001D0E78" w:rsidRDefault="007E5852">
            <w:pPr>
              <w:spacing w:after="0" w:line="240" w:lineRule="auto"/>
              <w:jc w:val="right"/>
              <w:rPr>
                <w:rFonts w:eastAsia="Times New Roman" w:cs="Times New Roman"/>
                <w:color w:val="000000"/>
                <w:sz w:val="20"/>
                <w:szCs w:val="20"/>
              </w:rPr>
            </w:pPr>
            <w:r>
              <w:rPr>
                <w:rFonts w:eastAsia="Times New Roman" w:cs="Times New Roman"/>
                <w:color w:val="000000"/>
                <w:sz w:val="20"/>
                <w:szCs w:val="20"/>
              </w:rPr>
              <w:t>4 333</w:t>
            </w:r>
            <w:r w:rsidR="00970C57" w:rsidRPr="001D0E78">
              <w:rPr>
                <w:rFonts w:eastAsia="Times New Roman" w:cs="Times New Roman"/>
                <w:color w:val="000000"/>
                <w:sz w:val="20"/>
                <w:szCs w:val="20"/>
              </w:rPr>
              <w:t xml:space="preserve">  </w:t>
            </w:r>
          </w:p>
        </w:tc>
        <w:tc>
          <w:tcPr>
            <w:tcW w:w="886" w:type="pct"/>
            <w:tcBorders>
              <w:top w:val="nil"/>
              <w:left w:val="nil"/>
              <w:bottom w:val="single" w:sz="4" w:space="0" w:color="auto"/>
              <w:right w:val="single" w:sz="4" w:space="0" w:color="auto"/>
            </w:tcBorders>
            <w:noWrap/>
            <w:vAlign w:val="bottom"/>
            <w:hideMark/>
          </w:tcPr>
          <w:p w:rsidR="00970C57" w:rsidRPr="001D0E78" w:rsidRDefault="00C94BB1">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3 333</w:t>
            </w:r>
          </w:p>
        </w:tc>
        <w:tc>
          <w:tcPr>
            <w:tcW w:w="625"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270</w:t>
            </w:r>
          </w:p>
        </w:tc>
      </w:tr>
      <w:tr w:rsidR="00970C57" w:rsidRPr="001D0E78" w:rsidTr="00ED144B">
        <w:trPr>
          <w:trHeight w:val="300"/>
          <w:jc w:val="center"/>
        </w:trPr>
        <w:tc>
          <w:tcPr>
            <w:tcW w:w="546" w:type="pct"/>
            <w:tcBorders>
              <w:top w:val="nil"/>
              <w:left w:val="single" w:sz="4" w:space="0" w:color="auto"/>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Modèle 3</w:t>
            </w:r>
          </w:p>
        </w:tc>
        <w:tc>
          <w:tcPr>
            <w:tcW w:w="600" w:type="pct"/>
            <w:tcBorders>
              <w:top w:val="nil"/>
              <w:left w:val="nil"/>
              <w:bottom w:val="single" w:sz="4" w:space="0" w:color="auto"/>
              <w:right w:val="single" w:sz="4" w:space="0" w:color="auto"/>
            </w:tcBorders>
            <w:noWrap/>
            <w:vAlign w:val="bottom"/>
            <w:hideMark/>
          </w:tcPr>
          <w:p w:rsidR="00970C57" w:rsidRPr="001D0E78" w:rsidRDefault="00DA5F9C">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5</w:t>
            </w:r>
            <w:r w:rsidR="00970C57" w:rsidRPr="001D0E78">
              <w:rPr>
                <w:rFonts w:eastAsia="Times New Roman" w:cs="Times New Roman"/>
                <w:color w:val="000000"/>
                <w:sz w:val="20"/>
                <w:szCs w:val="20"/>
              </w:rPr>
              <w:t xml:space="preserve"> 000</w:t>
            </w:r>
          </w:p>
        </w:tc>
        <w:tc>
          <w:tcPr>
            <w:tcW w:w="548" w:type="pct"/>
            <w:tcBorders>
              <w:top w:val="nil"/>
              <w:left w:val="nil"/>
              <w:bottom w:val="single" w:sz="4" w:space="0" w:color="auto"/>
              <w:right w:val="single" w:sz="4" w:space="0" w:color="auto"/>
            </w:tcBorders>
            <w:noWrap/>
            <w:vAlign w:val="bottom"/>
            <w:hideMark/>
          </w:tcPr>
          <w:p w:rsidR="00970C57" w:rsidRPr="001D0E78"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23</w:t>
            </w:r>
            <w:r w:rsidR="00970C57" w:rsidRPr="001D0E78">
              <w:rPr>
                <w:rFonts w:eastAsia="Times New Roman" w:cs="Times New Roman"/>
                <w:color w:val="000000"/>
                <w:sz w:val="20"/>
                <w:szCs w:val="20"/>
              </w:rPr>
              <w:t>0</w:t>
            </w:r>
          </w:p>
        </w:tc>
        <w:tc>
          <w:tcPr>
            <w:tcW w:w="548" w:type="pct"/>
            <w:tcBorders>
              <w:top w:val="nil"/>
              <w:left w:val="nil"/>
              <w:bottom w:val="single" w:sz="4" w:space="0" w:color="auto"/>
              <w:right w:val="single" w:sz="4" w:space="0" w:color="auto"/>
            </w:tcBorders>
            <w:noWrap/>
            <w:vAlign w:val="bottom"/>
            <w:hideMark/>
          </w:tcPr>
          <w:p w:rsidR="00970C57" w:rsidRPr="001D0E78"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1 150</w:t>
            </w:r>
            <w:r w:rsidR="00DA5F9C" w:rsidRPr="001D0E78">
              <w:rPr>
                <w:rFonts w:eastAsia="Times New Roman" w:cs="Times New Roman"/>
                <w:color w:val="000000"/>
                <w:sz w:val="20"/>
                <w:szCs w:val="20"/>
              </w:rPr>
              <w:t xml:space="preserve"> 000</w:t>
            </w:r>
            <w:r w:rsidR="00970C57" w:rsidRPr="001D0E78">
              <w:rPr>
                <w:rFonts w:eastAsia="Times New Roman" w:cs="Times New Roman"/>
                <w:color w:val="000000"/>
                <w:sz w:val="20"/>
                <w:szCs w:val="20"/>
              </w:rPr>
              <w:t xml:space="preserve">  </w:t>
            </w:r>
          </w:p>
        </w:tc>
        <w:tc>
          <w:tcPr>
            <w:tcW w:w="696" w:type="pct"/>
            <w:tcBorders>
              <w:top w:val="nil"/>
              <w:left w:val="nil"/>
              <w:bottom w:val="single" w:sz="4" w:space="0" w:color="auto"/>
              <w:right w:val="single" w:sz="4" w:space="0" w:color="auto"/>
            </w:tcBorders>
            <w:noWrap/>
            <w:vAlign w:val="bottom"/>
            <w:hideMark/>
          </w:tcPr>
          <w:p w:rsidR="00970C57" w:rsidRPr="001D0E78" w:rsidRDefault="00C94BB1">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3 333</w:t>
            </w:r>
            <w:r w:rsidR="00970C57" w:rsidRPr="001D0E78">
              <w:rPr>
                <w:rFonts w:eastAsia="Times New Roman" w:cs="Times New Roman"/>
                <w:color w:val="000000"/>
                <w:sz w:val="20"/>
                <w:szCs w:val="20"/>
              </w:rPr>
              <w:t xml:space="preserve">  </w:t>
            </w:r>
          </w:p>
        </w:tc>
        <w:tc>
          <w:tcPr>
            <w:tcW w:w="549" w:type="pct"/>
            <w:tcBorders>
              <w:top w:val="nil"/>
              <w:left w:val="nil"/>
              <w:bottom w:val="single" w:sz="4" w:space="0" w:color="auto"/>
              <w:right w:val="single" w:sz="4" w:space="0" w:color="auto"/>
            </w:tcBorders>
            <w:noWrap/>
            <w:vAlign w:val="bottom"/>
            <w:hideMark/>
          </w:tcPr>
          <w:p w:rsidR="00970C57" w:rsidRPr="001D0E78" w:rsidRDefault="007E5852">
            <w:pPr>
              <w:spacing w:after="0" w:line="240" w:lineRule="auto"/>
              <w:jc w:val="right"/>
              <w:rPr>
                <w:rFonts w:eastAsia="Times New Roman" w:cs="Times New Roman"/>
                <w:color w:val="000000"/>
                <w:sz w:val="20"/>
                <w:szCs w:val="20"/>
              </w:rPr>
            </w:pPr>
            <w:r>
              <w:rPr>
                <w:rFonts w:eastAsia="Times New Roman" w:cs="Times New Roman"/>
                <w:color w:val="000000"/>
                <w:sz w:val="20"/>
                <w:szCs w:val="20"/>
              </w:rPr>
              <w:t>2 167</w:t>
            </w:r>
            <w:r w:rsidR="00970C57" w:rsidRPr="001D0E78">
              <w:rPr>
                <w:rFonts w:eastAsia="Times New Roman" w:cs="Times New Roman"/>
                <w:color w:val="000000"/>
                <w:sz w:val="20"/>
                <w:szCs w:val="20"/>
              </w:rPr>
              <w:t xml:space="preserve">  </w:t>
            </w:r>
          </w:p>
        </w:tc>
        <w:tc>
          <w:tcPr>
            <w:tcW w:w="886" w:type="pct"/>
            <w:tcBorders>
              <w:top w:val="nil"/>
              <w:left w:val="nil"/>
              <w:bottom w:val="single" w:sz="4" w:space="0" w:color="auto"/>
              <w:right w:val="single" w:sz="4" w:space="0" w:color="auto"/>
            </w:tcBorders>
            <w:noWrap/>
            <w:vAlign w:val="bottom"/>
            <w:hideMark/>
          </w:tcPr>
          <w:p w:rsidR="00970C57" w:rsidRPr="001D0E78" w:rsidRDefault="00C94BB1">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1 667</w:t>
            </w:r>
          </w:p>
        </w:tc>
        <w:tc>
          <w:tcPr>
            <w:tcW w:w="625"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510</w:t>
            </w:r>
          </w:p>
        </w:tc>
      </w:tr>
      <w:tr w:rsidR="00970C57" w:rsidRPr="001D0E78" w:rsidTr="00ED144B">
        <w:trPr>
          <w:trHeight w:val="300"/>
          <w:jc w:val="center"/>
        </w:trPr>
        <w:tc>
          <w:tcPr>
            <w:tcW w:w="546" w:type="pct"/>
            <w:tcBorders>
              <w:top w:val="nil"/>
              <w:left w:val="single" w:sz="4" w:space="0" w:color="auto"/>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 xml:space="preserve">Total </w:t>
            </w:r>
          </w:p>
        </w:tc>
        <w:tc>
          <w:tcPr>
            <w:tcW w:w="600" w:type="pct"/>
            <w:tcBorders>
              <w:top w:val="nil"/>
              <w:left w:val="nil"/>
              <w:bottom w:val="single" w:sz="4" w:space="0" w:color="auto"/>
              <w:right w:val="single" w:sz="4" w:space="0" w:color="auto"/>
            </w:tcBorders>
            <w:noWrap/>
            <w:vAlign w:val="bottom"/>
            <w:hideMark/>
          </w:tcPr>
          <w:p w:rsidR="00970C57" w:rsidRPr="001D0E78" w:rsidRDefault="00DA5F9C">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35</w:t>
            </w:r>
            <w:r w:rsidR="00970C57" w:rsidRPr="001D0E78">
              <w:rPr>
                <w:rFonts w:eastAsia="Times New Roman" w:cs="Times New Roman"/>
                <w:color w:val="000000"/>
                <w:sz w:val="20"/>
                <w:szCs w:val="20"/>
              </w:rPr>
              <w:t xml:space="preserve"> 000</w:t>
            </w:r>
          </w:p>
        </w:tc>
        <w:tc>
          <w:tcPr>
            <w:tcW w:w="548" w:type="pct"/>
            <w:tcBorders>
              <w:top w:val="nil"/>
              <w:left w:val="nil"/>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pPr>
              <w:spacing w:after="0" w:line="240" w:lineRule="auto"/>
              <w:jc w:val="right"/>
              <w:rPr>
                <w:rFonts w:eastAsia="Times New Roman" w:cs="Times New Roman"/>
                <w:color w:val="000000"/>
                <w:sz w:val="20"/>
                <w:szCs w:val="20"/>
              </w:rPr>
            </w:pPr>
            <w:r>
              <w:rPr>
                <w:rFonts w:eastAsia="Times New Roman" w:cs="Times New Roman"/>
                <w:color w:val="000000"/>
                <w:sz w:val="20"/>
                <w:szCs w:val="20"/>
              </w:rPr>
              <w:t>3 850</w:t>
            </w:r>
            <w:r w:rsidR="00970C57" w:rsidRPr="001D0E78">
              <w:rPr>
                <w:rFonts w:eastAsia="Times New Roman" w:cs="Times New Roman"/>
                <w:color w:val="000000"/>
                <w:sz w:val="20"/>
                <w:szCs w:val="20"/>
              </w:rPr>
              <w:t xml:space="preserve"> 000  </w:t>
            </w:r>
          </w:p>
        </w:tc>
        <w:tc>
          <w:tcPr>
            <w:tcW w:w="696" w:type="pct"/>
            <w:tcBorders>
              <w:top w:val="nil"/>
              <w:left w:val="nil"/>
              <w:bottom w:val="single" w:sz="4" w:space="0" w:color="auto"/>
              <w:right w:val="single" w:sz="4" w:space="0" w:color="auto"/>
            </w:tcBorders>
            <w:shd w:val="clear" w:color="auto" w:fill="auto"/>
            <w:noWrap/>
            <w:vAlign w:val="bottom"/>
            <w:hideMark/>
          </w:tcPr>
          <w:p w:rsidR="00970C57" w:rsidRPr="001D0E78" w:rsidRDefault="00C94BB1">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30 000</w:t>
            </w:r>
            <w:r w:rsidR="00970C57" w:rsidRPr="001D0E78">
              <w:rPr>
                <w:rFonts w:eastAsia="Times New Roman" w:cs="Times New Roman"/>
                <w:color w:val="000000"/>
                <w:sz w:val="20"/>
                <w:szCs w:val="20"/>
              </w:rPr>
              <w:t xml:space="preserve">  </w:t>
            </w:r>
          </w:p>
        </w:tc>
        <w:tc>
          <w:tcPr>
            <w:tcW w:w="549" w:type="pct"/>
            <w:tcBorders>
              <w:top w:val="nil"/>
              <w:left w:val="nil"/>
              <w:bottom w:val="single" w:sz="4" w:space="0" w:color="auto"/>
              <w:right w:val="single" w:sz="4" w:space="0" w:color="auto"/>
            </w:tcBorders>
            <w:shd w:val="clear" w:color="auto" w:fill="auto"/>
            <w:noWrap/>
            <w:vAlign w:val="bottom"/>
            <w:hideMark/>
          </w:tcPr>
          <w:p w:rsidR="00970C57" w:rsidRPr="001D0E78" w:rsidRDefault="007E5852">
            <w:pPr>
              <w:spacing w:after="0" w:line="240" w:lineRule="auto"/>
              <w:jc w:val="right"/>
              <w:rPr>
                <w:rFonts w:eastAsia="Times New Roman" w:cs="Times New Roman"/>
                <w:color w:val="000000"/>
                <w:sz w:val="20"/>
                <w:szCs w:val="20"/>
              </w:rPr>
            </w:pPr>
            <w:r>
              <w:rPr>
                <w:rFonts w:eastAsia="Times New Roman" w:cs="Times New Roman"/>
                <w:color w:val="000000"/>
                <w:sz w:val="20"/>
                <w:szCs w:val="20"/>
              </w:rPr>
              <w:t>5 500</w:t>
            </w:r>
            <w:r w:rsidR="00970C57" w:rsidRPr="001D0E78">
              <w:rPr>
                <w:rFonts w:eastAsia="Times New Roman" w:cs="Times New Roman"/>
                <w:color w:val="000000"/>
                <w:sz w:val="20"/>
                <w:szCs w:val="20"/>
              </w:rPr>
              <w:t xml:space="preserve">  </w:t>
            </w:r>
          </w:p>
        </w:tc>
        <w:tc>
          <w:tcPr>
            <w:tcW w:w="886" w:type="pct"/>
            <w:tcBorders>
              <w:top w:val="nil"/>
              <w:left w:val="nil"/>
              <w:bottom w:val="single" w:sz="4" w:space="0" w:color="auto"/>
              <w:right w:val="single" w:sz="4" w:space="0" w:color="auto"/>
            </w:tcBorders>
            <w:shd w:val="clear" w:color="auto" w:fill="auto"/>
            <w:noWrap/>
            <w:vAlign w:val="bottom"/>
            <w:hideMark/>
          </w:tcPr>
          <w:p w:rsidR="00970C57" w:rsidRPr="001D0E78" w:rsidRDefault="00C94BB1" w:rsidP="00C94BB1">
            <w:pPr>
              <w:spacing w:after="0" w:line="240" w:lineRule="auto"/>
              <w:jc w:val="right"/>
              <w:rPr>
                <w:rFonts w:eastAsia="Times New Roman" w:cs="Times New Roman"/>
                <w:color w:val="000000"/>
                <w:sz w:val="20"/>
                <w:szCs w:val="20"/>
              </w:rPr>
            </w:pPr>
            <w:r w:rsidRPr="001D0E78">
              <w:rPr>
                <w:rFonts w:eastAsia="Times New Roman" w:cs="Times New Roman"/>
                <w:color w:val="000000"/>
                <w:sz w:val="20"/>
                <w:szCs w:val="20"/>
              </w:rPr>
              <w:t>5 000</w:t>
            </w:r>
          </w:p>
        </w:tc>
        <w:tc>
          <w:tcPr>
            <w:tcW w:w="625" w:type="pct"/>
            <w:tcBorders>
              <w:top w:val="nil"/>
              <w:left w:val="nil"/>
              <w:bottom w:val="single" w:sz="4" w:space="0" w:color="auto"/>
              <w:right w:val="single" w:sz="4" w:space="0" w:color="auto"/>
            </w:tcBorders>
            <w:noWrap/>
            <w:vAlign w:val="bottom"/>
            <w:hideMark/>
          </w:tcPr>
          <w:p w:rsidR="00970C57" w:rsidRPr="001D0E78" w:rsidRDefault="00970C57">
            <w:pPr>
              <w:spacing w:after="0" w:line="240" w:lineRule="auto"/>
              <w:rPr>
                <w:rFonts w:eastAsia="Times New Roman" w:cs="Times New Roman"/>
                <w:color w:val="000000"/>
                <w:sz w:val="20"/>
                <w:szCs w:val="20"/>
              </w:rPr>
            </w:pPr>
            <w:r w:rsidRPr="001D0E78">
              <w:rPr>
                <w:rFonts w:eastAsia="Times New Roman" w:cs="Times New Roman"/>
                <w:color w:val="000000"/>
                <w:sz w:val="20"/>
                <w:szCs w:val="20"/>
              </w:rPr>
              <w:t> </w:t>
            </w:r>
          </w:p>
        </w:tc>
      </w:tr>
    </w:tbl>
    <w:p w:rsidR="002F11D0" w:rsidRDefault="002F11D0" w:rsidP="00D33E12">
      <w:pPr>
        <w:tabs>
          <w:tab w:val="left" w:pos="450"/>
        </w:tabs>
        <w:spacing w:after="0" w:line="240" w:lineRule="auto"/>
        <w:jc w:val="both"/>
        <w:rPr>
          <w:rFonts w:cs="Times New Roman"/>
          <w:sz w:val="20"/>
          <w:szCs w:val="20"/>
        </w:rPr>
      </w:pP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Le développement de l’agriculture en savane va de pair avec l’amélioration des techniques culturales des cultures à cycle court (manioc, maïs, etc.). La principale amélioration porte sur la poursuite de la diffusion des variétés améliorées, au premier rang desquelles celles de manioc, puisqu’elles ont un potentiel d’amélioration durable des rendements de 30 à 40 % par ha. Il est prévu dans le cadre de ce projet de créer des parcs à bois dans chaque village, aussi bien en savane qu’en forêt. De même, on reprendra la diffusion des variétés de maïs les plus appréciées, comme le Samaru, en créant des réseaux d</w:t>
      </w:r>
      <w:r w:rsidR="00A04DF7">
        <w:rPr>
          <w:rFonts w:cs="Times New Roman"/>
          <w:sz w:val="20"/>
          <w:szCs w:val="20"/>
        </w:rPr>
        <w:t xml:space="preserve">e </w:t>
      </w:r>
      <w:r w:rsidRPr="00970C57">
        <w:rPr>
          <w:rFonts w:cs="Times New Roman"/>
          <w:sz w:val="20"/>
          <w:szCs w:val="20"/>
        </w:rPr>
        <w:t>multiplicateurs, en employant la technique classique du métayage (le projet récupère ou rachète et redistribue une partie des semences produites par les multiplicateurs. La redistribution a lieu au sein du CLD où se produit la multiplication</w:t>
      </w:r>
      <w:r w:rsidR="00A04DF7">
        <w:rPr>
          <w:rFonts w:cs="Times New Roman"/>
          <w:sz w:val="20"/>
          <w:szCs w:val="20"/>
        </w:rPr>
        <w:t>)</w:t>
      </w:r>
      <w:r w:rsidRPr="00970C57">
        <w:rPr>
          <w:rFonts w:cs="Times New Roman"/>
          <w:sz w:val="20"/>
          <w:szCs w:val="20"/>
        </w:rPr>
        <w:t xml:space="preserve">. </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Les superficies cultivées en savane séquestrent du carbone (pour la totalité des superficies concernées) et elles évitent la déforestation. On considèrera qu’un ha planté ou régénéré (mise en défens)  permet d’éviter un ha de déforestation, en améliorant les revenus sans diminuer la sécurité alimentaire des populations. Ces chiffres (proxys)  peuvent servir au calcul de la réduction des émissions de carbone pour cette activité.</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Dans les Secteurs concernés le projet réalisera en savane les activités suivantes :</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Mise en place de brigades motorisées de labour,</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 xml:space="preserve">Création des parcs à bois de première génération (calculs des superficies à établir, sachant que les labours des </w:t>
      </w:r>
      <w:r w:rsidR="00764826">
        <w:rPr>
          <w:rFonts w:asciiTheme="minorHAnsi" w:eastAsiaTheme="minorEastAsia" w:hAnsiTheme="minorHAnsi"/>
          <w:sz w:val="20"/>
          <w:szCs w:val="20"/>
        </w:rPr>
        <w:t>pare-feu</w:t>
      </w:r>
      <w:r w:rsidRPr="00B64F66">
        <w:rPr>
          <w:rFonts w:asciiTheme="minorHAnsi" w:eastAsiaTheme="minorEastAsia" w:hAnsiTheme="minorHAnsi"/>
          <w:sz w:val="20"/>
          <w:szCs w:val="20"/>
        </w:rPr>
        <w:t xml:space="preserve"> pourront servir à établir les parcs à bois),</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 xml:space="preserve">Réalisation de champs de démonstration en des endroits permettant la démonstration. Ces champs de démonstration seront aussi l’occasion de tester des formules diverses de mises en défens associées à des plantations. Ces champs de démonstration seront réalisés dans les savanes des CLDs ayant les premiers faits l’objet de Plans </w:t>
      </w:r>
      <w:r w:rsidR="00EA7F75">
        <w:rPr>
          <w:rFonts w:asciiTheme="minorHAnsi" w:eastAsiaTheme="minorEastAsia" w:hAnsiTheme="minorHAnsi"/>
          <w:sz w:val="20"/>
          <w:szCs w:val="20"/>
        </w:rPr>
        <w:t>Simples de Gestion</w:t>
      </w:r>
      <w:r w:rsidRPr="00B64F66">
        <w:rPr>
          <w:rFonts w:asciiTheme="minorHAnsi" w:eastAsiaTheme="minorEastAsia" w:hAnsiTheme="minorHAnsi"/>
          <w:sz w:val="20"/>
          <w:szCs w:val="20"/>
        </w:rPr>
        <w:t>,</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Sensibilisation régulière des CLDs, fermiers, associations diverses autour des champs de démonstration (méthodes du champ école),</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 xml:space="preserve">Mise en place des pépinières au fur et à mesure que les </w:t>
      </w:r>
      <w:r w:rsidR="00EA7F75" w:rsidRPr="00B64F66">
        <w:rPr>
          <w:rFonts w:asciiTheme="minorHAnsi" w:eastAsiaTheme="minorEastAsia" w:hAnsiTheme="minorHAnsi"/>
          <w:sz w:val="20"/>
          <w:szCs w:val="20"/>
        </w:rPr>
        <w:t>P</w:t>
      </w:r>
      <w:r w:rsidR="00EA7F75">
        <w:rPr>
          <w:rFonts w:asciiTheme="minorHAnsi" w:eastAsiaTheme="minorEastAsia" w:hAnsiTheme="minorHAnsi"/>
          <w:sz w:val="20"/>
          <w:szCs w:val="20"/>
        </w:rPr>
        <w:t>SG</w:t>
      </w:r>
      <w:r w:rsidR="00EA7F75" w:rsidRPr="00B64F66">
        <w:rPr>
          <w:rFonts w:asciiTheme="minorHAnsi" w:eastAsiaTheme="minorEastAsia" w:hAnsiTheme="minorHAnsi"/>
          <w:sz w:val="20"/>
          <w:szCs w:val="20"/>
        </w:rPr>
        <w:t xml:space="preserve"> </w:t>
      </w:r>
      <w:r w:rsidRPr="00B64F66">
        <w:rPr>
          <w:rFonts w:asciiTheme="minorHAnsi" w:eastAsiaTheme="minorEastAsia" w:hAnsiTheme="minorHAnsi"/>
          <w:sz w:val="20"/>
          <w:szCs w:val="20"/>
        </w:rPr>
        <w:t>de CLD sont programmés,</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Extension progressive des champs de démonstration (un pour deux ou trois CLD),</w:t>
      </w:r>
    </w:p>
    <w:p w:rsidR="00970C57" w:rsidRPr="00D33E12" w:rsidRDefault="00970C57" w:rsidP="002E3A02">
      <w:pPr>
        <w:pStyle w:val="ListParagraph"/>
        <w:numPr>
          <w:ilvl w:val="0"/>
          <w:numId w:val="16"/>
        </w:numPr>
        <w:tabs>
          <w:tab w:val="left" w:pos="993"/>
        </w:tabs>
        <w:ind w:left="720"/>
        <w:jc w:val="both"/>
        <w:rPr>
          <w:sz w:val="20"/>
          <w:szCs w:val="20"/>
        </w:rPr>
      </w:pPr>
      <w:r w:rsidRPr="00B64F66">
        <w:rPr>
          <w:rFonts w:asciiTheme="minorHAnsi" w:eastAsiaTheme="minorEastAsia" w:hAnsiTheme="minorHAnsi"/>
          <w:sz w:val="20"/>
          <w:szCs w:val="20"/>
        </w:rPr>
        <w:lastRenderedPageBreak/>
        <w:t>Soutien</w:t>
      </w:r>
      <w:r w:rsidRPr="00970C57">
        <w:rPr>
          <w:sz w:val="20"/>
          <w:szCs w:val="20"/>
        </w:rPr>
        <w:t xml:space="preserve"> à l’extension progressive des plantations (sans labour) à l’intérieur des mises en défens.</w:t>
      </w:r>
    </w:p>
    <w:p w:rsidR="00B64F66" w:rsidRPr="00970C57" w:rsidRDefault="00B64F66" w:rsidP="00970C57">
      <w:pPr>
        <w:tabs>
          <w:tab w:val="left" w:pos="1134"/>
        </w:tabs>
        <w:spacing w:after="0" w:line="240" w:lineRule="auto"/>
        <w:ind w:left="810"/>
        <w:jc w:val="both"/>
        <w:rPr>
          <w:rFonts w:cs="Times New Roman"/>
          <w:sz w:val="20"/>
          <w:szCs w:val="20"/>
        </w:rPr>
      </w:pPr>
    </w:p>
    <w:p w:rsidR="00970C57" w:rsidRPr="00C94BB1" w:rsidRDefault="00970C57" w:rsidP="002E3A02">
      <w:pPr>
        <w:pStyle w:val="ListParagraph"/>
        <w:numPr>
          <w:ilvl w:val="0"/>
          <w:numId w:val="17"/>
        </w:numPr>
        <w:tabs>
          <w:tab w:val="left" w:pos="450"/>
        </w:tabs>
        <w:jc w:val="both"/>
        <w:rPr>
          <w:rFonts w:asciiTheme="minorHAnsi" w:eastAsiaTheme="minorEastAsia" w:hAnsiTheme="minorHAnsi"/>
          <w:b/>
          <w:color w:val="2E74B5" w:themeColor="accent1" w:themeShade="BF"/>
          <w:sz w:val="20"/>
          <w:szCs w:val="20"/>
        </w:rPr>
      </w:pPr>
      <w:bookmarkStart w:id="9" w:name="_Toc420681587"/>
      <w:bookmarkStart w:id="10" w:name="_Toc415071579"/>
      <w:r w:rsidRPr="00C94BB1">
        <w:rPr>
          <w:rFonts w:asciiTheme="minorHAnsi" w:eastAsiaTheme="minorEastAsia" w:hAnsiTheme="minorHAnsi"/>
          <w:b/>
          <w:color w:val="2E74B5" w:themeColor="accent1" w:themeShade="BF"/>
          <w:sz w:val="20"/>
          <w:szCs w:val="20"/>
        </w:rPr>
        <w:t>Rendre plus durable l’agriculture en forêt</w:t>
      </w:r>
      <w:bookmarkEnd w:id="9"/>
      <w:bookmarkEnd w:id="10"/>
    </w:p>
    <w:p w:rsidR="00B64F66" w:rsidRPr="00B64F66" w:rsidRDefault="00B64F66" w:rsidP="00B64F66">
      <w:pPr>
        <w:pStyle w:val="ListParagraph"/>
        <w:tabs>
          <w:tab w:val="left" w:pos="450"/>
        </w:tabs>
        <w:jc w:val="both"/>
        <w:rPr>
          <w:rFonts w:asciiTheme="minorHAnsi" w:eastAsiaTheme="minorEastAsia" w:hAnsiTheme="minorHAnsi"/>
          <w:b/>
          <w:color w:val="538135" w:themeColor="accent6" w:themeShade="BF"/>
          <w:sz w:val="20"/>
          <w:szCs w:val="20"/>
        </w:rPr>
      </w:pP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La stratégie en la matière est la suivante :</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Développer les cultures pérennes en alternative aux cultures vivrières sur jachère brulis,</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Réduire en conséquence la main d’œuvre disponible pour la jachère brulis et de ce fait, les superficies cultivées,</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 xml:space="preserve">Réduire les superficies en jachère brulis: si le modèle de référence est constitué par un ménage qui passe d’un ha cultivé annuellement en jachère brulis (superficie requise de 7 ha sur la base d’une rotation de 7 ans en incluant la jachère) à un modèle à un demi hectare en jachère brulis (superficie requise 3,5 ha) associé à 1 ha en culture pérenne, le besoin global serait de 4,5  ha par ménage avec une  économie de surface de 2,5 ha. </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 xml:space="preserve">Augmenter les revenus grâce aux cultures pérennes : les rendements en culture pérenne laissent espérer des revenus de l’ordre de 500 dollars par an et par hectare au minimum. Comme les revenus médians sont aujourd’hui compris entre 400 et 500 dollars avant-projet, et que l’agriculture sur brûlis et autres sources de revenus continueront à produire de l’ordre de 200 dollars par an selon ce modèle, le gain de revenu est de l’ordre de 50% pour les bénéficiaires du projet. </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 xml:space="preserve">Sécuriser l’approvisionnement pour relancer l’aval des filières : en présence d’une offre d’achat solide, la production des cultures pérennes se développera d’elle-même. Le développement de la production pourra se faire durablement ensuite sur la base d’investissements réalisés par les paysans eux-mêmes.    </w:t>
      </w:r>
    </w:p>
    <w:p w:rsidR="00B64F66" w:rsidRDefault="00B64F66" w:rsidP="00B64F66">
      <w:pPr>
        <w:tabs>
          <w:tab w:val="left" w:pos="450"/>
        </w:tabs>
        <w:spacing w:line="240" w:lineRule="auto"/>
        <w:jc w:val="both"/>
        <w:rPr>
          <w:rFonts w:cs="Times New Roman"/>
          <w:sz w:val="20"/>
          <w:szCs w:val="20"/>
        </w:rPr>
      </w:pP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 xml:space="preserve">Tous les Territoires et Secteurs du </w:t>
      </w:r>
      <w:r w:rsidR="00AA6D17">
        <w:rPr>
          <w:rFonts w:cs="Times New Roman"/>
          <w:sz w:val="20"/>
          <w:szCs w:val="20"/>
        </w:rPr>
        <w:t>Mai-Ndombe</w:t>
      </w:r>
      <w:r w:rsidR="00A923F5">
        <w:rPr>
          <w:rFonts w:cs="Times New Roman"/>
          <w:sz w:val="20"/>
          <w:szCs w:val="20"/>
        </w:rPr>
        <w:t xml:space="preserve"> </w:t>
      </w:r>
      <w:r w:rsidRPr="00970C57">
        <w:rPr>
          <w:rFonts w:cs="Times New Roman"/>
          <w:sz w:val="20"/>
          <w:szCs w:val="20"/>
        </w:rPr>
        <w:t xml:space="preserve">sont favorables aux cultures pérennes. Les Secteurs de Kutu et celui des Basengele dans Inongo sont plutôt favorables au café, au palmier à huile tandis que les Territoires forestiers sont favorables à toutes les cultures pérennes. </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Parmi les cultures pérennes figure le bananier plantain, très utile à la propre sécurité alimentaire des populations et qui dispose d’un marché très ouvert sur Kinshasa. L’augmentation du nombre de petites coques</w:t>
      </w:r>
      <w:r w:rsidRPr="00ED144B">
        <w:rPr>
          <w:rFonts w:cs="Times New Roman"/>
          <w:sz w:val="20"/>
          <w:szCs w:val="20"/>
          <w:vertAlign w:val="superscript"/>
        </w:rPr>
        <w:footnoteReference w:id="7"/>
      </w:r>
      <w:r w:rsidRPr="00970C57">
        <w:rPr>
          <w:rFonts w:cs="Times New Roman"/>
          <w:sz w:val="20"/>
          <w:szCs w:val="20"/>
          <w:vertAlign w:val="superscript"/>
        </w:rPr>
        <w:t xml:space="preserve"> </w:t>
      </w:r>
      <w:r w:rsidRPr="00970C57">
        <w:rPr>
          <w:rFonts w:cs="Times New Roman"/>
          <w:sz w:val="20"/>
          <w:szCs w:val="20"/>
        </w:rPr>
        <w:t xml:space="preserve">munies de moteurs diésel favorise le développement de cette culture qui occupe le sol pendant des décennies, sans brulis. Le projet pourra encourager la diffusion de cette culture (diffusion du procédé de production rapide de rejets, sous micro serre). Par ailleurs le plantain est déjà utilisé en association pendant la période de culture de la sole en culture vivrière, qui reste en place pendant une partie de la jachère. </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Cette forme d’association sous jachère brulis pourra être favorisée et diversifiée, comme en savane, en favorisant la préservation des essences fruitières et  à chenilles par exemple. Le projet intègrera la vulgarisation de telles associations dans les formations qu’il organisera. Il préconisera aussi la production en pépinières de plants de ces essences diversifiées, y compris forestières d’intérêt commercial, comme le wenge</w:t>
      </w:r>
      <w:r w:rsidR="006379AE">
        <w:rPr>
          <w:rFonts w:cs="Times New Roman"/>
          <w:sz w:val="20"/>
          <w:szCs w:val="20"/>
        </w:rPr>
        <w:t xml:space="preserve"> (</w:t>
      </w:r>
      <w:r w:rsidR="006379AE" w:rsidRPr="006379AE">
        <w:rPr>
          <w:rFonts w:cs="Times New Roman"/>
          <w:sz w:val="20"/>
          <w:szCs w:val="20"/>
        </w:rPr>
        <w:t>Millettia laurentii</w:t>
      </w:r>
      <w:r w:rsidR="006379AE">
        <w:rPr>
          <w:rFonts w:cs="Times New Roman"/>
          <w:sz w:val="20"/>
          <w:szCs w:val="20"/>
        </w:rPr>
        <w:t>).</w:t>
      </w:r>
    </w:p>
    <w:p w:rsidR="00970C57" w:rsidRPr="00970C57" w:rsidRDefault="00970C57" w:rsidP="00B64F66">
      <w:pPr>
        <w:tabs>
          <w:tab w:val="left" w:pos="450"/>
        </w:tabs>
        <w:spacing w:line="240" w:lineRule="auto"/>
        <w:jc w:val="both"/>
        <w:rPr>
          <w:rFonts w:cs="Times New Roman"/>
          <w:sz w:val="20"/>
          <w:szCs w:val="20"/>
        </w:rPr>
      </w:pPr>
      <w:r w:rsidRPr="00A5055A">
        <w:rPr>
          <w:rFonts w:cs="Times New Roman"/>
          <w:sz w:val="20"/>
          <w:szCs w:val="20"/>
        </w:rPr>
        <w:t xml:space="preserve">Dans tout le District, il existe d’anciennes plantations de café et de cacao pouvant être réhabilitées, soit par recépage, soit par nouvelle plantation. Le présent projet </w:t>
      </w:r>
      <w:r w:rsidR="00A5055A" w:rsidRPr="00A5055A">
        <w:rPr>
          <w:rFonts w:cs="Times New Roman"/>
          <w:sz w:val="20"/>
          <w:szCs w:val="20"/>
        </w:rPr>
        <w:t>pourra supporter</w:t>
      </w:r>
      <w:r w:rsidRPr="00A5055A">
        <w:rPr>
          <w:rFonts w:cs="Times New Roman"/>
          <w:sz w:val="20"/>
          <w:szCs w:val="20"/>
        </w:rPr>
        <w:t xml:space="preserve"> la réhabilitation de 1 000 ha de ces anciennes plantations. Leur simple recépage a des limites, car il engage sur plusieurs années voire décennies des productions basées sur du matériel végétal peu amélioré, donnant des rendements faibles. Néanmoins, il permet de gagner du temps au démarrage de l’exploitation. Le projet encouragera la réhabilitation des veilles plantations mais également leur renouvellement par du matériel végétal performant</w:t>
      </w:r>
      <w:r w:rsidR="006379AE">
        <w:rPr>
          <w:rFonts w:cs="Times New Roman"/>
          <w:sz w:val="20"/>
          <w:szCs w:val="20"/>
        </w:rPr>
        <w:t xml:space="preserve"> provenant de</w:t>
      </w:r>
      <w:r w:rsidRPr="00A5055A">
        <w:rPr>
          <w:rFonts w:cs="Times New Roman"/>
          <w:sz w:val="20"/>
          <w:szCs w:val="20"/>
        </w:rPr>
        <w:t xml:space="preserve"> </w:t>
      </w:r>
      <w:r w:rsidR="006379AE" w:rsidRPr="006379AE">
        <w:rPr>
          <w:rFonts w:cs="Times New Roman"/>
          <w:sz w:val="20"/>
          <w:szCs w:val="20"/>
        </w:rPr>
        <w:t>l’Institut national d’étude et de r</w:t>
      </w:r>
      <w:r w:rsidR="006379AE">
        <w:rPr>
          <w:rFonts w:cs="Times New Roman"/>
          <w:sz w:val="20"/>
          <w:szCs w:val="20"/>
        </w:rPr>
        <w:t>echerches agronomiques (INERA) de Yangambi</w:t>
      </w:r>
      <w:r w:rsidRPr="00A5055A">
        <w:rPr>
          <w:rFonts w:cs="Times New Roman"/>
          <w:sz w:val="20"/>
          <w:szCs w:val="20"/>
        </w:rPr>
        <w:t>.</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 xml:space="preserve">L’installation des cultures pérennes en forêt ne peut se faire qu’avec des moyens manuels, dans les champs préparés par les paysans pour leurs cultures vivrières, et de préférence en lisière de ceux-ci. </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Au total, le présent projet</w:t>
      </w:r>
      <w:r w:rsidR="009F2B46">
        <w:rPr>
          <w:rFonts w:cs="Times New Roman"/>
          <w:sz w:val="20"/>
          <w:szCs w:val="20"/>
        </w:rPr>
        <w:t xml:space="preserve"> a prévu la plantation de 15 000</w:t>
      </w:r>
      <w:r w:rsidRPr="00970C57">
        <w:rPr>
          <w:rFonts w:cs="Times New Roman"/>
          <w:sz w:val="20"/>
          <w:szCs w:val="20"/>
        </w:rPr>
        <w:t xml:space="preserve"> ha de cultures pérennes dans le District du </w:t>
      </w:r>
      <w:r w:rsidR="00AA6D17">
        <w:rPr>
          <w:rFonts w:cs="Times New Roman"/>
          <w:sz w:val="20"/>
          <w:szCs w:val="20"/>
        </w:rPr>
        <w:t>Mai-Ndombe</w:t>
      </w:r>
      <w:r w:rsidRPr="00970C57">
        <w:rPr>
          <w:rFonts w:cs="Times New Roman"/>
          <w:sz w:val="20"/>
          <w:szCs w:val="20"/>
        </w:rPr>
        <w:t>. Sur ces superficies, 5 000 ha seront réservées</w:t>
      </w:r>
      <w:r w:rsidR="00A923F5">
        <w:rPr>
          <w:rFonts w:cs="Times New Roman"/>
          <w:sz w:val="20"/>
          <w:szCs w:val="20"/>
        </w:rPr>
        <w:t xml:space="preserve"> aux plantations en savane</w:t>
      </w:r>
      <w:r w:rsidR="00C456A2">
        <w:rPr>
          <w:rFonts w:cs="Times New Roman"/>
          <w:sz w:val="20"/>
          <w:szCs w:val="20"/>
        </w:rPr>
        <w:t xml:space="preserve"> (voir ci-dessus, le modèle 3)</w:t>
      </w:r>
      <w:r w:rsidR="009F2B46">
        <w:rPr>
          <w:rFonts w:cs="Times New Roman"/>
          <w:sz w:val="20"/>
          <w:szCs w:val="20"/>
        </w:rPr>
        <w:t>. 10 0</w:t>
      </w:r>
      <w:r w:rsidRPr="00970C57">
        <w:rPr>
          <w:rFonts w:cs="Times New Roman"/>
          <w:sz w:val="20"/>
          <w:szCs w:val="20"/>
        </w:rPr>
        <w:t>00 ha seront ainsi réservés aux</w:t>
      </w:r>
      <w:r w:rsidR="00A923F5">
        <w:rPr>
          <w:rFonts w:cs="Times New Roman"/>
          <w:sz w:val="20"/>
          <w:szCs w:val="20"/>
        </w:rPr>
        <w:t xml:space="preserve"> cultures pérennes en forêt</w:t>
      </w:r>
      <w:r w:rsidRPr="00970C57">
        <w:rPr>
          <w:rFonts w:cs="Times New Roman"/>
          <w:sz w:val="20"/>
          <w:szCs w:val="20"/>
        </w:rPr>
        <w:t xml:space="preserve">. </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30% de ces superficies pourront être réservées aux fermiers disposant de su</w:t>
      </w:r>
      <w:r w:rsidR="00A923F5">
        <w:rPr>
          <w:rFonts w:cs="Times New Roman"/>
          <w:sz w:val="20"/>
          <w:szCs w:val="20"/>
        </w:rPr>
        <w:t>perficies de plus d’un ha (</w:t>
      </w:r>
      <w:r w:rsidR="009F2B46">
        <w:rPr>
          <w:rFonts w:cs="Times New Roman"/>
          <w:sz w:val="20"/>
          <w:szCs w:val="20"/>
        </w:rPr>
        <w:t>3 00</w:t>
      </w:r>
      <w:r w:rsidR="00C456A2">
        <w:rPr>
          <w:rFonts w:cs="Times New Roman"/>
          <w:sz w:val="20"/>
          <w:szCs w:val="20"/>
        </w:rPr>
        <w:t>0</w:t>
      </w:r>
      <w:r w:rsidR="009F2B46">
        <w:rPr>
          <w:rFonts w:cs="Times New Roman"/>
          <w:sz w:val="20"/>
          <w:szCs w:val="20"/>
        </w:rPr>
        <w:t xml:space="preserve"> ha, 1 000</w:t>
      </w:r>
      <w:r w:rsidRPr="00970C57">
        <w:rPr>
          <w:rFonts w:cs="Times New Roman"/>
          <w:sz w:val="20"/>
          <w:szCs w:val="20"/>
        </w:rPr>
        <w:t xml:space="preserve"> bénéficiaires à 3 ha par bénéficiaire, mais les superficies pourront être supérieures). Pour les exploitations paysannes, les superficies préconisées seront d’un demi-hectare, sachant que les paysans pourront les augmenter d’eux-mêmes, </w:t>
      </w:r>
      <w:r w:rsidRPr="00970C57">
        <w:rPr>
          <w:rFonts w:cs="Times New Roman"/>
          <w:sz w:val="20"/>
          <w:szCs w:val="20"/>
        </w:rPr>
        <w:lastRenderedPageBreak/>
        <w:t>spécialement pour le cacao et le café. Le nombre de bénéf</w:t>
      </w:r>
      <w:r w:rsidR="009F2B46">
        <w:rPr>
          <w:rFonts w:cs="Times New Roman"/>
          <w:sz w:val="20"/>
          <w:szCs w:val="20"/>
        </w:rPr>
        <w:t>iciaires paysans pour les 7 000</w:t>
      </w:r>
      <w:r w:rsidRPr="00970C57">
        <w:rPr>
          <w:rFonts w:cs="Times New Roman"/>
          <w:sz w:val="20"/>
          <w:szCs w:val="20"/>
        </w:rPr>
        <w:t xml:space="preserve"> ha qui leurs sont réservées sera donc d</w:t>
      </w:r>
      <w:r w:rsidR="009F2B46">
        <w:rPr>
          <w:rFonts w:cs="Times New Roman"/>
          <w:sz w:val="20"/>
          <w:szCs w:val="20"/>
        </w:rPr>
        <w:t>’environ  14 000</w:t>
      </w:r>
      <w:r w:rsidRPr="00970C57">
        <w:rPr>
          <w:rFonts w:cs="Times New Roman"/>
          <w:sz w:val="20"/>
          <w:szCs w:val="20"/>
        </w:rPr>
        <w:t xml:space="preserve">.  </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Les mesures préconisées pour les cultures vivrières en savane seront appliquées aux cultures en forêt (diffusion des variétés améliorées). S’y ajouteront des formations sur l’amélioration de la jachère (pour les cultures sur brulis) en particulier en préservant la repousse des arbres à chenilles et autres essences nécessaires à la sécurité alimentaire et à la production de revenus.</w:t>
      </w:r>
    </w:p>
    <w:p w:rsidR="00970C57" w:rsidRPr="00970C57" w:rsidRDefault="00970C57" w:rsidP="00B64F66">
      <w:pPr>
        <w:tabs>
          <w:tab w:val="left" w:pos="450"/>
        </w:tabs>
        <w:spacing w:line="240" w:lineRule="auto"/>
        <w:jc w:val="both"/>
        <w:rPr>
          <w:rFonts w:cs="Times New Roman"/>
          <w:sz w:val="20"/>
          <w:szCs w:val="20"/>
        </w:rPr>
      </w:pPr>
      <w:r w:rsidRPr="00970C57">
        <w:rPr>
          <w:rFonts w:cs="Times New Roman"/>
          <w:sz w:val="20"/>
          <w:szCs w:val="20"/>
        </w:rPr>
        <w:t xml:space="preserve">Les activités consistent à : </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sensibiliser aux opportunités offertes par le projet en matière de développement des cultures pérennes,</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établir les pépinières centrales pour le démarrage des plantules de palmier nain, dont la maturité est longue. Les pépinières de proximité achèveront la préparation des plants,</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former les paysans ayant manifesté leur intérêt pour les cultures pérennes (techniques de culture et de transformation),</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investissements initiaux pour la réhabilitation des vieilles plantations (en partie),</w:t>
      </w:r>
    </w:p>
    <w:p w:rsidR="00970C57" w:rsidRPr="00B64F66"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paiement au résultat des réhabilitations achevées,</w:t>
      </w:r>
    </w:p>
    <w:p w:rsidR="00E87F2C"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B64F66">
        <w:rPr>
          <w:rFonts w:asciiTheme="minorHAnsi" w:eastAsiaTheme="minorEastAsia" w:hAnsiTheme="minorHAnsi"/>
          <w:sz w:val="20"/>
          <w:szCs w:val="20"/>
        </w:rPr>
        <w:t>formation de coopératives et associations de planteurs dans les CLD, etc.,</w:t>
      </w:r>
    </w:p>
    <w:p w:rsidR="002F11D0" w:rsidRPr="002F11D0" w:rsidRDefault="002F11D0" w:rsidP="002F11D0">
      <w:pPr>
        <w:pStyle w:val="ListParagraph"/>
        <w:tabs>
          <w:tab w:val="left" w:pos="993"/>
        </w:tabs>
        <w:jc w:val="both"/>
        <w:rPr>
          <w:rFonts w:asciiTheme="minorHAnsi" w:eastAsiaTheme="minorEastAsia" w:hAnsiTheme="minorHAnsi"/>
          <w:sz w:val="20"/>
          <w:szCs w:val="20"/>
        </w:rPr>
      </w:pPr>
    </w:p>
    <w:p w:rsidR="00970C57" w:rsidRPr="00970C57" w:rsidRDefault="00B64F66" w:rsidP="00B64F66">
      <w:pPr>
        <w:tabs>
          <w:tab w:val="left" w:pos="450"/>
        </w:tabs>
        <w:spacing w:line="240" w:lineRule="auto"/>
        <w:jc w:val="both"/>
        <w:rPr>
          <w:rFonts w:cs="Times New Roman"/>
          <w:sz w:val="20"/>
          <w:szCs w:val="20"/>
        </w:rPr>
      </w:pPr>
      <w:r>
        <w:rPr>
          <w:rFonts w:cs="Times New Roman"/>
          <w:sz w:val="20"/>
          <w:szCs w:val="20"/>
        </w:rPr>
        <w:t>L</w:t>
      </w:r>
      <w:r w:rsidR="00970C57" w:rsidRPr="00970C57">
        <w:rPr>
          <w:rFonts w:cs="Times New Roman"/>
          <w:sz w:val="20"/>
          <w:szCs w:val="20"/>
        </w:rPr>
        <w:t xml:space="preserve">e calendrier est le suivant : </w:t>
      </w:r>
    </w:p>
    <w:tbl>
      <w:tblPr>
        <w:tblW w:w="5050" w:type="pct"/>
        <w:tblLook w:val="04A0" w:firstRow="1" w:lastRow="0" w:firstColumn="1" w:lastColumn="0" w:noHBand="0" w:noVBand="1"/>
      </w:tblPr>
      <w:tblGrid>
        <w:gridCol w:w="448"/>
        <w:gridCol w:w="4844"/>
        <w:gridCol w:w="607"/>
        <w:gridCol w:w="607"/>
        <w:gridCol w:w="607"/>
        <w:gridCol w:w="607"/>
        <w:gridCol w:w="607"/>
        <w:gridCol w:w="607"/>
        <w:gridCol w:w="607"/>
        <w:gridCol w:w="607"/>
      </w:tblGrid>
      <w:tr w:rsidR="00970C57" w:rsidRPr="001D0E78" w:rsidTr="00C94BB1">
        <w:trPr>
          <w:tblHeader/>
        </w:trPr>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0C57" w:rsidRPr="001D0E78" w:rsidRDefault="00970C57">
            <w:pPr>
              <w:spacing w:after="0" w:line="240" w:lineRule="auto"/>
              <w:jc w:val="both"/>
              <w:rPr>
                <w:rFonts w:cs="Times New Roman"/>
                <w:sz w:val="20"/>
                <w:szCs w:val="20"/>
              </w:rPr>
            </w:pPr>
          </w:p>
        </w:tc>
        <w:tc>
          <w:tcPr>
            <w:tcW w:w="238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b/>
                <w:sz w:val="20"/>
                <w:szCs w:val="20"/>
              </w:rPr>
            </w:pPr>
            <w:r w:rsidRPr="001D0E78">
              <w:rPr>
                <w:rFonts w:cs="Times New Roman"/>
                <w:b/>
                <w:sz w:val="20"/>
                <w:szCs w:val="20"/>
              </w:rPr>
              <w:t>Activité</w:t>
            </w:r>
          </w:p>
        </w:tc>
        <w:tc>
          <w:tcPr>
            <w:tcW w:w="2392"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1D0E78" w:rsidRDefault="00970C57">
            <w:pPr>
              <w:spacing w:after="0" w:line="240" w:lineRule="auto"/>
              <w:jc w:val="center"/>
              <w:rPr>
                <w:rFonts w:cs="Times New Roman"/>
                <w:b/>
                <w:sz w:val="20"/>
                <w:szCs w:val="20"/>
              </w:rPr>
            </w:pPr>
            <w:r w:rsidRPr="001D0E78">
              <w:rPr>
                <w:rFonts w:cs="Times New Roman"/>
                <w:b/>
                <w:sz w:val="20"/>
                <w:szCs w:val="20"/>
              </w:rPr>
              <w:t>Semestres</w:t>
            </w:r>
          </w:p>
        </w:tc>
      </w:tr>
      <w:tr w:rsidR="00970C57" w:rsidRPr="001D0E78">
        <w:trPr>
          <w:tblHeader/>
        </w:trPr>
        <w:tc>
          <w:tcPr>
            <w:tcW w:w="2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3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1</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3</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4</w:t>
            </w:r>
          </w:p>
        </w:tc>
      </w:tr>
      <w:tr w:rsidR="00970C57" w:rsidRPr="001D0E78" w:rsidTr="00C94BB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1</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2</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3</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4</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5</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6</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7</w:t>
            </w:r>
          </w:p>
        </w:tc>
        <w:tc>
          <w:tcPr>
            <w:tcW w:w="29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1D0E78" w:rsidRDefault="00970C57">
            <w:pPr>
              <w:spacing w:after="0" w:line="240" w:lineRule="auto"/>
              <w:jc w:val="center"/>
              <w:rPr>
                <w:rFonts w:cs="Times New Roman"/>
                <w:sz w:val="20"/>
                <w:szCs w:val="20"/>
              </w:rPr>
            </w:pPr>
            <w:r w:rsidRPr="001D0E78">
              <w:rPr>
                <w:rFonts w:cs="Times New Roman"/>
                <w:sz w:val="20"/>
                <w:szCs w:val="20"/>
              </w:rPr>
              <w:t>8</w:t>
            </w: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1</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Sensibiliser</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2</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Acquérir les graines de variétés améliorées des cultures pérennes</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3</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Créer les pépinières centrales puis de proximité</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4</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Identifier les CLD et les fermiers intéressés</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5</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Former les porteurs de projet</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6</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Passer les contrats de réhabilitation des vieilles plantations</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7</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 xml:space="preserve">Multiplier et diffuser les variétés améliorées de cycle court </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8</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Créer ou renforcer les coopératives de planteurs</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r>
      <w:tr w:rsidR="00970C57" w:rsidRPr="001D0E78" w:rsidTr="00C94BB1">
        <w:tc>
          <w:tcPr>
            <w:tcW w:w="221" w:type="pct"/>
            <w:tcBorders>
              <w:top w:val="single" w:sz="4" w:space="0" w:color="auto"/>
              <w:left w:val="single" w:sz="4" w:space="0" w:color="auto"/>
              <w:bottom w:val="single" w:sz="4" w:space="0" w:color="auto"/>
              <w:right w:val="single" w:sz="4" w:space="0" w:color="auto"/>
            </w:tcBorders>
            <w:hideMark/>
          </w:tcPr>
          <w:p w:rsidR="00970C57" w:rsidRPr="001D0E78" w:rsidRDefault="00970C57">
            <w:pPr>
              <w:spacing w:after="0" w:line="240" w:lineRule="auto"/>
              <w:jc w:val="both"/>
              <w:rPr>
                <w:rFonts w:cs="Times New Roman"/>
                <w:sz w:val="20"/>
                <w:szCs w:val="20"/>
              </w:rPr>
            </w:pPr>
            <w:r w:rsidRPr="001D0E78">
              <w:rPr>
                <w:rFonts w:cs="Times New Roman"/>
                <w:sz w:val="20"/>
                <w:szCs w:val="20"/>
              </w:rPr>
              <w:t>19</w:t>
            </w:r>
          </w:p>
        </w:tc>
        <w:tc>
          <w:tcPr>
            <w:tcW w:w="2387" w:type="pct"/>
            <w:tcBorders>
              <w:top w:val="single" w:sz="4" w:space="0" w:color="auto"/>
              <w:left w:val="single" w:sz="4" w:space="0" w:color="auto"/>
              <w:bottom w:val="single" w:sz="4" w:space="0" w:color="auto"/>
              <w:right w:val="single" w:sz="4" w:space="0" w:color="auto"/>
            </w:tcBorders>
            <w:vAlign w:val="center"/>
            <w:hideMark/>
          </w:tcPr>
          <w:p w:rsidR="00970C57" w:rsidRPr="001D0E78" w:rsidRDefault="00970C57">
            <w:pPr>
              <w:spacing w:after="0" w:line="240" w:lineRule="auto"/>
              <w:rPr>
                <w:rFonts w:cs="Times New Roman"/>
                <w:sz w:val="20"/>
                <w:szCs w:val="20"/>
              </w:rPr>
            </w:pPr>
            <w:r w:rsidRPr="001D0E78">
              <w:rPr>
                <w:rFonts w:cs="Times New Roman"/>
                <w:sz w:val="20"/>
                <w:szCs w:val="20"/>
              </w:rPr>
              <w:t>Assurer le suivi-évaluation du processus (CARTs, ALE, PIF, CN-REDD)</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1D0E78" w:rsidRDefault="00970C57">
            <w:pPr>
              <w:spacing w:after="0" w:line="240" w:lineRule="auto"/>
              <w:jc w:val="both"/>
              <w:rPr>
                <w:rFonts w:cs="Times New Roman"/>
                <w:sz w:val="20"/>
                <w:szCs w:val="20"/>
              </w:rPr>
            </w:pPr>
          </w:p>
        </w:tc>
      </w:tr>
    </w:tbl>
    <w:p w:rsidR="00970C57" w:rsidRPr="00970C57" w:rsidRDefault="00970C57" w:rsidP="00970C57">
      <w:pPr>
        <w:tabs>
          <w:tab w:val="left" w:pos="1134"/>
        </w:tabs>
        <w:spacing w:after="0" w:line="240" w:lineRule="auto"/>
        <w:jc w:val="both"/>
        <w:rPr>
          <w:sz w:val="20"/>
          <w:szCs w:val="20"/>
        </w:rPr>
      </w:pPr>
    </w:p>
    <w:p w:rsidR="00970C57" w:rsidRPr="006057DC" w:rsidRDefault="00970C57" w:rsidP="002E3A02">
      <w:pPr>
        <w:pStyle w:val="ListParagraph"/>
        <w:numPr>
          <w:ilvl w:val="0"/>
          <w:numId w:val="17"/>
        </w:numPr>
        <w:tabs>
          <w:tab w:val="left" w:pos="450"/>
        </w:tabs>
        <w:jc w:val="both"/>
        <w:rPr>
          <w:rFonts w:asciiTheme="minorHAnsi" w:eastAsiaTheme="minorEastAsia" w:hAnsiTheme="minorHAnsi"/>
          <w:b/>
          <w:color w:val="2E74B5" w:themeColor="accent1" w:themeShade="BF"/>
          <w:sz w:val="20"/>
          <w:szCs w:val="20"/>
        </w:rPr>
      </w:pPr>
      <w:bookmarkStart w:id="11" w:name="_Toc420681588"/>
      <w:bookmarkStart w:id="12" w:name="_Toc415071580"/>
      <w:r w:rsidRPr="006057DC">
        <w:rPr>
          <w:rFonts w:asciiTheme="minorHAnsi" w:eastAsiaTheme="minorEastAsia" w:hAnsiTheme="minorHAnsi"/>
          <w:b/>
          <w:color w:val="2E74B5" w:themeColor="accent1" w:themeShade="BF"/>
          <w:sz w:val="20"/>
          <w:szCs w:val="20"/>
        </w:rPr>
        <w:t>Mettre en défens les forêts les plus utiles à la biodiversité</w:t>
      </w:r>
      <w:bookmarkEnd w:id="11"/>
      <w:bookmarkEnd w:id="12"/>
    </w:p>
    <w:p w:rsidR="00B64F66" w:rsidRPr="00B64F66" w:rsidRDefault="00B64F66" w:rsidP="00B64F66">
      <w:pPr>
        <w:pStyle w:val="ListParagraph"/>
        <w:tabs>
          <w:tab w:val="left" w:pos="450"/>
        </w:tabs>
        <w:jc w:val="both"/>
        <w:rPr>
          <w:rFonts w:asciiTheme="minorHAnsi" w:eastAsiaTheme="minorEastAsia" w:hAnsiTheme="minorHAnsi"/>
          <w:b/>
          <w:color w:val="538135" w:themeColor="accent6" w:themeShade="BF"/>
          <w:sz w:val="20"/>
          <w:szCs w:val="20"/>
        </w:rPr>
      </w:pPr>
    </w:p>
    <w:p w:rsidR="009F2B46" w:rsidRPr="00970C57" w:rsidRDefault="00970C57" w:rsidP="004D2A74">
      <w:pPr>
        <w:tabs>
          <w:tab w:val="left" w:pos="450"/>
        </w:tabs>
        <w:spacing w:line="240" w:lineRule="auto"/>
        <w:jc w:val="both"/>
        <w:rPr>
          <w:rFonts w:cs="Times New Roman"/>
          <w:sz w:val="20"/>
          <w:szCs w:val="20"/>
        </w:rPr>
      </w:pPr>
      <w:r w:rsidRPr="00970C57">
        <w:rPr>
          <w:rFonts w:cs="Times New Roman"/>
          <w:sz w:val="20"/>
          <w:szCs w:val="20"/>
        </w:rPr>
        <w:t>Les terroirs les plus menacés par la destruction de leurs forêts, par exemple en zone de mosaïque forêt/savane pourront décider de mettre en défens des forêts simultanément à des investissements dans les savanes. Le projet prévoit de réserver des moyens spécifiques à cet effet, sur paiement au résultat. Un montant indicatif est réservé à cet effe</w:t>
      </w:r>
      <w:r w:rsidR="00D21A04">
        <w:rPr>
          <w:rFonts w:cs="Times New Roman"/>
          <w:sz w:val="20"/>
          <w:szCs w:val="20"/>
        </w:rPr>
        <w:t>t, pour une mise en défens de 10</w:t>
      </w:r>
      <w:r w:rsidRPr="00970C57">
        <w:rPr>
          <w:rFonts w:cs="Times New Roman"/>
          <w:sz w:val="20"/>
          <w:szCs w:val="20"/>
        </w:rPr>
        <w:t xml:space="preserve"> 000 ha de forêts primaires, en contrepartie de plantations agroforestières en savane. Les mises en défens, en forêt comme en savane, sont encouragées par des paiements au résultat mentionnés dans les contrats de </w:t>
      </w:r>
      <w:r w:rsidR="00170E62" w:rsidRPr="00970C57">
        <w:rPr>
          <w:rFonts w:cs="Times New Roman"/>
          <w:sz w:val="20"/>
          <w:szCs w:val="20"/>
        </w:rPr>
        <w:t>P</w:t>
      </w:r>
      <w:r w:rsidR="00170E62">
        <w:rPr>
          <w:rFonts w:cs="Times New Roman"/>
          <w:sz w:val="20"/>
          <w:szCs w:val="20"/>
        </w:rPr>
        <w:t>SG</w:t>
      </w:r>
      <w:r w:rsidRPr="00970C57">
        <w:rPr>
          <w:rFonts w:cs="Times New Roman"/>
          <w:sz w:val="20"/>
          <w:szCs w:val="20"/>
        </w:rPr>
        <w:t xml:space="preserve">. </w:t>
      </w:r>
    </w:p>
    <w:p w:rsidR="00F5585E" w:rsidRDefault="00F5585E">
      <w:pPr>
        <w:spacing w:after="160" w:line="259" w:lineRule="auto"/>
        <w:rPr>
          <w:rFonts w:cs="Times New Roman"/>
          <w:b/>
          <w:color w:val="2F5496" w:themeColor="accent5" w:themeShade="BF"/>
          <w:sz w:val="20"/>
          <w:szCs w:val="20"/>
        </w:rPr>
      </w:pPr>
      <w:bookmarkStart w:id="13" w:name="_Toc420681589"/>
      <w:bookmarkStart w:id="14" w:name="_Toc415071581"/>
      <w:r>
        <w:rPr>
          <w:b/>
          <w:color w:val="2F5496" w:themeColor="accent5" w:themeShade="BF"/>
          <w:sz w:val="20"/>
          <w:szCs w:val="20"/>
        </w:rPr>
        <w:br w:type="page"/>
      </w:r>
    </w:p>
    <w:p w:rsidR="00401412" w:rsidRPr="00525B9B" w:rsidRDefault="00970C57" w:rsidP="002E3A02">
      <w:pPr>
        <w:pStyle w:val="ListParagraph"/>
        <w:numPr>
          <w:ilvl w:val="0"/>
          <w:numId w:val="17"/>
        </w:numPr>
        <w:tabs>
          <w:tab w:val="left" w:pos="450"/>
        </w:tabs>
        <w:jc w:val="both"/>
        <w:rPr>
          <w:rFonts w:asciiTheme="minorHAnsi" w:eastAsiaTheme="minorEastAsia" w:hAnsiTheme="minorHAnsi"/>
          <w:b/>
          <w:color w:val="2F5496" w:themeColor="accent5" w:themeShade="BF"/>
          <w:sz w:val="20"/>
          <w:szCs w:val="20"/>
        </w:rPr>
      </w:pPr>
      <w:r w:rsidRPr="00525B9B">
        <w:rPr>
          <w:rFonts w:asciiTheme="minorHAnsi" w:eastAsiaTheme="minorEastAsia" w:hAnsiTheme="minorHAnsi"/>
          <w:b/>
          <w:color w:val="2F5496" w:themeColor="accent5" w:themeShade="BF"/>
          <w:sz w:val="20"/>
          <w:szCs w:val="20"/>
        </w:rPr>
        <w:lastRenderedPageBreak/>
        <w:t>Récapitulatif des superficies et des bénéficiaires forêt/savane</w:t>
      </w:r>
      <w:bookmarkEnd w:id="13"/>
      <w:bookmarkEnd w:id="14"/>
    </w:p>
    <w:p w:rsidR="00B64F66" w:rsidRPr="00ED144B" w:rsidRDefault="00B64F66" w:rsidP="00B64F66">
      <w:pPr>
        <w:pStyle w:val="ListParagraph"/>
        <w:tabs>
          <w:tab w:val="left" w:pos="450"/>
        </w:tabs>
        <w:jc w:val="both"/>
        <w:rPr>
          <w:rFonts w:asciiTheme="minorHAnsi" w:eastAsiaTheme="minorEastAsia" w:hAnsiTheme="minorHAnsi"/>
          <w:b/>
          <w:color w:val="538135" w:themeColor="accent6" w:themeShade="BF"/>
          <w:sz w:val="18"/>
          <w:szCs w:val="18"/>
        </w:rPr>
      </w:pPr>
    </w:p>
    <w:tbl>
      <w:tblPr>
        <w:tblW w:w="5524" w:type="pct"/>
        <w:tblInd w:w="-905" w:type="dxa"/>
        <w:tblLayout w:type="fixed"/>
        <w:tblCellMar>
          <w:left w:w="70" w:type="dxa"/>
          <w:right w:w="70" w:type="dxa"/>
        </w:tblCellMar>
        <w:tblLook w:val="04A0" w:firstRow="1" w:lastRow="0" w:firstColumn="1" w:lastColumn="0" w:noHBand="0" w:noVBand="1"/>
      </w:tblPr>
      <w:tblGrid>
        <w:gridCol w:w="1184"/>
        <w:gridCol w:w="1109"/>
        <w:gridCol w:w="882"/>
        <w:gridCol w:w="1147"/>
        <w:gridCol w:w="1234"/>
        <w:gridCol w:w="969"/>
        <w:gridCol w:w="969"/>
        <w:gridCol w:w="1007"/>
        <w:gridCol w:w="1258"/>
        <w:gridCol w:w="1258"/>
      </w:tblGrid>
      <w:tr w:rsidR="00371C87" w:rsidRPr="001D0E78" w:rsidTr="00ED144B">
        <w:trPr>
          <w:trHeight w:val="948"/>
        </w:trPr>
        <w:tc>
          <w:tcPr>
            <w:tcW w:w="537"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970C57" w:rsidRPr="001D0E78" w:rsidRDefault="00970C57" w:rsidP="009762FE">
            <w:pPr>
              <w:ind w:left="20"/>
              <w:jc w:val="center"/>
              <w:rPr>
                <w:b/>
                <w:sz w:val="20"/>
                <w:szCs w:val="20"/>
              </w:rPr>
            </w:pPr>
          </w:p>
        </w:tc>
        <w:tc>
          <w:tcPr>
            <w:tcW w:w="503" w:type="pct"/>
            <w:tcBorders>
              <w:top w:val="single" w:sz="4" w:space="0" w:color="auto"/>
              <w:left w:val="nil"/>
              <w:bottom w:val="single" w:sz="4" w:space="0" w:color="auto"/>
              <w:right w:val="single" w:sz="4" w:space="0" w:color="auto"/>
            </w:tcBorders>
            <w:shd w:val="clear" w:color="auto" w:fill="DEEAF6" w:themeFill="accent1" w:themeFillTint="33"/>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Superficies protégées</w:t>
            </w:r>
          </w:p>
          <w:p w:rsidR="00970C57" w:rsidRDefault="00970C57" w:rsidP="00D54F55">
            <w:pPr>
              <w:spacing w:after="0" w:line="240" w:lineRule="auto"/>
              <w:ind w:left="20"/>
              <w:jc w:val="center"/>
              <w:rPr>
                <w:rFonts w:eastAsia="Times New Roman" w:cs="Times New Roman"/>
                <w:b/>
                <w:color w:val="000000"/>
                <w:sz w:val="20"/>
                <w:szCs w:val="20"/>
              </w:rPr>
            </w:pPr>
          </w:p>
          <w:p w:rsidR="00E026E6" w:rsidRDefault="00E026E6" w:rsidP="00D54F55">
            <w:pPr>
              <w:spacing w:after="0" w:line="240" w:lineRule="auto"/>
              <w:ind w:left="20"/>
              <w:jc w:val="center"/>
              <w:rPr>
                <w:rFonts w:eastAsia="Times New Roman" w:cs="Times New Roman"/>
                <w:b/>
                <w:color w:val="000000"/>
                <w:sz w:val="20"/>
                <w:szCs w:val="20"/>
              </w:rPr>
            </w:pPr>
          </w:p>
          <w:p w:rsidR="00371C87" w:rsidRPr="001D0E78" w:rsidRDefault="00371C87" w:rsidP="00D54F55">
            <w:pPr>
              <w:spacing w:after="0" w:line="240" w:lineRule="auto"/>
              <w:ind w:left="20"/>
              <w:jc w:val="center"/>
              <w:rPr>
                <w:rFonts w:eastAsia="Times New Roman" w:cs="Times New Roman"/>
                <w:b/>
                <w:color w:val="000000"/>
                <w:sz w:val="20"/>
                <w:szCs w:val="20"/>
              </w:rPr>
            </w:pP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(ha)</w:t>
            </w:r>
          </w:p>
        </w:tc>
        <w:tc>
          <w:tcPr>
            <w:tcW w:w="400" w:type="pct"/>
            <w:tcBorders>
              <w:top w:val="single" w:sz="4" w:space="0" w:color="auto"/>
              <w:left w:val="nil"/>
              <w:bottom w:val="single" w:sz="4" w:space="0" w:color="auto"/>
              <w:right w:val="single" w:sz="4" w:space="0" w:color="auto"/>
            </w:tcBorders>
            <w:shd w:val="clear" w:color="auto" w:fill="DEEAF6" w:themeFill="accent1" w:themeFillTint="33"/>
            <w:noWrap/>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Coût moyen</w:t>
            </w:r>
          </w:p>
          <w:p w:rsidR="00970C57" w:rsidRPr="001D0E78" w:rsidRDefault="00970C57" w:rsidP="00D54F55">
            <w:pPr>
              <w:spacing w:after="0" w:line="240" w:lineRule="auto"/>
              <w:ind w:left="20"/>
              <w:jc w:val="center"/>
              <w:rPr>
                <w:rFonts w:eastAsia="Times New Roman" w:cs="Times New Roman"/>
                <w:b/>
                <w:color w:val="000000"/>
                <w:sz w:val="20"/>
                <w:szCs w:val="20"/>
              </w:rPr>
            </w:pPr>
          </w:p>
          <w:p w:rsidR="00970C57" w:rsidRDefault="00970C57" w:rsidP="00D54F55">
            <w:pPr>
              <w:spacing w:after="0" w:line="240" w:lineRule="auto"/>
              <w:ind w:left="20"/>
              <w:jc w:val="center"/>
              <w:rPr>
                <w:rFonts w:eastAsia="Times New Roman" w:cs="Times New Roman"/>
                <w:b/>
                <w:color w:val="000000"/>
                <w:sz w:val="20"/>
                <w:szCs w:val="20"/>
              </w:rPr>
            </w:pPr>
          </w:p>
          <w:p w:rsidR="00371C87" w:rsidRPr="001D0E78" w:rsidRDefault="00371C87" w:rsidP="00D54F55">
            <w:pPr>
              <w:spacing w:after="0" w:line="240" w:lineRule="auto"/>
              <w:ind w:left="20"/>
              <w:jc w:val="center"/>
              <w:rPr>
                <w:rFonts w:eastAsia="Times New Roman" w:cs="Times New Roman"/>
                <w:b/>
                <w:color w:val="000000"/>
                <w:sz w:val="20"/>
                <w:szCs w:val="20"/>
              </w:rPr>
            </w:pP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($US)</w:t>
            </w:r>
          </w:p>
        </w:tc>
        <w:tc>
          <w:tcPr>
            <w:tcW w:w="520" w:type="pct"/>
            <w:tcBorders>
              <w:top w:val="single" w:sz="4" w:space="0" w:color="auto"/>
              <w:left w:val="nil"/>
              <w:bottom w:val="single" w:sz="4" w:space="0" w:color="auto"/>
              <w:right w:val="single" w:sz="4" w:space="0" w:color="auto"/>
            </w:tcBorders>
            <w:shd w:val="clear" w:color="auto" w:fill="DEEAF6" w:themeFill="accent1" w:themeFillTint="33"/>
            <w:noWrap/>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Montant</w:t>
            </w:r>
          </w:p>
          <w:p w:rsidR="00970C57" w:rsidRPr="001D0E78" w:rsidRDefault="00970C57" w:rsidP="00D54F55">
            <w:pPr>
              <w:spacing w:after="0" w:line="240" w:lineRule="auto"/>
              <w:ind w:left="20"/>
              <w:jc w:val="center"/>
              <w:rPr>
                <w:rFonts w:eastAsia="Times New Roman" w:cs="Times New Roman"/>
                <w:b/>
                <w:color w:val="000000"/>
                <w:sz w:val="20"/>
                <w:szCs w:val="20"/>
              </w:rPr>
            </w:pPr>
          </w:p>
          <w:p w:rsidR="00970C57" w:rsidRDefault="00970C57" w:rsidP="00D54F55">
            <w:pPr>
              <w:spacing w:after="0" w:line="240" w:lineRule="auto"/>
              <w:ind w:left="20"/>
              <w:jc w:val="center"/>
              <w:rPr>
                <w:rFonts w:eastAsia="Times New Roman" w:cs="Times New Roman"/>
                <w:b/>
                <w:color w:val="000000"/>
                <w:sz w:val="20"/>
                <w:szCs w:val="20"/>
              </w:rPr>
            </w:pPr>
          </w:p>
          <w:p w:rsidR="00E026E6" w:rsidRDefault="00E026E6" w:rsidP="00D54F55">
            <w:pPr>
              <w:spacing w:after="0" w:line="240" w:lineRule="auto"/>
              <w:ind w:left="20"/>
              <w:jc w:val="center"/>
              <w:rPr>
                <w:rFonts w:eastAsia="Times New Roman" w:cs="Times New Roman"/>
                <w:b/>
                <w:color w:val="000000"/>
                <w:sz w:val="20"/>
                <w:szCs w:val="20"/>
              </w:rPr>
            </w:pPr>
          </w:p>
          <w:p w:rsidR="00371C87" w:rsidRPr="001D0E78" w:rsidRDefault="00371C87" w:rsidP="00D54F55">
            <w:pPr>
              <w:spacing w:after="0" w:line="240" w:lineRule="auto"/>
              <w:ind w:left="20"/>
              <w:jc w:val="center"/>
              <w:rPr>
                <w:rFonts w:eastAsia="Times New Roman" w:cs="Times New Roman"/>
                <w:b/>
                <w:color w:val="000000"/>
                <w:sz w:val="20"/>
                <w:szCs w:val="20"/>
              </w:rPr>
            </w:pP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($US)</w:t>
            </w:r>
          </w:p>
        </w:tc>
        <w:tc>
          <w:tcPr>
            <w:tcW w:w="560" w:type="pct"/>
            <w:tcBorders>
              <w:top w:val="single" w:sz="4" w:space="0" w:color="auto"/>
              <w:left w:val="nil"/>
              <w:bottom w:val="single" w:sz="4" w:space="0" w:color="auto"/>
              <w:right w:val="single" w:sz="4" w:space="0" w:color="auto"/>
            </w:tcBorders>
            <w:shd w:val="clear" w:color="auto" w:fill="DEEAF6" w:themeFill="accent1" w:themeFillTint="33"/>
            <w:hideMark/>
          </w:tcPr>
          <w:p w:rsidR="00371C87" w:rsidRDefault="00401412"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Surf</w:t>
            </w:r>
            <w:r w:rsidR="00371C87">
              <w:rPr>
                <w:rFonts w:eastAsia="Times New Roman" w:cs="Times New Roman"/>
                <w:b/>
                <w:color w:val="000000"/>
                <w:sz w:val="20"/>
                <w:szCs w:val="20"/>
              </w:rPr>
              <w:t>ace</w:t>
            </w:r>
          </w:p>
          <w:p w:rsidR="00371C87" w:rsidRDefault="00401412"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 xml:space="preserve">en </w:t>
            </w:r>
          </w:p>
          <w:p w:rsidR="00970C57" w:rsidRPr="001D0E78" w:rsidRDefault="00371C8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rég</w:t>
            </w:r>
            <w:r>
              <w:rPr>
                <w:rFonts w:eastAsia="Times New Roman" w:cs="Times New Roman"/>
                <w:b/>
                <w:color w:val="000000"/>
                <w:sz w:val="20"/>
                <w:szCs w:val="20"/>
              </w:rPr>
              <w:t>énération</w:t>
            </w:r>
            <w:r w:rsidR="00970C57" w:rsidRPr="001D0E78">
              <w:rPr>
                <w:rFonts w:eastAsia="Times New Roman" w:cs="Times New Roman"/>
                <w:b/>
                <w:color w:val="000000"/>
                <w:sz w:val="20"/>
                <w:szCs w:val="20"/>
              </w:rPr>
              <w:t xml:space="preserve"> naturelle</w:t>
            </w:r>
          </w:p>
          <w:p w:rsidR="00E026E6" w:rsidRDefault="00E026E6" w:rsidP="00D54F55">
            <w:pPr>
              <w:spacing w:after="0" w:line="240" w:lineRule="auto"/>
              <w:ind w:left="20"/>
              <w:jc w:val="center"/>
              <w:rPr>
                <w:rFonts w:eastAsia="Times New Roman" w:cs="Times New Roman"/>
                <w:b/>
                <w:color w:val="000000"/>
                <w:sz w:val="20"/>
                <w:szCs w:val="20"/>
              </w:rPr>
            </w:pP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(ha)</w:t>
            </w:r>
          </w:p>
        </w:tc>
        <w:tc>
          <w:tcPr>
            <w:tcW w:w="440" w:type="pct"/>
            <w:tcBorders>
              <w:top w:val="single" w:sz="4" w:space="0" w:color="auto"/>
              <w:left w:val="nil"/>
              <w:bottom w:val="single" w:sz="4" w:space="0" w:color="auto"/>
              <w:right w:val="single" w:sz="4" w:space="0" w:color="auto"/>
            </w:tcBorders>
            <w:shd w:val="clear" w:color="auto" w:fill="DEEAF6" w:themeFill="accent1" w:themeFillTint="33"/>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Surf</w:t>
            </w:r>
            <w:r w:rsidR="00371C87">
              <w:rPr>
                <w:rFonts w:eastAsia="Times New Roman" w:cs="Times New Roman"/>
                <w:b/>
                <w:color w:val="000000"/>
                <w:sz w:val="20"/>
                <w:szCs w:val="20"/>
              </w:rPr>
              <w:t xml:space="preserve">ace </w:t>
            </w:r>
            <w:r w:rsidRPr="001D0E78">
              <w:rPr>
                <w:rFonts w:eastAsia="Times New Roman" w:cs="Times New Roman"/>
                <w:b/>
                <w:color w:val="000000"/>
                <w:sz w:val="20"/>
                <w:szCs w:val="20"/>
              </w:rPr>
              <w:t>labourée</w:t>
            </w:r>
          </w:p>
          <w:p w:rsidR="00970C57" w:rsidRPr="001D0E78" w:rsidRDefault="00970C57" w:rsidP="00D54F55">
            <w:pPr>
              <w:spacing w:after="0" w:line="240" w:lineRule="auto"/>
              <w:ind w:left="20"/>
              <w:jc w:val="center"/>
              <w:rPr>
                <w:rFonts w:eastAsia="Times New Roman" w:cs="Times New Roman"/>
                <w:b/>
                <w:color w:val="000000"/>
                <w:sz w:val="20"/>
                <w:szCs w:val="20"/>
              </w:rPr>
            </w:pPr>
          </w:p>
          <w:p w:rsidR="00E026E6" w:rsidRDefault="00E026E6" w:rsidP="00D54F55">
            <w:pPr>
              <w:spacing w:after="0" w:line="240" w:lineRule="auto"/>
              <w:ind w:left="20"/>
              <w:jc w:val="center"/>
              <w:rPr>
                <w:rFonts w:eastAsia="Times New Roman" w:cs="Times New Roman"/>
                <w:b/>
                <w:color w:val="000000"/>
                <w:sz w:val="20"/>
                <w:szCs w:val="20"/>
              </w:rPr>
            </w:pPr>
          </w:p>
          <w:p w:rsidR="00371C87" w:rsidRDefault="00371C87" w:rsidP="00D54F55">
            <w:pPr>
              <w:spacing w:after="0" w:line="240" w:lineRule="auto"/>
              <w:ind w:left="20"/>
              <w:jc w:val="center"/>
              <w:rPr>
                <w:rFonts w:eastAsia="Times New Roman" w:cs="Times New Roman"/>
                <w:b/>
                <w:color w:val="000000"/>
                <w:sz w:val="20"/>
                <w:szCs w:val="20"/>
              </w:rPr>
            </w:pP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(ha)</w:t>
            </w:r>
          </w:p>
        </w:tc>
        <w:tc>
          <w:tcPr>
            <w:tcW w:w="440" w:type="pct"/>
            <w:tcBorders>
              <w:top w:val="single" w:sz="4" w:space="0" w:color="auto"/>
              <w:left w:val="nil"/>
              <w:bottom w:val="single" w:sz="4" w:space="0" w:color="auto"/>
              <w:right w:val="single" w:sz="4" w:space="0" w:color="auto"/>
            </w:tcBorders>
            <w:shd w:val="clear" w:color="auto" w:fill="DEEAF6" w:themeFill="accent1" w:themeFillTint="33"/>
          </w:tcPr>
          <w:p w:rsidR="00371C87"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Superficie plantées</w:t>
            </w:r>
          </w:p>
          <w:p w:rsidR="00970C57" w:rsidRPr="001D0E78" w:rsidRDefault="00371C87"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(S)</w:t>
            </w:r>
            <w:r w:rsidR="00970C57" w:rsidRPr="001D0E78">
              <w:rPr>
                <w:rFonts w:eastAsia="Times New Roman" w:cs="Times New Roman"/>
                <w:b/>
                <w:color w:val="000000"/>
                <w:sz w:val="20"/>
                <w:szCs w:val="20"/>
              </w:rPr>
              <w:t xml:space="preserve"> </w:t>
            </w:r>
          </w:p>
          <w:p w:rsidR="00371C87" w:rsidRPr="001D0E78" w:rsidRDefault="00371C87" w:rsidP="00ED144B">
            <w:pPr>
              <w:spacing w:after="0" w:line="240" w:lineRule="auto"/>
              <w:rPr>
                <w:rFonts w:eastAsia="Times New Roman" w:cs="Times New Roman"/>
                <w:b/>
                <w:color w:val="000000"/>
                <w:sz w:val="20"/>
                <w:szCs w:val="20"/>
              </w:rPr>
            </w:pPr>
          </w:p>
          <w:p w:rsidR="00E026E6" w:rsidRDefault="00E026E6" w:rsidP="00D54F55">
            <w:pPr>
              <w:spacing w:after="0" w:line="240" w:lineRule="auto"/>
              <w:ind w:left="20"/>
              <w:jc w:val="center"/>
              <w:rPr>
                <w:rFonts w:eastAsia="Times New Roman" w:cs="Times New Roman"/>
                <w:b/>
                <w:color w:val="000000"/>
                <w:sz w:val="20"/>
                <w:szCs w:val="20"/>
              </w:rPr>
            </w:pP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(ha)</w:t>
            </w:r>
          </w:p>
        </w:tc>
        <w:tc>
          <w:tcPr>
            <w:tcW w:w="457" w:type="pct"/>
            <w:tcBorders>
              <w:top w:val="single" w:sz="4" w:space="0" w:color="auto"/>
              <w:left w:val="nil"/>
              <w:bottom w:val="single" w:sz="4" w:space="0" w:color="auto"/>
              <w:right w:val="single" w:sz="4" w:space="0" w:color="auto"/>
            </w:tcBorders>
            <w:shd w:val="clear" w:color="auto" w:fill="DEEAF6" w:themeFill="accent1" w:themeFillTint="33"/>
          </w:tcPr>
          <w:p w:rsidR="00E026E6"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Coût</w:t>
            </w:r>
          </w:p>
          <w:p w:rsidR="00970C57" w:rsidRPr="001D0E78" w:rsidRDefault="00371C87"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 xml:space="preserve">par </w:t>
            </w:r>
            <w:r w:rsidR="00970C57" w:rsidRPr="001D0E78">
              <w:rPr>
                <w:rFonts w:eastAsia="Times New Roman" w:cs="Times New Roman"/>
                <w:b/>
                <w:color w:val="000000"/>
                <w:sz w:val="20"/>
                <w:szCs w:val="20"/>
              </w:rPr>
              <w:t>ha planté</w:t>
            </w:r>
          </w:p>
          <w:p w:rsidR="00970C57" w:rsidRDefault="00970C57" w:rsidP="00D54F55">
            <w:pPr>
              <w:spacing w:after="0" w:line="240" w:lineRule="auto"/>
              <w:ind w:left="20"/>
              <w:jc w:val="center"/>
              <w:rPr>
                <w:rFonts w:eastAsia="Times New Roman" w:cs="Times New Roman"/>
                <w:b/>
                <w:color w:val="000000"/>
                <w:sz w:val="20"/>
                <w:szCs w:val="20"/>
              </w:rPr>
            </w:pPr>
          </w:p>
          <w:p w:rsidR="00371C87" w:rsidRPr="001D0E78" w:rsidRDefault="00371C87" w:rsidP="00D54F55">
            <w:pPr>
              <w:spacing w:after="0" w:line="240" w:lineRule="auto"/>
              <w:ind w:left="20"/>
              <w:jc w:val="center"/>
              <w:rPr>
                <w:rFonts w:eastAsia="Times New Roman" w:cs="Times New Roman"/>
                <w:b/>
                <w:color w:val="000000"/>
                <w:sz w:val="20"/>
                <w:szCs w:val="20"/>
              </w:rPr>
            </w:pP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($US/ha)</w:t>
            </w:r>
          </w:p>
        </w:tc>
        <w:tc>
          <w:tcPr>
            <w:tcW w:w="571" w:type="pct"/>
            <w:tcBorders>
              <w:top w:val="single" w:sz="4" w:space="0" w:color="auto"/>
              <w:left w:val="nil"/>
              <w:bottom w:val="single" w:sz="4" w:space="0" w:color="auto"/>
              <w:right w:val="single" w:sz="4" w:space="0" w:color="auto"/>
            </w:tcBorders>
            <w:shd w:val="clear" w:color="auto" w:fill="DEEAF6" w:themeFill="accent1" w:themeFillTint="33"/>
          </w:tcPr>
          <w:p w:rsidR="00371C87" w:rsidRDefault="00970C57">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Bénéficiaires paysans</w:t>
            </w:r>
          </w:p>
          <w:p w:rsidR="00970C57" w:rsidRPr="001D0E78" w:rsidRDefault="00371C87">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(1/2ha en moyenne sur 70% de S)</w:t>
            </w: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(Nombre)</w:t>
            </w:r>
          </w:p>
        </w:tc>
        <w:tc>
          <w:tcPr>
            <w:tcW w:w="571" w:type="pct"/>
            <w:tcBorders>
              <w:top w:val="single" w:sz="4" w:space="0" w:color="auto"/>
              <w:left w:val="nil"/>
              <w:bottom w:val="single" w:sz="4" w:space="0" w:color="auto"/>
              <w:right w:val="single" w:sz="4" w:space="0" w:color="auto"/>
            </w:tcBorders>
            <w:shd w:val="clear" w:color="auto" w:fill="DEEAF6" w:themeFill="accent1" w:themeFillTint="33"/>
            <w:hideMark/>
          </w:tcPr>
          <w:p w:rsidR="00E026E6" w:rsidRDefault="00E026E6"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Bénéficiaires fermiers</w:t>
            </w:r>
          </w:p>
          <w:p w:rsidR="00371C87" w:rsidRPr="001D0E78" w:rsidRDefault="00970C57" w:rsidP="00ED144B">
            <w:pPr>
              <w:spacing w:after="0" w:line="240" w:lineRule="auto"/>
              <w:jc w:val="center"/>
              <w:rPr>
                <w:rFonts w:eastAsia="Times New Roman" w:cs="Times New Roman"/>
                <w:b/>
                <w:color w:val="000000"/>
                <w:sz w:val="20"/>
                <w:szCs w:val="20"/>
              </w:rPr>
            </w:pPr>
            <w:r w:rsidRPr="001D0E78">
              <w:rPr>
                <w:rFonts w:eastAsia="Times New Roman" w:cs="Times New Roman"/>
                <w:b/>
                <w:color w:val="000000"/>
                <w:sz w:val="20"/>
                <w:szCs w:val="20"/>
              </w:rPr>
              <w:t>(3ha en moyenne</w:t>
            </w:r>
            <w:r w:rsidR="00371C87">
              <w:rPr>
                <w:rFonts w:eastAsia="Times New Roman" w:cs="Times New Roman"/>
                <w:b/>
                <w:color w:val="000000"/>
                <w:sz w:val="20"/>
                <w:szCs w:val="20"/>
              </w:rPr>
              <w:t xml:space="preserve"> sur 30% de S</w:t>
            </w:r>
            <w:r w:rsidRPr="001D0E78">
              <w:rPr>
                <w:rFonts w:eastAsia="Times New Roman" w:cs="Times New Roman"/>
                <w:b/>
                <w:color w:val="000000"/>
                <w:sz w:val="20"/>
                <w:szCs w:val="20"/>
              </w:rPr>
              <w:t>)</w:t>
            </w:r>
          </w:p>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(Nombre)</w:t>
            </w:r>
          </w:p>
        </w:tc>
      </w:tr>
      <w:tr w:rsidR="00371C87" w:rsidRPr="001D0E78" w:rsidTr="00ED144B">
        <w:trPr>
          <w:trHeight w:val="255"/>
        </w:trPr>
        <w:tc>
          <w:tcPr>
            <w:tcW w:w="537" w:type="pct"/>
            <w:tcBorders>
              <w:top w:val="nil"/>
              <w:left w:val="single" w:sz="4" w:space="0" w:color="auto"/>
              <w:bottom w:val="single" w:sz="4" w:space="0" w:color="auto"/>
              <w:right w:val="single" w:sz="4" w:space="0" w:color="auto"/>
            </w:tcBorders>
            <w:noWrap/>
            <w:vAlign w:val="bottom"/>
            <w:hideMark/>
          </w:tcPr>
          <w:p w:rsidR="00970C57" w:rsidRPr="001D0E78" w:rsidRDefault="00970C57" w:rsidP="009762FE">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Modèle 1</w:t>
            </w:r>
          </w:p>
        </w:tc>
        <w:tc>
          <w:tcPr>
            <w:tcW w:w="503"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20 000</w:t>
            </w:r>
          </w:p>
        </w:tc>
        <w:tc>
          <w:tcPr>
            <w:tcW w:w="400"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6</w:t>
            </w:r>
            <w:r w:rsidR="00401412" w:rsidRPr="001D0E78">
              <w:rPr>
                <w:rFonts w:eastAsia="Times New Roman" w:cs="Times New Roman"/>
                <w:color w:val="000000"/>
                <w:sz w:val="20"/>
                <w:szCs w:val="20"/>
              </w:rPr>
              <w:t>0</w:t>
            </w:r>
          </w:p>
        </w:tc>
        <w:tc>
          <w:tcPr>
            <w:tcW w:w="520"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rsidP="005552BD">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1 2</w:t>
            </w:r>
            <w:r w:rsidR="00401412" w:rsidRPr="001D0E78">
              <w:rPr>
                <w:rFonts w:eastAsia="Times New Roman" w:cs="Times New Roman"/>
                <w:color w:val="000000"/>
                <w:sz w:val="20"/>
                <w:szCs w:val="20"/>
              </w:rPr>
              <w:t>00 000</w:t>
            </w:r>
          </w:p>
        </w:tc>
        <w:tc>
          <w:tcPr>
            <w:tcW w:w="560"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xml:space="preserve">20 000  </w:t>
            </w: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D21A04"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2 000</w:t>
            </w:r>
            <w:r w:rsidR="00970C57" w:rsidRPr="001D0E78">
              <w:rPr>
                <w:rFonts w:eastAsia="Times New Roman" w:cs="Times New Roman"/>
                <w:color w:val="000000"/>
                <w:sz w:val="20"/>
                <w:szCs w:val="20"/>
              </w:rPr>
              <w:t xml:space="preserve">  </w:t>
            </w: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571"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571"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r>
      <w:tr w:rsidR="00371C87" w:rsidRPr="001D0E78" w:rsidTr="00ED144B">
        <w:trPr>
          <w:trHeight w:val="255"/>
        </w:trPr>
        <w:tc>
          <w:tcPr>
            <w:tcW w:w="537" w:type="pct"/>
            <w:tcBorders>
              <w:top w:val="nil"/>
              <w:left w:val="single" w:sz="4" w:space="0" w:color="auto"/>
              <w:bottom w:val="single" w:sz="4" w:space="0" w:color="auto"/>
              <w:right w:val="single" w:sz="4" w:space="0" w:color="auto"/>
            </w:tcBorders>
            <w:noWrap/>
            <w:vAlign w:val="bottom"/>
            <w:hideMark/>
          </w:tcPr>
          <w:p w:rsidR="00970C57" w:rsidRPr="001D0E78" w:rsidRDefault="00970C57" w:rsidP="009762FE">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Modèle 2</w:t>
            </w:r>
          </w:p>
        </w:tc>
        <w:tc>
          <w:tcPr>
            <w:tcW w:w="503"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10 000</w:t>
            </w:r>
          </w:p>
        </w:tc>
        <w:tc>
          <w:tcPr>
            <w:tcW w:w="400"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15</w:t>
            </w:r>
            <w:r w:rsidR="00401412" w:rsidRPr="001D0E78">
              <w:rPr>
                <w:rFonts w:eastAsia="Times New Roman" w:cs="Times New Roman"/>
                <w:color w:val="000000"/>
                <w:sz w:val="20"/>
                <w:szCs w:val="20"/>
              </w:rPr>
              <w:t>0</w:t>
            </w:r>
          </w:p>
        </w:tc>
        <w:tc>
          <w:tcPr>
            <w:tcW w:w="520"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1 5</w:t>
            </w:r>
            <w:r w:rsidR="00401412" w:rsidRPr="001D0E78">
              <w:rPr>
                <w:rFonts w:eastAsia="Times New Roman" w:cs="Times New Roman"/>
                <w:color w:val="000000"/>
                <w:sz w:val="20"/>
                <w:szCs w:val="20"/>
              </w:rPr>
              <w:t>00 000</w:t>
            </w:r>
            <w:r w:rsidR="00970C57" w:rsidRPr="001D0E78">
              <w:rPr>
                <w:rFonts w:eastAsia="Times New Roman" w:cs="Times New Roman"/>
                <w:color w:val="000000"/>
                <w:sz w:val="20"/>
                <w:szCs w:val="20"/>
              </w:rPr>
              <w:t xml:space="preserve">  </w:t>
            </w:r>
          </w:p>
        </w:tc>
        <w:tc>
          <w:tcPr>
            <w:tcW w:w="560" w:type="pct"/>
            <w:tcBorders>
              <w:top w:val="nil"/>
              <w:left w:val="nil"/>
              <w:bottom w:val="single" w:sz="4" w:space="0" w:color="auto"/>
              <w:right w:val="single" w:sz="4" w:space="0" w:color="auto"/>
            </w:tcBorders>
            <w:shd w:val="clear" w:color="auto" w:fill="auto"/>
            <w:noWrap/>
            <w:vAlign w:val="bottom"/>
            <w:hideMark/>
          </w:tcPr>
          <w:p w:rsidR="00970C57" w:rsidRPr="001D0E78" w:rsidRDefault="00401412"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6 667</w:t>
            </w:r>
            <w:r w:rsidR="00970C57" w:rsidRPr="001D0E78">
              <w:rPr>
                <w:rFonts w:eastAsia="Times New Roman" w:cs="Times New Roman"/>
                <w:color w:val="000000"/>
                <w:sz w:val="20"/>
                <w:szCs w:val="20"/>
              </w:rPr>
              <w:t xml:space="preserve"> </w:t>
            </w: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D21A04"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4 333</w:t>
            </w:r>
            <w:r w:rsidR="00970C57" w:rsidRPr="001D0E78">
              <w:rPr>
                <w:rFonts w:eastAsia="Times New Roman" w:cs="Times New Roman"/>
                <w:color w:val="000000"/>
                <w:sz w:val="20"/>
                <w:szCs w:val="20"/>
              </w:rPr>
              <w:t xml:space="preserve">  </w:t>
            </w: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401412"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3 333</w:t>
            </w:r>
          </w:p>
        </w:tc>
        <w:tc>
          <w:tcPr>
            <w:tcW w:w="457"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300</w:t>
            </w:r>
          </w:p>
        </w:tc>
        <w:tc>
          <w:tcPr>
            <w:tcW w:w="571" w:type="pct"/>
            <w:tcBorders>
              <w:top w:val="nil"/>
              <w:left w:val="nil"/>
              <w:bottom w:val="single" w:sz="4" w:space="0" w:color="auto"/>
              <w:right w:val="single" w:sz="4" w:space="0" w:color="auto"/>
            </w:tcBorders>
            <w:noWrap/>
            <w:vAlign w:val="bottom"/>
            <w:hideMark/>
          </w:tcPr>
          <w:p w:rsidR="00970C57" w:rsidRPr="001D0E78" w:rsidRDefault="00631811"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xml:space="preserve">4 </w:t>
            </w:r>
            <w:r w:rsidR="00371C87">
              <w:rPr>
                <w:rFonts w:eastAsia="Times New Roman" w:cs="Times New Roman"/>
                <w:color w:val="000000"/>
                <w:sz w:val="20"/>
                <w:szCs w:val="20"/>
              </w:rPr>
              <w:t>666</w:t>
            </w:r>
          </w:p>
        </w:tc>
        <w:tc>
          <w:tcPr>
            <w:tcW w:w="571" w:type="pct"/>
            <w:tcBorders>
              <w:top w:val="nil"/>
              <w:left w:val="nil"/>
              <w:bottom w:val="single" w:sz="4" w:space="0" w:color="auto"/>
              <w:right w:val="single" w:sz="4" w:space="0" w:color="auto"/>
            </w:tcBorders>
            <w:noWrap/>
            <w:vAlign w:val="bottom"/>
            <w:hideMark/>
          </w:tcPr>
          <w:p w:rsidR="00970C57" w:rsidRPr="001D0E78" w:rsidRDefault="00631811"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3</w:t>
            </w:r>
            <w:r w:rsidR="00371C87">
              <w:rPr>
                <w:rFonts w:eastAsia="Times New Roman" w:cs="Times New Roman"/>
                <w:color w:val="000000"/>
                <w:sz w:val="20"/>
                <w:szCs w:val="20"/>
              </w:rPr>
              <w:t>33</w:t>
            </w:r>
          </w:p>
        </w:tc>
      </w:tr>
      <w:tr w:rsidR="00371C87" w:rsidRPr="001D0E78" w:rsidTr="00ED144B">
        <w:trPr>
          <w:trHeight w:val="255"/>
        </w:trPr>
        <w:tc>
          <w:tcPr>
            <w:tcW w:w="537" w:type="pct"/>
            <w:tcBorders>
              <w:top w:val="nil"/>
              <w:left w:val="single" w:sz="4" w:space="0" w:color="auto"/>
              <w:bottom w:val="single" w:sz="4" w:space="0" w:color="auto"/>
              <w:right w:val="single" w:sz="4" w:space="0" w:color="auto"/>
            </w:tcBorders>
            <w:noWrap/>
            <w:vAlign w:val="bottom"/>
            <w:hideMark/>
          </w:tcPr>
          <w:p w:rsidR="00970C57" w:rsidRPr="001D0E78" w:rsidRDefault="00970C57" w:rsidP="009762FE">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Modèle 3</w:t>
            </w:r>
          </w:p>
        </w:tc>
        <w:tc>
          <w:tcPr>
            <w:tcW w:w="503" w:type="pct"/>
            <w:tcBorders>
              <w:top w:val="nil"/>
              <w:left w:val="nil"/>
              <w:bottom w:val="single" w:sz="4" w:space="0" w:color="auto"/>
              <w:right w:val="single" w:sz="4" w:space="0" w:color="auto"/>
            </w:tcBorders>
            <w:noWrap/>
            <w:vAlign w:val="bottom"/>
            <w:hideMark/>
          </w:tcPr>
          <w:p w:rsidR="00970C57" w:rsidRPr="001D0E78" w:rsidRDefault="00401412"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5</w:t>
            </w:r>
            <w:r w:rsidR="00970C57" w:rsidRPr="001D0E78">
              <w:rPr>
                <w:rFonts w:eastAsia="Times New Roman" w:cs="Times New Roman"/>
                <w:color w:val="000000"/>
                <w:sz w:val="20"/>
                <w:szCs w:val="20"/>
              </w:rPr>
              <w:t xml:space="preserve"> 000</w:t>
            </w:r>
          </w:p>
        </w:tc>
        <w:tc>
          <w:tcPr>
            <w:tcW w:w="400"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23</w:t>
            </w:r>
            <w:r w:rsidR="00401412" w:rsidRPr="001D0E78">
              <w:rPr>
                <w:rFonts w:eastAsia="Times New Roman" w:cs="Times New Roman"/>
                <w:color w:val="000000"/>
                <w:sz w:val="20"/>
                <w:szCs w:val="20"/>
              </w:rPr>
              <w:t>0</w:t>
            </w:r>
          </w:p>
        </w:tc>
        <w:tc>
          <w:tcPr>
            <w:tcW w:w="520" w:type="pct"/>
            <w:tcBorders>
              <w:top w:val="nil"/>
              <w:left w:val="nil"/>
              <w:bottom w:val="single" w:sz="4" w:space="0" w:color="auto"/>
              <w:right w:val="single" w:sz="4" w:space="0" w:color="auto"/>
            </w:tcBorders>
            <w:shd w:val="clear" w:color="auto" w:fill="auto"/>
            <w:noWrap/>
            <w:vAlign w:val="bottom"/>
            <w:hideMark/>
          </w:tcPr>
          <w:p w:rsidR="00970C57" w:rsidRPr="001D0E78" w:rsidRDefault="005552BD"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1 150</w:t>
            </w:r>
            <w:r w:rsidR="00401412" w:rsidRPr="001D0E78">
              <w:rPr>
                <w:rFonts w:eastAsia="Times New Roman" w:cs="Times New Roman"/>
                <w:color w:val="000000"/>
                <w:sz w:val="20"/>
                <w:szCs w:val="20"/>
              </w:rPr>
              <w:t xml:space="preserve"> 000</w:t>
            </w:r>
            <w:r w:rsidR="00970C57" w:rsidRPr="001D0E78">
              <w:rPr>
                <w:rFonts w:eastAsia="Times New Roman" w:cs="Times New Roman"/>
                <w:color w:val="000000"/>
                <w:sz w:val="20"/>
                <w:szCs w:val="20"/>
              </w:rPr>
              <w:t xml:space="preserve">  </w:t>
            </w:r>
          </w:p>
        </w:tc>
        <w:tc>
          <w:tcPr>
            <w:tcW w:w="560" w:type="pct"/>
            <w:tcBorders>
              <w:top w:val="nil"/>
              <w:left w:val="nil"/>
              <w:bottom w:val="single" w:sz="4" w:space="0" w:color="auto"/>
              <w:right w:val="single" w:sz="4" w:space="0" w:color="auto"/>
            </w:tcBorders>
            <w:shd w:val="clear" w:color="auto" w:fill="auto"/>
            <w:noWrap/>
            <w:vAlign w:val="bottom"/>
            <w:hideMark/>
          </w:tcPr>
          <w:p w:rsidR="00970C57" w:rsidRPr="001D0E78" w:rsidRDefault="00401412"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3 333</w:t>
            </w: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D21A04"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2 167</w:t>
            </w:r>
            <w:r w:rsidR="00970C57" w:rsidRPr="001D0E78">
              <w:rPr>
                <w:rFonts w:eastAsia="Times New Roman" w:cs="Times New Roman"/>
                <w:color w:val="000000"/>
                <w:sz w:val="20"/>
                <w:szCs w:val="20"/>
              </w:rPr>
              <w:t xml:space="preserve"> </w:t>
            </w: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401412"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1 667</w:t>
            </w:r>
          </w:p>
        </w:tc>
        <w:tc>
          <w:tcPr>
            <w:tcW w:w="457"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600</w:t>
            </w:r>
          </w:p>
        </w:tc>
        <w:tc>
          <w:tcPr>
            <w:tcW w:w="571" w:type="pct"/>
            <w:tcBorders>
              <w:top w:val="nil"/>
              <w:left w:val="nil"/>
              <w:bottom w:val="single" w:sz="4" w:space="0" w:color="auto"/>
              <w:right w:val="single" w:sz="4" w:space="0" w:color="auto"/>
            </w:tcBorders>
            <w:noWrap/>
            <w:vAlign w:val="bottom"/>
            <w:hideMark/>
          </w:tcPr>
          <w:p w:rsidR="00970C57" w:rsidRPr="001D0E78" w:rsidRDefault="00371C87"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2 334</w:t>
            </w:r>
          </w:p>
        </w:tc>
        <w:tc>
          <w:tcPr>
            <w:tcW w:w="571" w:type="pct"/>
            <w:tcBorders>
              <w:top w:val="nil"/>
              <w:left w:val="nil"/>
              <w:bottom w:val="single" w:sz="4" w:space="0" w:color="auto"/>
              <w:right w:val="single" w:sz="4" w:space="0" w:color="auto"/>
            </w:tcBorders>
            <w:noWrap/>
            <w:vAlign w:val="bottom"/>
            <w:hideMark/>
          </w:tcPr>
          <w:p w:rsidR="00970C57" w:rsidRPr="001D0E78" w:rsidRDefault="00631811"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1</w:t>
            </w:r>
            <w:r w:rsidR="00371C87">
              <w:rPr>
                <w:rFonts w:eastAsia="Times New Roman" w:cs="Times New Roman"/>
                <w:color w:val="000000"/>
                <w:sz w:val="20"/>
                <w:szCs w:val="20"/>
              </w:rPr>
              <w:t>67</w:t>
            </w:r>
          </w:p>
        </w:tc>
      </w:tr>
      <w:tr w:rsidR="00371C87" w:rsidRPr="001D0E78" w:rsidTr="00ED144B">
        <w:trPr>
          <w:trHeight w:val="255"/>
        </w:trPr>
        <w:tc>
          <w:tcPr>
            <w:tcW w:w="537"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70C57" w:rsidRPr="001D0E78" w:rsidRDefault="00970C57" w:rsidP="009762FE">
            <w:pPr>
              <w:spacing w:after="0" w:line="240" w:lineRule="auto"/>
              <w:ind w:left="20"/>
              <w:jc w:val="center"/>
              <w:rPr>
                <w:rFonts w:eastAsia="Times New Roman" w:cs="Times New Roman"/>
                <w:b/>
                <w:bCs/>
                <w:color w:val="000000"/>
                <w:sz w:val="20"/>
                <w:szCs w:val="20"/>
              </w:rPr>
            </w:pPr>
            <w:r w:rsidRPr="001D0E78">
              <w:rPr>
                <w:rFonts w:eastAsia="Times New Roman" w:cs="Times New Roman"/>
                <w:b/>
                <w:bCs/>
                <w:color w:val="000000"/>
                <w:sz w:val="20"/>
                <w:szCs w:val="20"/>
              </w:rPr>
              <w:t>Total savane</w:t>
            </w:r>
          </w:p>
        </w:tc>
        <w:tc>
          <w:tcPr>
            <w:tcW w:w="503"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401412" w:rsidP="00D54F55">
            <w:pPr>
              <w:spacing w:after="0" w:line="240" w:lineRule="auto"/>
              <w:ind w:left="20"/>
              <w:jc w:val="center"/>
              <w:rPr>
                <w:rFonts w:eastAsia="Times New Roman" w:cs="Times New Roman"/>
                <w:b/>
                <w:bCs/>
                <w:color w:val="000000"/>
                <w:sz w:val="20"/>
                <w:szCs w:val="20"/>
              </w:rPr>
            </w:pPr>
            <w:r w:rsidRPr="001D0E78">
              <w:rPr>
                <w:rFonts w:eastAsia="Times New Roman" w:cs="Times New Roman"/>
                <w:b/>
                <w:bCs/>
                <w:color w:val="000000"/>
                <w:sz w:val="20"/>
                <w:szCs w:val="20"/>
              </w:rPr>
              <w:t>35</w:t>
            </w:r>
            <w:r w:rsidR="00970C57" w:rsidRPr="001D0E78">
              <w:rPr>
                <w:rFonts w:eastAsia="Times New Roman" w:cs="Times New Roman"/>
                <w:b/>
                <w:bCs/>
                <w:color w:val="000000"/>
                <w:sz w:val="20"/>
                <w:szCs w:val="20"/>
              </w:rPr>
              <w:t xml:space="preserve"> 000</w:t>
            </w:r>
          </w:p>
        </w:tc>
        <w:tc>
          <w:tcPr>
            <w:tcW w:w="40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5552BD" w:rsidP="00D54F55">
            <w:pPr>
              <w:spacing w:after="0" w:line="240" w:lineRule="auto"/>
              <w:ind w:left="20"/>
              <w:jc w:val="center"/>
              <w:rPr>
                <w:rFonts w:eastAsia="Times New Roman" w:cs="Times New Roman"/>
                <w:b/>
                <w:bCs/>
                <w:color w:val="000000"/>
                <w:sz w:val="20"/>
                <w:szCs w:val="20"/>
              </w:rPr>
            </w:pPr>
            <w:r>
              <w:rPr>
                <w:rFonts w:eastAsia="Times New Roman" w:cs="Times New Roman"/>
                <w:b/>
                <w:bCs/>
                <w:color w:val="000000"/>
                <w:sz w:val="20"/>
                <w:szCs w:val="20"/>
              </w:rPr>
              <w:t>3 85</w:t>
            </w:r>
            <w:r w:rsidR="00401412" w:rsidRPr="001D0E78">
              <w:rPr>
                <w:rFonts w:eastAsia="Times New Roman" w:cs="Times New Roman"/>
                <w:b/>
                <w:bCs/>
                <w:color w:val="000000"/>
                <w:sz w:val="20"/>
                <w:szCs w:val="20"/>
              </w:rPr>
              <w:t>0 000</w:t>
            </w:r>
            <w:r w:rsidR="00970C57" w:rsidRPr="001D0E78">
              <w:rPr>
                <w:rFonts w:eastAsia="Times New Roman" w:cs="Times New Roman"/>
                <w:b/>
                <w:bCs/>
                <w:color w:val="000000"/>
                <w:sz w:val="20"/>
                <w:szCs w:val="20"/>
              </w:rPr>
              <w:t xml:space="preserve">  </w:t>
            </w:r>
          </w:p>
        </w:tc>
        <w:tc>
          <w:tcPr>
            <w:tcW w:w="56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401412" w:rsidP="00D54F55">
            <w:pPr>
              <w:spacing w:after="0" w:line="240" w:lineRule="auto"/>
              <w:ind w:left="20"/>
              <w:jc w:val="center"/>
              <w:rPr>
                <w:rFonts w:eastAsia="Times New Roman" w:cs="Times New Roman"/>
                <w:b/>
                <w:bCs/>
                <w:color w:val="000000"/>
                <w:sz w:val="20"/>
                <w:szCs w:val="20"/>
              </w:rPr>
            </w:pPr>
            <w:r w:rsidRPr="001D0E78">
              <w:rPr>
                <w:rFonts w:eastAsia="Times New Roman" w:cs="Times New Roman"/>
                <w:b/>
                <w:bCs/>
                <w:color w:val="000000"/>
                <w:sz w:val="20"/>
                <w:szCs w:val="20"/>
              </w:rPr>
              <w:t>30 000</w:t>
            </w:r>
            <w:r w:rsidR="00970C57" w:rsidRPr="001D0E78">
              <w:rPr>
                <w:rFonts w:eastAsia="Times New Roman" w:cs="Times New Roman"/>
                <w:b/>
                <w:bCs/>
                <w:color w:val="000000"/>
                <w:sz w:val="20"/>
                <w:szCs w:val="20"/>
              </w:rPr>
              <w:t xml:space="preserve">  </w:t>
            </w:r>
          </w:p>
        </w:tc>
        <w:tc>
          <w:tcPr>
            <w:tcW w:w="44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D21A04" w:rsidP="00D54F55">
            <w:pPr>
              <w:spacing w:after="0" w:line="240" w:lineRule="auto"/>
              <w:ind w:left="20"/>
              <w:jc w:val="center"/>
              <w:rPr>
                <w:rFonts w:eastAsia="Times New Roman" w:cs="Times New Roman"/>
                <w:b/>
                <w:bCs/>
                <w:color w:val="000000"/>
                <w:sz w:val="20"/>
                <w:szCs w:val="20"/>
              </w:rPr>
            </w:pPr>
            <w:r>
              <w:rPr>
                <w:rFonts w:eastAsia="Times New Roman" w:cs="Times New Roman"/>
                <w:b/>
                <w:bCs/>
                <w:color w:val="000000"/>
                <w:sz w:val="20"/>
                <w:szCs w:val="20"/>
              </w:rPr>
              <w:t>5 500</w:t>
            </w:r>
            <w:r w:rsidR="00970C57" w:rsidRPr="001D0E78">
              <w:rPr>
                <w:rFonts w:eastAsia="Times New Roman" w:cs="Times New Roman"/>
                <w:b/>
                <w:bCs/>
                <w:color w:val="000000"/>
                <w:sz w:val="20"/>
                <w:szCs w:val="20"/>
              </w:rPr>
              <w:t xml:space="preserve">  </w:t>
            </w:r>
          </w:p>
        </w:tc>
        <w:tc>
          <w:tcPr>
            <w:tcW w:w="44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472404" w:rsidP="00D54F55">
            <w:pPr>
              <w:spacing w:after="0" w:line="240" w:lineRule="auto"/>
              <w:ind w:left="20"/>
              <w:jc w:val="center"/>
              <w:rPr>
                <w:rFonts w:eastAsia="Times New Roman" w:cs="Times New Roman"/>
                <w:b/>
                <w:bCs/>
                <w:color w:val="000000"/>
                <w:sz w:val="20"/>
                <w:szCs w:val="20"/>
              </w:rPr>
            </w:pPr>
            <w:r w:rsidRPr="001D0E78">
              <w:rPr>
                <w:rFonts w:eastAsia="Times New Roman" w:cs="Times New Roman"/>
                <w:b/>
                <w:bCs/>
                <w:color w:val="000000"/>
                <w:sz w:val="20"/>
                <w:szCs w:val="20"/>
              </w:rPr>
              <w:t>5 000</w:t>
            </w:r>
          </w:p>
        </w:tc>
        <w:tc>
          <w:tcPr>
            <w:tcW w:w="457"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571"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371C87"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7 000</w:t>
            </w:r>
          </w:p>
        </w:tc>
        <w:tc>
          <w:tcPr>
            <w:tcW w:w="571"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371C87" w:rsidP="00D54F55">
            <w:pPr>
              <w:spacing w:after="0" w:line="240" w:lineRule="auto"/>
              <w:ind w:left="20"/>
              <w:jc w:val="center"/>
              <w:rPr>
                <w:rFonts w:eastAsia="Times New Roman" w:cs="Times New Roman"/>
                <w:b/>
                <w:bCs/>
                <w:color w:val="000000"/>
                <w:sz w:val="20"/>
                <w:szCs w:val="20"/>
              </w:rPr>
            </w:pPr>
            <w:r>
              <w:rPr>
                <w:rFonts w:eastAsia="Times New Roman" w:cs="Times New Roman"/>
                <w:b/>
                <w:bCs/>
                <w:color w:val="000000"/>
                <w:sz w:val="20"/>
                <w:szCs w:val="20"/>
              </w:rPr>
              <w:t>500</w:t>
            </w:r>
          </w:p>
        </w:tc>
      </w:tr>
      <w:tr w:rsidR="00371C87" w:rsidRPr="001D0E78" w:rsidTr="00ED144B">
        <w:trPr>
          <w:trHeight w:val="765"/>
        </w:trPr>
        <w:tc>
          <w:tcPr>
            <w:tcW w:w="537" w:type="pct"/>
            <w:tcBorders>
              <w:top w:val="nil"/>
              <w:left w:val="single" w:sz="4" w:space="0" w:color="auto"/>
              <w:bottom w:val="single" w:sz="4" w:space="0" w:color="auto"/>
              <w:right w:val="single" w:sz="4" w:space="0" w:color="auto"/>
            </w:tcBorders>
            <w:vAlign w:val="bottom"/>
            <w:hideMark/>
          </w:tcPr>
          <w:p w:rsidR="00970C57" w:rsidRPr="001D0E78" w:rsidRDefault="00970C57" w:rsidP="009762FE">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Cultures pérennes en forêt</w:t>
            </w:r>
          </w:p>
        </w:tc>
        <w:tc>
          <w:tcPr>
            <w:tcW w:w="503"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400"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520" w:type="pct"/>
            <w:tcBorders>
              <w:top w:val="nil"/>
              <w:left w:val="nil"/>
              <w:bottom w:val="single" w:sz="4" w:space="0" w:color="auto"/>
              <w:right w:val="single" w:sz="4" w:space="0" w:color="auto"/>
            </w:tcBorders>
            <w:shd w:val="clear" w:color="auto" w:fill="auto"/>
            <w:noWrap/>
            <w:vAlign w:val="center"/>
            <w:hideMark/>
          </w:tcPr>
          <w:p w:rsidR="00970C57" w:rsidRPr="001D0E78" w:rsidRDefault="00560E9A"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2 600</w:t>
            </w:r>
            <w:r w:rsidR="009F2B46">
              <w:rPr>
                <w:rFonts w:eastAsia="Times New Roman" w:cs="Times New Roman"/>
                <w:color w:val="000000"/>
                <w:sz w:val="20"/>
                <w:szCs w:val="20"/>
              </w:rPr>
              <w:t xml:space="preserve"> 000</w:t>
            </w:r>
            <w:r w:rsidR="00970C57" w:rsidRPr="001D0E78">
              <w:rPr>
                <w:rFonts w:eastAsia="Times New Roman" w:cs="Times New Roman"/>
                <w:color w:val="000000"/>
                <w:sz w:val="20"/>
                <w:szCs w:val="20"/>
              </w:rPr>
              <w:t xml:space="preserve">  </w:t>
            </w:r>
          </w:p>
        </w:tc>
        <w:tc>
          <w:tcPr>
            <w:tcW w:w="560"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440" w:type="pct"/>
            <w:tcBorders>
              <w:top w:val="nil"/>
              <w:left w:val="nil"/>
              <w:bottom w:val="single" w:sz="4" w:space="0" w:color="auto"/>
              <w:right w:val="single" w:sz="4" w:space="0" w:color="auto"/>
            </w:tcBorders>
            <w:shd w:val="clear" w:color="auto" w:fill="auto"/>
            <w:noWrap/>
            <w:vAlign w:val="center"/>
            <w:hideMark/>
          </w:tcPr>
          <w:p w:rsidR="00970C57" w:rsidRPr="001D0E78" w:rsidRDefault="009F2B46"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10 0</w:t>
            </w:r>
            <w:r w:rsidR="00C456A2">
              <w:rPr>
                <w:rFonts w:eastAsia="Times New Roman" w:cs="Times New Roman"/>
                <w:color w:val="000000"/>
                <w:sz w:val="20"/>
                <w:szCs w:val="20"/>
              </w:rPr>
              <w:t>00</w:t>
            </w:r>
          </w:p>
        </w:tc>
        <w:tc>
          <w:tcPr>
            <w:tcW w:w="457" w:type="pct"/>
            <w:tcBorders>
              <w:top w:val="nil"/>
              <w:left w:val="nil"/>
              <w:bottom w:val="single" w:sz="4" w:space="0" w:color="auto"/>
              <w:right w:val="single" w:sz="4" w:space="0" w:color="auto"/>
            </w:tcBorders>
            <w:shd w:val="clear" w:color="auto" w:fill="auto"/>
            <w:noWrap/>
            <w:vAlign w:val="center"/>
            <w:hideMark/>
          </w:tcPr>
          <w:p w:rsidR="00970C57" w:rsidRPr="001D0E78" w:rsidRDefault="00560E9A"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260</w:t>
            </w:r>
          </w:p>
        </w:tc>
        <w:tc>
          <w:tcPr>
            <w:tcW w:w="571" w:type="pct"/>
            <w:tcBorders>
              <w:top w:val="nil"/>
              <w:left w:val="nil"/>
              <w:bottom w:val="single" w:sz="4" w:space="0" w:color="auto"/>
              <w:right w:val="single" w:sz="4" w:space="0" w:color="auto"/>
            </w:tcBorders>
            <w:shd w:val="clear" w:color="auto" w:fill="auto"/>
            <w:noWrap/>
            <w:vAlign w:val="center"/>
            <w:hideMark/>
          </w:tcPr>
          <w:p w:rsidR="00970C57" w:rsidRPr="001D0E78" w:rsidRDefault="009F2B46"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14 000</w:t>
            </w:r>
          </w:p>
        </w:tc>
        <w:tc>
          <w:tcPr>
            <w:tcW w:w="571" w:type="pct"/>
            <w:tcBorders>
              <w:top w:val="nil"/>
              <w:left w:val="nil"/>
              <w:bottom w:val="single" w:sz="4" w:space="0" w:color="auto"/>
              <w:right w:val="single" w:sz="4" w:space="0" w:color="auto"/>
            </w:tcBorders>
            <w:shd w:val="clear" w:color="auto" w:fill="auto"/>
            <w:noWrap/>
            <w:vAlign w:val="center"/>
            <w:hideMark/>
          </w:tcPr>
          <w:p w:rsidR="00970C57" w:rsidRPr="001D0E78" w:rsidRDefault="009F2B46"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1 000</w:t>
            </w:r>
          </w:p>
        </w:tc>
      </w:tr>
      <w:tr w:rsidR="00371C87" w:rsidRPr="001D0E78" w:rsidTr="00ED144B">
        <w:trPr>
          <w:trHeight w:val="510"/>
        </w:trPr>
        <w:tc>
          <w:tcPr>
            <w:tcW w:w="537" w:type="pct"/>
            <w:tcBorders>
              <w:top w:val="nil"/>
              <w:left w:val="single" w:sz="4" w:space="0" w:color="auto"/>
              <w:bottom w:val="single" w:sz="4" w:space="0" w:color="auto"/>
              <w:right w:val="single" w:sz="4" w:space="0" w:color="auto"/>
            </w:tcBorders>
            <w:vAlign w:val="bottom"/>
            <w:hideMark/>
          </w:tcPr>
          <w:p w:rsidR="00970C57" w:rsidRPr="001D0E78" w:rsidRDefault="00970C57" w:rsidP="009762FE">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Forêts protégées</w:t>
            </w:r>
          </w:p>
        </w:tc>
        <w:tc>
          <w:tcPr>
            <w:tcW w:w="503" w:type="pct"/>
            <w:tcBorders>
              <w:top w:val="nil"/>
              <w:left w:val="nil"/>
              <w:bottom w:val="single" w:sz="4" w:space="0" w:color="auto"/>
              <w:right w:val="single" w:sz="4" w:space="0" w:color="auto"/>
            </w:tcBorders>
            <w:noWrap/>
            <w:vAlign w:val="center"/>
            <w:hideMark/>
          </w:tcPr>
          <w:p w:rsidR="00970C57" w:rsidRPr="001D0E78" w:rsidRDefault="009F2B46"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10</w:t>
            </w:r>
            <w:r w:rsidR="00970C57" w:rsidRPr="001D0E78">
              <w:rPr>
                <w:rFonts w:eastAsia="Times New Roman" w:cs="Times New Roman"/>
                <w:color w:val="000000"/>
                <w:sz w:val="20"/>
                <w:szCs w:val="20"/>
              </w:rPr>
              <w:t xml:space="preserve"> 000</w:t>
            </w:r>
          </w:p>
        </w:tc>
        <w:tc>
          <w:tcPr>
            <w:tcW w:w="400" w:type="pct"/>
            <w:tcBorders>
              <w:top w:val="nil"/>
              <w:left w:val="nil"/>
              <w:bottom w:val="single" w:sz="4" w:space="0" w:color="auto"/>
              <w:right w:val="single" w:sz="4" w:space="0" w:color="auto"/>
            </w:tcBorders>
            <w:noWrap/>
            <w:vAlign w:val="center"/>
            <w:hideMark/>
          </w:tcPr>
          <w:p w:rsidR="00970C57" w:rsidRPr="001D0E78" w:rsidRDefault="00560E9A"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3</w:t>
            </w:r>
            <w:r w:rsidR="009F2B46">
              <w:rPr>
                <w:rFonts w:eastAsia="Times New Roman" w:cs="Times New Roman"/>
                <w:color w:val="000000"/>
                <w:sz w:val="20"/>
                <w:szCs w:val="20"/>
              </w:rPr>
              <w:t>0</w:t>
            </w:r>
          </w:p>
        </w:tc>
        <w:tc>
          <w:tcPr>
            <w:tcW w:w="520" w:type="pct"/>
            <w:tcBorders>
              <w:top w:val="nil"/>
              <w:left w:val="nil"/>
              <w:bottom w:val="single" w:sz="4" w:space="0" w:color="auto"/>
              <w:right w:val="single" w:sz="4" w:space="0" w:color="auto"/>
            </w:tcBorders>
            <w:noWrap/>
            <w:vAlign w:val="center"/>
            <w:hideMark/>
          </w:tcPr>
          <w:p w:rsidR="00970C57" w:rsidRPr="001D0E78" w:rsidRDefault="00560E9A" w:rsidP="00D54F55">
            <w:pPr>
              <w:spacing w:after="0" w:line="240" w:lineRule="auto"/>
              <w:ind w:left="20"/>
              <w:jc w:val="center"/>
              <w:rPr>
                <w:rFonts w:eastAsia="Times New Roman" w:cs="Times New Roman"/>
                <w:color w:val="000000"/>
                <w:sz w:val="20"/>
                <w:szCs w:val="20"/>
              </w:rPr>
            </w:pPr>
            <w:r>
              <w:rPr>
                <w:rFonts w:eastAsia="Times New Roman" w:cs="Times New Roman"/>
                <w:color w:val="000000"/>
                <w:sz w:val="20"/>
                <w:szCs w:val="20"/>
              </w:rPr>
              <w:t>3</w:t>
            </w:r>
            <w:r w:rsidR="00970C57" w:rsidRPr="001D0E78">
              <w:rPr>
                <w:rFonts w:eastAsia="Times New Roman" w:cs="Times New Roman"/>
                <w:color w:val="000000"/>
                <w:sz w:val="20"/>
                <w:szCs w:val="20"/>
              </w:rPr>
              <w:t xml:space="preserve">00 000  </w:t>
            </w:r>
          </w:p>
        </w:tc>
        <w:tc>
          <w:tcPr>
            <w:tcW w:w="560"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440"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440"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457"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571"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c>
          <w:tcPr>
            <w:tcW w:w="571" w:type="pct"/>
            <w:tcBorders>
              <w:top w:val="nil"/>
              <w:left w:val="nil"/>
              <w:bottom w:val="single" w:sz="4" w:space="0" w:color="auto"/>
              <w:right w:val="single" w:sz="4" w:space="0" w:color="auto"/>
            </w:tcBorders>
            <w:noWrap/>
            <w:vAlign w:val="bottom"/>
            <w:hideMark/>
          </w:tcPr>
          <w:p w:rsidR="00970C57" w:rsidRPr="001D0E78" w:rsidRDefault="00970C57" w:rsidP="00D54F55">
            <w:pPr>
              <w:spacing w:after="0" w:line="240" w:lineRule="auto"/>
              <w:ind w:left="20"/>
              <w:jc w:val="center"/>
              <w:rPr>
                <w:rFonts w:eastAsia="Times New Roman" w:cs="Times New Roman"/>
                <w:color w:val="000000"/>
                <w:sz w:val="20"/>
                <w:szCs w:val="20"/>
              </w:rPr>
            </w:pPr>
            <w:r w:rsidRPr="001D0E78">
              <w:rPr>
                <w:rFonts w:eastAsia="Times New Roman" w:cs="Times New Roman"/>
                <w:color w:val="000000"/>
                <w:sz w:val="20"/>
                <w:szCs w:val="20"/>
              </w:rPr>
              <w:t> </w:t>
            </w:r>
          </w:p>
        </w:tc>
      </w:tr>
      <w:tr w:rsidR="00371C87" w:rsidRPr="001D0E78" w:rsidTr="00ED144B">
        <w:trPr>
          <w:trHeight w:val="255"/>
        </w:trPr>
        <w:tc>
          <w:tcPr>
            <w:tcW w:w="537"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70C57" w:rsidRPr="001D0E78" w:rsidRDefault="00970C57" w:rsidP="009762FE">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Total forêt</w:t>
            </w:r>
          </w:p>
        </w:tc>
        <w:tc>
          <w:tcPr>
            <w:tcW w:w="503"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F2B46"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10</w:t>
            </w:r>
            <w:r w:rsidR="00970C57" w:rsidRPr="001D0E78">
              <w:rPr>
                <w:rFonts w:eastAsia="Times New Roman" w:cs="Times New Roman"/>
                <w:b/>
                <w:color w:val="000000"/>
                <w:sz w:val="20"/>
                <w:szCs w:val="20"/>
              </w:rPr>
              <w:t xml:space="preserve"> 000</w:t>
            </w:r>
          </w:p>
        </w:tc>
        <w:tc>
          <w:tcPr>
            <w:tcW w:w="40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560E9A"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2 9</w:t>
            </w:r>
            <w:r w:rsidR="009F2B46">
              <w:rPr>
                <w:rFonts w:eastAsia="Times New Roman" w:cs="Times New Roman"/>
                <w:b/>
                <w:color w:val="000000"/>
                <w:sz w:val="20"/>
                <w:szCs w:val="20"/>
              </w:rPr>
              <w:t>00</w:t>
            </w:r>
            <w:r w:rsidR="00970C57" w:rsidRPr="001D0E78">
              <w:rPr>
                <w:rFonts w:eastAsia="Times New Roman" w:cs="Times New Roman"/>
                <w:b/>
                <w:color w:val="000000"/>
                <w:sz w:val="20"/>
                <w:szCs w:val="20"/>
              </w:rPr>
              <w:t xml:space="preserve"> 000  </w:t>
            </w:r>
          </w:p>
        </w:tc>
        <w:tc>
          <w:tcPr>
            <w:tcW w:w="56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 </w:t>
            </w:r>
          </w:p>
        </w:tc>
        <w:tc>
          <w:tcPr>
            <w:tcW w:w="44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 </w:t>
            </w:r>
          </w:p>
        </w:tc>
        <w:tc>
          <w:tcPr>
            <w:tcW w:w="440"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F2B46"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10 000</w:t>
            </w:r>
          </w:p>
        </w:tc>
        <w:tc>
          <w:tcPr>
            <w:tcW w:w="457"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70C57" w:rsidP="00D54F55">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 </w:t>
            </w:r>
          </w:p>
        </w:tc>
        <w:tc>
          <w:tcPr>
            <w:tcW w:w="571"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F2B46" w:rsidP="00D54F55">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14 0</w:t>
            </w:r>
            <w:r w:rsidR="00505771">
              <w:rPr>
                <w:rFonts w:eastAsia="Times New Roman" w:cs="Times New Roman"/>
                <w:b/>
                <w:color w:val="000000"/>
                <w:sz w:val="20"/>
                <w:szCs w:val="20"/>
              </w:rPr>
              <w:t>00</w:t>
            </w:r>
          </w:p>
        </w:tc>
        <w:tc>
          <w:tcPr>
            <w:tcW w:w="571" w:type="pct"/>
            <w:tcBorders>
              <w:top w:val="nil"/>
              <w:left w:val="nil"/>
              <w:bottom w:val="single" w:sz="4" w:space="0" w:color="auto"/>
              <w:right w:val="single" w:sz="4" w:space="0" w:color="auto"/>
            </w:tcBorders>
            <w:shd w:val="clear" w:color="auto" w:fill="DEEAF6" w:themeFill="accent1" w:themeFillTint="33"/>
            <w:noWrap/>
            <w:vAlign w:val="bottom"/>
            <w:hideMark/>
          </w:tcPr>
          <w:p w:rsidR="00970C57" w:rsidRPr="001D0E78" w:rsidRDefault="009F2B46" w:rsidP="009F2B46">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1 000</w:t>
            </w:r>
          </w:p>
        </w:tc>
      </w:tr>
      <w:tr w:rsidR="00371C87" w:rsidRPr="001D0E78" w:rsidTr="00ED144B">
        <w:trPr>
          <w:trHeight w:val="255"/>
        </w:trPr>
        <w:tc>
          <w:tcPr>
            <w:tcW w:w="537" w:type="pct"/>
            <w:tcBorders>
              <w:top w:val="nil"/>
              <w:left w:val="single" w:sz="4" w:space="0" w:color="auto"/>
              <w:bottom w:val="single" w:sz="4" w:space="0" w:color="auto"/>
              <w:right w:val="single" w:sz="4" w:space="0" w:color="auto"/>
            </w:tcBorders>
            <w:shd w:val="clear" w:color="auto" w:fill="auto"/>
            <w:noWrap/>
            <w:vAlign w:val="bottom"/>
            <w:hideMark/>
          </w:tcPr>
          <w:p w:rsidR="00970C57" w:rsidRPr="001D0E78" w:rsidRDefault="00970C57" w:rsidP="009762FE">
            <w:pPr>
              <w:spacing w:after="0" w:line="240" w:lineRule="auto"/>
              <w:ind w:left="20"/>
              <w:jc w:val="center"/>
              <w:rPr>
                <w:rFonts w:eastAsia="Times New Roman" w:cs="Times New Roman"/>
                <w:b/>
                <w:color w:val="000000"/>
                <w:sz w:val="20"/>
                <w:szCs w:val="20"/>
              </w:rPr>
            </w:pPr>
            <w:r w:rsidRPr="001D0E78">
              <w:rPr>
                <w:rFonts w:eastAsia="Times New Roman" w:cs="Times New Roman"/>
                <w:b/>
                <w:color w:val="000000"/>
                <w:sz w:val="20"/>
                <w:szCs w:val="20"/>
              </w:rPr>
              <w:t>Total général</w:t>
            </w:r>
          </w:p>
        </w:tc>
        <w:tc>
          <w:tcPr>
            <w:tcW w:w="503" w:type="pct"/>
            <w:tcBorders>
              <w:top w:val="nil"/>
              <w:left w:val="nil"/>
              <w:bottom w:val="single" w:sz="4" w:space="0" w:color="auto"/>
              <w:right w:val="single" w:sz="4" w:space="0" w:color="auto"/>
            </w:tcBorders>
            <w:shd w:val="clear" w:color="auto" w:fill="auto"/>
            <w:noWrap/>
            <w:vAlign w:val="bottom"/>
            <w:hideMark/>
          </w:tcPr>
          <w:p w:rsidR="00970C57" w:rsidRPr="001D0E78" w:rsidRDefault="00D21A04" w:rsidP="00D54F55">
            <w:pPr>
              <w:spacing w:after="0" w:line="240" w:lineRule="auto"/>
              <w:ind w:left="20"/>
              <w:jc w:val="center"/>
              <w:rPr>
                <w:rFonts w:eastAsia="Times New Roman" w:cs="Times New Roman"/>
                <w:b/>
                <w:bCs/>
                <w:color w:val="000000"/>
                <w:sz w:val="20"/>
                <w:szCs w:val="20"/>
              </w:rPr>
            </w:pPr>
            <w:r>
              <w:rPr>
                <w:rFonts w:eastAsia="Times New Roman" w:cs="Times New Roman"/>
                <w:b/>
                <w:bCs/>
                <w:color w:val="000000"/>
                <w:sz w:val="20"/>
                <w:szCs w:val="20"/>
              </w:rPr>
              <w:t>45</w:t>
            </w:r>
            <w:r w:rsidR="00970C57" w:rsidRPr="001D0E78">
              <w:rPr>
                <w:rFonts w:eastAsia="Times New Roman" w:cs="Times New Roman"/>
                <w:b/>
                <w:bCs/>
                <w:color w:val="000000"/>
                <w:sz w:val="20"/>
                <w:szCs w:val="20"/>
              </w:rPr>
              <w:t xml:space="preserve"> 000</w:t>
            </w:r>
          </w:p>
        </w:tc>
        <w:tc>
          <w:tcPr>
            <w:tcW w:w="400"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ind w:left="20"/>
              <w:rPr>
                <w:rFonts w:eastAsia="Times New Roman" w:cs="Times New Roman"/>
                <w:b/>
                <w:bCs/>
                <w:color w:val="000000"/>
                <w:sz w:val="20"/>
                <w:szCs w:val="20"/>
              </w:rPr>
            </w:pPr>
          </w:p>
        </w:tc>
        <w:tc>
          <w:tcPr>
            <w:tcW w:w="520" w:type="pct"/>
            <w:tcBorders>
              <w:top w:val="nil"/>
              <w:left w:val="nil"/>
              <w:bottom w:val="single" w:sz="4" w:space="0" w:color="auto"/>
              <w:right w:val="single" w:sz="4" w:space="0" w:color="auto"/>
            </w:tcBorders>
            <w:shd w:val="clear" w:color="auto" w:fill="auto"/>
            <w:noWrap/>
            <w:vAlign w:val="bottom"/>
            <w:hideMark/>
          </w:tcPr>
          <w:p w:rsidR="00970C57" w:rsidRPr="001D0E78" w:rsidRDefault="00560E9A" w:rsidP="00D54F55">
            <w:pPr>
              <w:spacing w:after="0" w:line="240" w:lineRule="auto"/>
              <w:ind w:left="20"/>
              <w:jc w:val="center"/>
              <w:rPr>
                <w:rFonts w:eastAsia="Times New Roman" w:cs="Times New Roman"/>
                <w:b/>
                <w:bCs/>
                <w:color w:val="000000"/>
                <w:sz w:val="20"/>
                <w:szCs w:val="20"/>
              </w:rPr>
            </w:pPr>
            <w:r>
              <w:rPr>
                <w:rFonts w:eastAsia="Times New Roman" w:cs="Times New Roman"/>
                <w:b/>
                <w:bCs/>
                <w:color w:val="000000"/>
                <w:sz w:val="20"/>
                <w:szCs w:val="20"/>
              </w:rPr>
              <w:t>6 75</w:t>
            </w:r>
            <w:r w:rsidR="009F2B46">
              <w:rPr>
                <w:rFonts w:eastAsia="Times New Roman" w:cs="Times New Roman"/>
                <w:b/>
                <w:bCs/>
                <w:color w:val="000000"/>
                <w:sz w:val="20"/>
                <w:szCs w:val="20"/>
              </w:rPr>
              <w:t>0</w:t>
            </w:r>
            <w:r w:rsidR="009762FE" w:rsidRPr="001D0E78">
              <w:rPr>
                <w:rFonts w:eastAsia="Times New Roman" w:cs="Times New Roman"/>
                <w:b/>
                <w:bCs/>
                <w:color w:val="000000"/>
                <w:sz w:val="20"/>
                <w:szCs w:val="20"/>
              </w:rPr>
              <w:t xml:space="preserve"> 00</w:t>
            </w:r>
            <w:r w:rsidR="00970C57" w:rsidRPr="001D0E78">
              <w:rPr>
                <w:rFonts w:eastAsia="Times New Roman" w:cs="Times New Roman"/>
                <w:b/>
                <w:bCs/>
                <w:color w:val="000000"/>
                <w:sz w:val="20"/>
                <w:szCs w:val="20"/>
              </w:rPr>
              <w:t>0</w:t>
            </w:r>
          </w:p>
        </w:tc>
        <w:tc>
          <w:tcPr>
            <w:tcW w:w="560"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ind w:left="20"/>
              <w:rPr>
                <w:rFonts w:eastAsia="Times New Roman" w:cs="Times New Roman"/>
                <w:b/>
                <w:bCs/>
                <w:color w:val="000000"/>
                <w:sz w:val="20"/>
                <w:szCs w:val="20"/>
              </w:rPr>
            </w:pP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spacing w:after="0"/>
              <w:ind w:left="20"/>
              <w:rPr>
                <w:sz w:val="20"/>
                <w:szCs w:val="20"/>
                <w:lang w:val="en-US"/>
              </w:rPr>
            </w:pPr>
          </w:p>
        </w:tc>
        <w:tc>
          <w:tcPr>
            <w:tcW w:w="440" w:type="pct"/>
            <w:tcBorders>
              <w:top w:val="nil"/>
              <w:left w:val="nil"/>
              <w:bottom w:val="single" w:sz="4" w:space="0" w:color="auto"/>
              <w:right w:val="single" w:sz="4" w:space="0" w:color="auto"/>
            </w:tcBorders>
            <w:shd w:val="clear" w:color="auto" w:fill="auto"/>
            <w:noWrap/>
            <w:vAlign w:val="bottom"/>
            <w:hideMark/>
          </w:tcPr>
          <w:p w:rsidR="00970C57" w:rsidRPr="001D0E78" w:rsidRDefault="009F2B46" w:rsidP="00D54F55">
            <w:pPr>
              <w:spacing w:after="0" w:line="240" w:lineRule="auto"/>
              <w:ind w:left="20"/>
              <w:jc w:val="center"/>
              <w:rPr>
                <w:rFonts w:eastAsia="Times New Roman" w:cs="Times New Roman"/>
                <w:b/>
                <w:bCs/>
                <w:color w:val="000000"/>
                <w:sz w:val="20"/>
                <w:szCs w:val="20"/>
              </w:rPr>
            </w:pPr>
            <w:r>
              <w:rPr>
                <w:rFonts w:eastAsia="Times New Roman" w:cs="Times New Roman"/>
                <w:b/>
                <w:bCs/>
                <w:color w:val="000000"/>
                <w:sz w:val="20"/>
                <w:szCs w:val="20"/>
              </w:rPr>
              <w:t>15 000</w:t>
            </w:r>
          </w:p>
        </w:tc>
        <w:tc>
          <w:tcPr>
            <w:tcW w:w="457" w:type="pct"/>
            <w:tcBorders>
              <w:top w:val="nil"/>
              <w:left w:val="nil"/>
              <w:bottom w:val="single" w:sz="4" w:space="0" w:color="auto"/>
              <w:right w:val="single" w:sz="4" w:space="0" w:color="auto"/>
            </w:tcBorders>
            <w:shd w:val="clear" w:color="auto" w:fill="auto"/>
            <w:noWrap/>
            <w:vAlign w:val="bottom"/>
            <w:hideMark/>
          </w:tcPr>
          <w:p w:rsidR="00970C57" w:rsidRPr="001D0E78" w:rsidRDefault="00970C57" w:rsidP="00D54F55">
            <w:pPr>
              <w:ind w:left="20"/>
              <w:rPr>
                <w:rFonts w:eastAsia="Times New Roman" w:cs="Times New Roman"/>
                <w:b/>
                <w:bCs/>
                <w:color w:val="000000"/>
                <w:sz w:val="20"/>
                <w:szCs w:val="20"/>
              </w:rPr>
            </w:pPr>
          </w:p>
        </w:tc>
        <w:tc>
          <w:tcPr>
            <w:tcW w:w="571" w:type="pct"/>
            <w:tcBorders>
              <w:top w:val="nil"/>
              <w:left w:val="nil"/>
              <w:bottom w:val="single" w:sz="4" w:space="0" w:color="auto"/>
              <w:right w:val="single" w:sz="4" w:space="0" w:color="auto"/>
            </w:tcBorders>
            <w:shd w:val="clear" w:color="auto" w:fill="auto"/>
            <w:noWrap/>
            <w:vAlign w:val="bottom"/>
            <w:hideMark/>
          </w:tcPr>
          <w:p w:rsidR="00970C57" w:rsidRPr="001D0E78" w:rsidRDefault="009F2B46">
            <w:pPr>
              <w:spacing w:after="0" w:line="240" w:lineRule="auto"/>
              <w:ind w:left="20"/>
              <w:jc w:val="center"/>
              <w:rPr>
                <w:rFonts w:eastAsia="Times New Roman" w:cs="Times New Roman"/>
                <w:b/>
                <w:color w:val="000000"/>
                <w:sz w:val="20"/>
                <w:szCs w:val="20"/>
              </w:rPr>
            </w:pPr>
            <w:r>
              <w:rPr>
                <w:rFonts w:eastAsia="Times New Roman" w:cs="Times New Roman"/>
                <w:b/>
                <w:color w:val="000000"/>
                <w:sz w:val="20"/>
                <w:szCs w:val="20"/>
              </w:rPr>
              <w:t>2</w:t>
            </w:r>
            <w:r w:rsidR="00371C87">
              <w:rPr>
                <w:rFonts w:eastAsia="Times New Roman" w:cs="Times New Roman"/>
                <w:b/>
                <w:color w:val="000000"/>
                <w:sz w:val="20"/>
                <w:szCs w:val="20"/>
              </w:rPr>
              <w:t>1 000</w:t>
            </w:r>
          </w:p>
        </w:tc>
        <w:tc>
          <w:tcPr>
            <w:tcW w:w="571" w:type="pct"/>
            <w:tcBorders>
              <w:top w:val="nil"/>
              <w:left w:val="nil"/>
              <w:bottom w:val="single" w:sz="4" w:space="0" w:color="auto"/>
              <w:right w:val="single" w:sz="4" w:space="0" w:color="auto"/>
            </w:tcBorders>
            <w:shd w:val="clear" w:color="auto" w:fill="auto"/>
            <w:noWrap/>
            <w:vAlign w:val="bottom"/>
            <w:hideMark/>
          </w:tcPr>
          <w:p w:rsidR="00970C57" w:rsidRPr="001D0E78" w:rsidRDefault="009F2B46" w:rsidP="00D54F55">
            <w:pPr>
              <w:spacing w:after="0" w:line="240" w:lineRule="auto"/>
              <w:ind w:left="20"/>
              <w:jc w:val="center"/>
              <w:rPr>
                <w:rFonts w:eastAsia="Times New Roman" w:cs="Times New Roman"/>
                <w:b/>
                <w:bCs/>
                <w:color w:val="000000"/>
                <w:sz w:val="20"/>
                <w:szCs w:val="20"/>
              </w:rPr>
            </w:pPr>
            <w:r>
              <w:rPr>
                <w:rFonts w:eastAsia="Times New Roman" w:cs="Times New Roman"/>
                <w:b/>
                <w:bCs/>
                <w:color w:val="000000"/>
                <w:sz w:val="20"/>
                <w:szCs w:val="20"/>
              </w:rPr>
              <w:t xml:space="preserve">1 </w:t>
            </w:r>
            <w:r w:rsidR="00371C87">
              <w:rPr>
                <w:rFonts w:eastAsia="Times New Roman" w:cs="Times New Roman"/>
                <w:b/>
                <w:bCs/>
                <w:color w:val="000000"/>
                <w:sz w:val="20"/>
                <w:szCs w:val="20"/>
              </w:rPr>
              <w:t>500</w:t>
            </w:r>
          </w:p>
        </w:tc>
      </w:tr>
    </w:tbl>
    <w:p w:rsidR="00970C57" w:rsidRPr="00970C57" w:rsidRDefault="00970C57" w:rsidP="00D33E12">
      <w:pPr>
        <w:tabs>
          <w:tab w:val="left" w:pos="450"/>
        </w:tabs>
        <w:spacing w:after="0" w:line="240" w:lineRule="auto"/>
        <w:jc w:val="both"/>
        <w:rPr>
          <w:rFonts w:eastAsiaTheme="minorHAnsi"/>
          <w:sz w:val="20"/>
          <w:szCs w:val="20"/>
          <w:lang w:eastAsia="en-US"/>
        </w:rPr>
      </w:pPr>
    </w:p>
    <w:p w:rsidR="00970C57" w:rsidRPr="004C1737" w:rsidRDefault="00970C57" w:rsidP="002E3A02">
      <w:pPr>
        <w:pStyle w:val="ListParagraph"/>
        <w:numPr>
          <w:ilvl w:val="0"/>
          <w:numId w:val="17"/>
        </w:numPr>
        <w:tabs>
          <w:tab w:val="left" w:pos="450"/>
        </w:tabs>
        <w:jc w:val="both"/>
        <w:rPr>
          <w:rFonts w:asciiTheme="minorHAnsi" w:eastAsiaTheme="minorEastAsia" w:hAnsiTheme="minorHAnsi"/>
          <w:b/>
          <w:color w:val="2E74B5" w:themeColor="accent1" w:themeShade="BF"/>
          <w:sz w:val="20"/>
          <w:szCs w:val="20"/>
        </w:rPr>
      </w:pPr>
      <w:bookmarkStart w:id="15" w:name="_Toc420681590"/>
      <w:bookmarkStart w:id="16" w:name="_Toc415071582"/>
      <w:r w:rsidRPr="004C1737">
        <w:rPr>
          <w:rFonts w:asciiTheme="minorHAnsi" w:eastAsiaTheme="minorEastAsia" w:hAnsiTheme="minorHAnsi"/>
          <w:b/>
          <w:color w:val="2E74B5" w:themeColor="accent1" w:themeShade="BF"/>
          <w:sz w:val="20"/>
          <w:szCs w:val="20"/>
        </w:rPr>
        <w:t>Productions et revenus attendus des cultures pérennes</w:t>
      </w:r>
      <w:bookmarkEnd w:id="15"/>
      <w:bookmarkEnd w:id="16"/>
    </w:p>
    <w:p w:rsidR="004D2A74" w:rsidRPr="004D2A74" w:rsidRDefault="004D2A74" w:rsidP="00D33E12">
      <w:pPr>
        <w:pStyle w:val="ListParagraph"/>
        <w:tabs>
          <w:tab w:val="left" w:pos="450"/>
        </w:tabs>
        <w:jc w:val="both"/>
        <w:rPr>
          <w:rFonts w:asciiTheme="minorHAnsi" w:eastAsiaTheme="minorEastAsia" w:hAnsiTheme="minorHAnsi"/>
          <w:b/>
          <w:color w:val="538135" w:themeColor="accent6" w:themeShade="BF"/>
          <w:sz w:val="20"/>
          <w:szCs w:val="20"/>
        </w:rPr>
      </w:pPr>
    </w:p>
    <w:p w:rsidR="00970C57" w:rsidRPr="00970C57" w:rsidRDefault="00970C57" w:rsidP="004D2A74">
      <w:pPr>
        <w:tabs>
          <w:tab w:val="left" w:pos="450"/>
        </w:tabs>
        <w:spacing w:line="240" w:lineRule="auto"/>
        <w:jc w:val="both"/>
        <w:rPr>
          <w:rFonts w:cs="Times New Roman"/>
          <w:sz w:val="20"/>
          <w:szCs w:val="20"/>
        </w:rPr>
      </w:pPr>
      <w:r w:rsidRPr="00970C57">
        <w:rPr>
          <w:rFonts w:cs="Times New Roman"/>
          <w:sz w:val="20"/>
          <w:szCs w:val="20"/>
        </w:rPr>
        <w:t>Les chiffres du tableau ci-dessous sont établis en considérant que les superficies se répartiront à parts égales entre les différentes espèces cultivées, palmier à huile, café, cacao, hévéa. Etant donné le caractère « biologique de ces cultures » (elles ne reçoivent ni engrais ni pesticide), les rendements escomptés sont médiocres, entre 800 et 1000 kg par ha pour le café et cacao marchants et l’huile de palme non raffinée</w:t>
      </w:r>
      <w:r w:rsidRPr="001241B5">
        <w:rPr>
          <w:rFonts w:cs="Times New Roman"/>
          <w:sz w:val="20"/>
          <w:szCs w:val="20"/>
          <w:vertAlign w:val="superscript"/>
        </w:rPr>
        <w:footnoteReference w:id="8"/>
      </w:r>
      <w:r w:rsidRPr="00970C57">
        <w:rPr>
          <w:rFonts w:cs="Times New Roman"/>
          <w:sz w:val="20"/>
          <w:szCs w:val="20"/>
        </w:rPr>
        <w:t xml:space="preserve">. Les prix producteurs dans le </w:t>
      </w:r>
      <w:r w:rsidR="00AA6D17">
        <w:rPr>
          <w:rFonts w:cs="Times New Roman"/>
          <w:sz w:val="20"/>
          <w:szCs w:val="20"/>
        </w:rPr>
        <w:t>Mai-Ndombe</w:t>
      </w:r>
      <w:r w:rsidR="004C1737">
        <w:rPr>
          <w:rFonts w:cs="Times New Roman"/>
          <w:sz w:val="20"/>
          <w:szCs w:val="20"/>
        </w:rPr>
        <w:t xml:space="preserve"> </w:t>
      </w:r>
      <w:r w:rsidRPr="00970C57">
        <w:rPr>
          <w:rFonts w:cs="Times New Roman"/>
          <w:sz w:val="20"/>
          <w:szCs w:val="20"/>
        </w:rPr>
        <w:t xml:space="preserve">sont faibles et l’une des raisons qui nécessite l’organisation des producteurs est la négociation des prix à la ferme. On considèrera dans les calculs suivants une hypothèse basse de revenu monétaire moyen pour toutes ces cultures de 600 dollars par ha. Sur cette base, la production totale des quelques  </w:t>
      </w:r>
      <w:r w:rsidR="00C261D8">
        <w:rPr>
          <w:rFonts w:cs="Times New Roman"/>
          <w:sz w:val="20"/>
          <w:szCs w:val="20"/>
        </w:rPr>
        <w:t>11 650</w:t>
      </w:r>
      <w:r w:rsidRPr="00970C57">
        <w:rPr>
          <w:rFonts w:cs="Times New Roman"/>
          <w:sz w:val="20"/>
          <w:szCs w:val="20"/>
        </w:rPr>
        <w:t xml:space="preserve"> ha plantés en cultures pérennes</w:t>
      </w:r>
      <w:r w:rsidR="00C261D8">
        <w:rPr>
          <w:rFonts w:cs="Times New Roman"/>
          <w:sz w:val="20"/>
          <w:szCs w:val="20"/>
        </w:rPr>
        <w:t xml:space="preserve"> (10 000 en forêt et 1 650 en savane)</w:t>
      </w:r>
      <w:r w:rsidRPr="00970C57">
        <w:rPr>
          <w:rFonts w:cs="Times New Roman"/>
          <w:sz w:val="20"/>
          <w:szCs w:val="20"/>
        </w:rPr>
        <w:t xml:space="preserve"> sera de l’ordre de </w:t>
      </w:r>
      <w:r w:rsidR="00C261D8">
        <w:rPr>
          <w:rFonts w:cs="Times New Roman"/>
          <w:sz w:val="20"/>
          <w:szCs w:val="20"/>
        </w:rPr>
        <w:t>7</w:t>
      </w:r>
      <w:r w:rsidR="00C261D8" w:rsidRPr="00970C57">
        <w:rPr>
          <w:rFonts w:cs="Times New Roman"/>
          <w:sz w:val="20"/>
          <w:szCs w:val="20"/>
        </w:rPr>
        <w:t xml:space="preserve"> </w:t>
      </w:r>
      <w:r w:rsidRPr="00970C57">
        <w:rPr>
          <w:rFonts w:cs="Times New Roman"/>
          <w:sz w:val="20"/>
          <w:szCs w:val="20"/>
        </w:rPr>
        <w:t>millions de dollars en année de pleine production, c’est-à-dire à partir de la 7ème année</w:t>
      </w:r>
      <w:r w:rsidR="00C261D8">
        <w:rPr>
          <w:rFonts w:cs="Times New Roman"/>
          <w:sz w:val="20"/>
          <w:szCs w:val="20"/>
        </w:rPr>
        <w:t>, sans compter les revenus des plantations forestières, ni des mises en défens</w:t>
      </w:r>
      <w:r w:rsidRPr="00970C57">
        <w:rPr>
          <w:rFonts w:cs="Times New Roman"/>
          <w:sz w:val="20"/>
          <w:szCs w:val="20"/>
        </w:rPr>
        <w:t>. Les marges d’amélioration de ces performances, sur les rendements, et donc sur la production et les prix, sont significativement élevées. On considèrera que pour les rendements et prix, les marges d’augmentation des chiffres actuels sont de l’ordre de 40 %, permettant de doubler le chiffre d’affaire producteurs. L’impact sur les revenus des petits paysans opérant sur des superficies moyennes de l’ordre de 0,5 ha est de 300 dollars pour l’hypothèse basse des facteurs, et le double pour l’hypothèse haute. Les revenus monétaires médians actuels</w:t>
      </w:r>
      <w:r w:rsidRPr="001241B5">
        <w:rPr>
          <w:rFonts w:cs="Times New Roman"/>
          <w:sz w:val="20"/>
          <w:szCs w:val="20"/>
          <w:vertAlign w:val="superscript"/>
        </w:rPr>
        <w:footnoteReference w:id="9"/>
      </w:r>
      <w:r w:rsidRPr="00970C57">
        <w:rPr>
          <w:rFonts w:cs="Times New Roman"/>
          <w:sz w:val="20"/>
          <w:szCs w:val="20"/>
          <w:vertAlign w:val="superscript"/>
        </w:rPr>
        <w:t xml:space="preserve"> </w:t>
      </w:r>
      <w:r w:rsidRPr="00970C57">
        <w:rPr>
          <w:rFonts w:cs="Times New Roman"/>
          <w:sz w:val="20"/>
          <w:szCs w:val="20"/>
        </w:rPr>
        <w:t>sont de l’ordre de 400 à 500 dollars par ménage. Le projet vise une réduction de moitié des cultures vivrières qui actuellement procurent ces revenus, divisant par deux les revenus monétaires du ménage, soit 200 dollars. Mais le passage à la culture pérenne permet d’ajouter des revenus médians de l’ordre de 500 dollars, soit un gain minimum global de 50 %  (sans variation des rendements et des prix actuels) avec un potentiel maximum à 70 % (en prenant en compte des gains de rendements et de prix de 40 % par rapport à la situation actuelle).</w:t>
      </w:r>
    </w:p>
    <w:p w:rsidR="00970C57" w:rsidRPr="00970C57" w:rsidRDefault="00970C57" w:rsidP="004D2A74">
      <w:pPr>
        <w:tabs>
          <w:tab w:val="left" w:pos="450"/>
        </w:tabs>
        <w:spacing w:line="240" w:lineRule="auto"/>
        <w:jc w:val="both"/>
        <w:rPr>
          <w:rFonts w:cs="Times New Roman"/>
          <w:sz w:val="20"/>
          <w:szCs w:val="20"/>
        </w:rPr>
      </w:pPr>
      <w:r w:rsidRPr="00970C57">
        <w:rPr>
          <w:rFonts w:cs="Times New Roman"/>
          <w:sz w:val="20"/>
          <w:szCs w:val="20"/>
        </w:rPr>
        <w:t>L’analyse des besoins en temps de travail actuels des cultures vivrières en forêt fait apparaître des réserves de travail au sein du ménage. Les besoins actuels sont de l’ordre de 460 journées de travail</w:t>
      </w:r>
      <w:r w:rsidRPr="001241B5">
        <w:rPr>
          <w:rFonts w:cs="Times New Roman"/>
          <w:sz w:val="20"/>
          <w:szCs w:val="20"/>
          <w:vertAlign w:val="superscript"/>
        </w:rPr>
        <w:footnoteReference w:id="10"/>
      </w:r>
      <w:r w:rsidRPr="00970C57">
        <w:rPr>
          <w:rFonts w:cs="Times New Roman"/>
          <w:sz w:val="20"/>
          <w:szCs w:val="20"/>
        </w:rPr>
        <w:t>, contre un disponible de l’ordre de 600 journées par ménage. Ces réserves sont actuellement faiblement employées. On peut considérer que 100 unités restent disponibles après déduction faite des temps nécessaires à la sécurité alimentaire (cueillette, chasse, etc.), au transport, etc. On peut dire de ces disponibilités qu’elles suffiront  à l’investissement initial et à l’entretien des plantations, au niveau des ménages, tant que les superficies ne dépasseront pas un demi-hectare.</w:t>
      </w:r>
    </w:p>
    <w:p w:rsidR="004D2A74" w:rsidRDefault="00970C57" w:rsidP="00D33E12">
      <w:pPr>
        <w:tabs>
          <w:tab w:val="left" w:pos="450"/>
        </w:tabs>
        <w:spacing w:after="0" w:line="240" w:lineRule="auto"/>
        <w:jc w:val="both"/>
        <w:rPr>
          <w:rFonts w:cs="Times New Roman"/>
          <w:sz w:val="20"/>
          <w:szCs w:val="20"/>
        </w:rPr>
      </w:pPr>
      <w:r w:rsidRPr="00970C57">
        <w:rPr>
          <w:rFonts w:cs="Times New Roman"/>
          <w:sz w:val="20"/>
          <w:szCs w:val="20"/>
        </w:rPr>
        <w:lastRenderedPageBreak/>
        <w:t>Au-delà d’un demi-hectare de culture pérenne, le recours à la main d’œuvre extérieure paraît nécessaire pour le ménage moyen. On considère qu’un ha en croisière (après la 6/7ème année) requiert deux emplois à temps plein en culture pérenne. Sur cette base on peut calculer le nombre d’emplois induits par le projet en régime de croisière, en tenant compte des besoins des fermiers don</w:t>
      </w:r>
      <w:r w:rsidR="00332F81">
        <w:rPr>
          <w:rFonts w:cs="Times New Roman"/>
          <w:sz w:val="20"/>
          <w:szCs w:val="20"/>
        </w:rPr>
        <w:t xml:space="preserve">t le nombre a été estimé à 1 </w:t>
      </w:r>
      <w:r w:rsidR="00FB7F0B">
        <w:rPr>
          <w:rFonts w:cs="Times New Roman"/>
          <w:sz w:val="20"/>
          <w:szCs w:val="20"/>
        </w:rPr>
        <w:t>500</w:t>
      </w:r>
      <w:r w:rsidR="00FB7F0B" w:rsidRPr="00970C57">
        <w:rPr>
          <w:rFonts w:cs="Times New Roman"/>
          <w:sz w:val="20"/>
          <w:szCs w:val="20"/>
        </w:rPr>
        <w:t xml:space="preserve"> </w:t>
      </w:r>
      <w:r w:rsidRPr="00970C57">
        <w:rPr>
          <w:rFonts w:cs="Times New Roman"/>
          <w:sz w:val="20"/>
          <w:szCs w:val="20"/>
        </w:rPr>
        <w:t>(à 3ha en moyenne par planteur). Le nombre d’emplois durables créé sur cette base est de: superficie moyenne des plantations (3ha) x nombre d’emploi par ha</w:t>
      </w:r>
      <w:r w:rsidR="009B438C">
        <w:rPr>
          <w:rFonts w:cs="Times New Roman"/>
          <w:sz w:val="20"/>
          <w:szCs w:val="20"/>
        </w:rPr>
        <w:t xml:space="preserve"> (2) x nombre de f</w:t>
      </w:r>
      <w:r w:rsidR="00796501">
        <w:rPr>
          <w:rFonts w:cs="Times New Roman"/>
          <w:sz w:val="20"/>
          <w:szCs w:val="20"/>
        </w:rPr>
        <w:t>ermiers (</w:t>
      </w:r>
      <w:r w:rsidR="00332F81">
        <w:rPr>
          <w:rFonts w:cs="Times New Roman"/>
          <w:sz w:val="20"/>
          <w:szCs w:val="20"/>
        </w:rPr>
        <w:t xml:space="preserve">1 </w:t>
      </w:r>
      <w:r w:rsidR="00FB7F0B">
        <w:rPr>
          <w:rFonts w:cs="Times New Roman"/>
          <w:sz w:val="20"/>
          <w:szCs w:val="20"/>
        </w:rPr>
        <w:t>500</w:t>
      </w:r>
      <w:r w:rsidR="00332F81">
        <w:rPr>
          <w:rFonts w:cs="Times New Roman"/>
          <w:sz w:val="20"/>
          <w:szCs w:val="20"/>
        </w:rPr>
        <w:t xml:space="preserve">) = </w:t>
      </w:r>
      <w:r w:rsidR="00FB7F0B">
        <w:rPr>
          <w:rFonts w:cs="Times New Roman"/>
          <w:sz w:val="20"/>
          <w:szCs w:val="20"/>
        </w:rPr>
        <w:t xml:space="preserve">9 000 </w:t>
      </w:r>
      <w:r w:rsidRPr="00970C57">
        <w:rPr>
          <w:rFonts w:cs="Times New Roman"/>
          <w:sz w:val="20"/>
          <w:szCs w:val="20"/>
        </w:rPr>
        <w:t>emplois. Ces emplois seront rémunérés au coût d’opportunité, qui est compris entre 1,5 et 2 dollars par journée de travail</w:t>
      </w:r>
      <w:r w:rsidRPr="004D2A74">
        <w:rPr>
          <w:rFonts w:cs="Times New Roman"/>
          <w:sz w:val="20"/>
          <w:szCs w:val="20"/>
          <w:vertAlign w:val="superscript"/>
        </w:rPr>
        <w:footnoteReference w:id="11"/>
      </w:r>
      <w:r w:rsidRPr="00970C57">
        <w:rPr>
          <w:rFonts w:cs="Times New Roman"/>
          <w:sz w:val="20"/>
          <w:szCs w:val="20"/>
        </w:rPr>
        <w:t>.</w:t>
      </w:r>
    </w:p>
    <w:p w:rsidR="00D33E12" w:rsidRPr="004D2A74" w:rsidRDefault="00D33E12" w:rsidP="00D33E12">
      <w:pPr>
        <w:tabs>
          <w:tab w:val="left" w:pos="450"/>
        </w:tabs>
        <w:spacing w:after="0" w:line="240" w:lineRule="auto"/>
        <w:jc w:val="both"/>
        <w:rPr>
          <w:rFonts w:cs="Times New Roman"/>
          <w:sz w:val="20"/>
          <w:szCs w:val="20"/>
        </w:rPr>
      </w:pPr>
    </w:p>
    <w:p w:rsidR="00970C57" w:rsidRPr="009B438C" w:rsidRDefault="00970C57" w:rsidP="002E3A02">
      <w:pPr>
        <w:pStyle w:val="ListParagraph"/>
        <w:numPr>
          <w:ilvl w:val="0"/>
          <w:numId w:val="17"/>
        </w:numPr>
        <w:tabs>
          <w:tab w:val="left" w:pos="450"/>
        </w:tabs>
        <w:jc w:val="both"/>
        <w:rPr>
          <w:rFonts w:asciiTheme="minorHAnsi" w:eastAsiaTheme="minorEastAsia" w:hAnsiTheme="minorHAnsi"/>
          <w:b/>
          <w:color w:val="2E74B5" w:themeColor="accent1" w:themeShade="BF"/>
          <w:sz w:val="20"/>
          <w:szCs w:val="20"/>
        </w:rPr>
      </w:pPr>
      <w:bookmarkStart w:id="17" w:name="_Toc420681591"/>
      <w:bookmarkStart w:id="18" w:name="_Toc415071583"/>
      <w:r w:rsidRPr="009B438C">
        <w:rPr>
          <w:rFonts w:asciiTheme="minorHAnsi" w:eastAsiaTheme="minorEastAsia" w:hAnsiTheme="minorHAnsi"/>
          <w:b/>
          <w:color w:val="2E74B5" w:themeColor="accent1" w:themeShade="BF"/>
          <w:sz w:val="20"/>
          <w:szCs w:val="20"/>
        </w:rPr>
        <w:t>Autres investissements des CLD</w:t>
      </w:r>
      <w:bookmarkEnd w:id="17"/>
      <w:bookmarkEnd w:id="18"/>
    </w:p>
    <w:p w:rsidR="004D2A74" w:rsidRPr="004D2A74" w:rsidRDefault="004D2A74" w:rsidP="00D33E12">
      <w:pPr>
        <w:pStyle w:val="ListParagraph"/>
        <w:tabs>
          <w:tab w:val="left" w:pos="450"/>
        </w:tabs>
        <w:jc w:val="both"/>
        <w:rPr>
          <w:rFonts w:asciiTheme="minorHAnsi" w:eastAsiaTheme="minorEastAsia" w:hAnsiTheme="minorHAnsi"/>
          <w:b/>
          <w:color w:val="538135" w:themeColor="accent6" w:themeShade="BF"/>
          <w:sz w:val="20"/>
          <w:szCs w:val="20"/>
        </w:rPr>
      </w:pPr>
    </w:p>
    <w:p w:rsidR="00970C57" w:rsidRPr="00970C57" w:rsidRDefault="00970C57" w:rsidP="004D2A74">
      <w:pPr>
        <w:tabs>
          <w:tab w:val="left" w:pos="450"/>
        </w:tabs>
        <w:spacing w:line="240" w:lineRule="auto"/>
        <w:jc w:val="both"/>
        <w:rPr>
          <w:rFonts w:cs="Times New Roman"/>
          <w:sz w:val="20"/>
          <w:szCs w:val="20"/>
        </w:rPr>
      </w:pPr>
      <w:r w:rsidRPr="00970C57">
        <w:rPr>
          <w:rFonts w:cs="Times New Roman"/>
          <w:sz w:val="20"/>
          <w:szCs w:val="20"/>
        </w:rPr>
        <w:t>Les CLD pourront décider d’autres mesures appuyées par le projet parmi lesquelles:</w:t>
      </w:r>
    </w:p>
    <w:p w:rsidR="00970C57" w:rsidRPr="0022422B"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Co-gestion de la pêche: face à l’augmentation du nombre des pêcheurs, les techniques de pêche traditionnelle (et leurs évolutions récentes comme l’utilisation des moustiquaires) se révèlent destructrices de la ressource halieutique. L’organisation des pêcheurs, la protection de certaines frayères sur paiement au résultat, la mise en défens provisoire de certaines rivières, l’interdiction de la destruction des forêts inondées, l’application de la réglementation en vigueur sur la pêche (ouverture, fermeture) pourront entrer dans des accords de co-gestion passés entre les associations de pêcheurs et l’administration de la pêche (agriculture) qui recevra des moyens spécifiques pour contrôler la mise en application de ces accords. Des accords seront passés avec les ONGs locales pour assurer la mise en place de ces accords</w:t>
      </w:r>
      <w:r w:rsidR="0028164B">
        <w:rPr>
          <w:rFonts w:asciiTheme="minorHAnsi" w:eastAsiaTheme="minorEastAsia" w:hAnsiTheme="minorHAnsi"/>
          <w:sz w:val="20"/>
          <w:szCs w:val="20"/>
        </w:rPr>
        <w:t xml:space="preserve"> et</w:t>
      </w:r>
      <w:r w:rsidRPr="0022422B">
        <w:rPr>
          <w:rFonts w:asciiTheme="minorHAnsi" w:eastAsiaTheme="minorEastAsia" w:hAnsiTheme="minorHAnsi"/>
          <w:sz w:val="20"/>
          <w:szCs w:val="20"/>
        </w:rPr>
        <w:t xml:space="preserve"> la formation des pêcheurs,</w:t>
      </w:r>
    </w:p>
    <w:p w:rsidR="0022422B" w:rsidRPr="0022422B"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 xml:space="preserve">Création d’étangs piscicoles : la pisciculture n’est pas très répandue dans le </w:t>
      </w:r>
      <w:r w:rsidR="00AA6D17">
        <w:rPr>
          <w:rFonts w:asciiTheme="minorHAnsi" w:eastAsiaTheme="minorEastAsia" w:hAnsiTheme="minorHAnsi"/>
          <w:sz w:val="20"/>
          <w:szCs w:val="20"/>
        </w:rPr>
        <w:t>Mai-Ndombe</w:t>
      </w:r>
      <w:r w:rsidRPr="0022422B">
        <w:rPr>
          <w:rFonts w:asciiTheme="minorHAnsi" w:eastAsiaTheme="minorEastAsia" w:hAnsiTheme="minorHAnsi"/>
          <w:sz w:val="20"/>
          <w:szCs w:val="20"/>
        </w:rPr>
        <w:t>. Le projet pourra appuyer les porteurs de projet désireux de se former et d’investir dans cette activité. Là encore, des contrats pourront être passés avec des ONGs locales pour assurer la formation, l’encadrement de la création des étangs</w:t>
      </w:r>
      <w:r w:rsidR="0028164B">
        <w:rPr>
          <w:rFonts w:asciiTheme="minorHAnsi" w:eastAsiaTheme="minorEastAsia" w:hAnsiTheme="minorHAnsi"/>
          <w:sz w:val="20"/>
          <w:szCs w:val="20"/>
        </w:rPr>
        <w:t xml:space="preserve"> et </w:t>
      </w:r>
      <w:r w:rsidRPr="0022422B">
        <w:rPr>
          <w:rFonts w:asciiTheme="minorHAnsi" w:eastAsiaTheme="minorEastAsia" w:hAnsiTheme="minorHAnsi"/>
          <w:sz w:val="20"/>
          <w:szCs w:val="20"/>
        </w:rPr>
        <w:t>l’alevinage</w:t>
      </w:r>
      <w:r w:rsidR="0028164B">
        <w:rPr>
          <w:rFonts w:asciiTheme="minorHAnsi" w:eastAsiaTheme="minorEastAsia" w:hAnsiTheme="minorHAnsi"/>
          <w:sz w:val="20"/>
          <w:szCs w:val="20"/>
        </w:rPr>
        <w:t>.</w:t>
      </w:r>
      <w:r w:rsidRPr="0022422B">
        <w:rPr>
          <w:rFonts w:asciiTheme="minorHAnsi" w:eastAsiaTheme="minorEastAsia" w:hAnsiTheme="minorHAnsi"/>
          <w:sz w:val="20"/>
          <w:szCs w:val="20"/>
        </w:rPr>
        <w:t xml:space="preserve"> </w:t>
      </w:r>
      <w:r w:rsidR="0028164B">
        <w:rPr>
          <w:rFonts w:asciiTheme="minorHAnsi" w:eastAsiaTheme="minorEastAsia" w:hAnsiTheme="minorHAnsi"/>
          <w:sz w:val="20"/>
          <w:szCs w:val="20"/>
        </w:rPr>
        <w:t>L</w:t>
      </w:r>
      <w:r w:rsidRPr="0022422B">
        <w:rPr>
          <w:rFonts w:asciiTheme="minorHAnsi" w:eastAsiaTheme="minorEastAsia" w:hAnsiTheme="minorHAnsi"/>
          <w:sz w:val="20"/>
          <w:szCs w:val="20"/>
        </w:rPr>
        <w:t>es travaux pourront bénéficier des paiements aux résultats (PSE),</w:t>
      </w:r>
    </w:p>
    <w:p w:rsidR="00970C57" w:rsidRPr="0022422B"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Equipements de transformations à petite échelle : le projet pourra financer des équipements comme les malaxeurs pour la production d’huile de palme à partir des palmiers sauvages.</w:t>
      </w:r>
    </w:p>
    <w:p w:rsidR="00970C57" w:rsidRPr="00970C57" w:rsidRDefault="00970C57" w:rsidP="00970C57">
      <w:pPr>
        <w:tabs>
          <w:tab w:val="left" w:pos="1134"/>
        </w:tabs>
        <w:spacing w:after="0" w:line="240" w:lineRule="auto"/>
        <w:jc w:val="both"/>
        <w:rPr>
          <w:sz w:val="20"/>
          <w:szCs w:val="20"/>
        </w:rPr>
      </w:pPr>
    </w:p>
    <w:p w:rsidR="00970C57" w:rsidRPr="009B438C" w:rsidRDefault="00970C57" w:rsidP="002E3A02">
      <w:pPr>
        <w:pStyle w:val="ListParagraph"/>
        <w:numPr>
          <w:ilvl w:val="0"/>
          <w:numId w:val="17"/>
        </w:numPr>
        <w:tabs>
          <w:tab w:val="left" w:pos="450"/>
        </w:tabs>
        <w:jc w:val="both"/>
        <w:rPr>
          <w:rFonts w:asciiTheme="minorHAnsi" w:eastAsiaTheme="minorEastAsia" w:hAnsiTheme="minorHAnsi"/>
          <w:b/>
          <w:color w:val="2E74B5" w:themeColor="accent1" w:themeShade="BF"/>
          <w:sz w:val="20"/>
          <w:szCs w:val="20"/>
        </w:rPr>
      </w:pPr>
      <w:bookmarkStart w:id="19" w:name="_Toc420681592"/>
      <w:bookmarkStart w:id="20" w:name="_Toc415071584"/>
      <w:r w:rsidRPr="009B438C">
        <w:rPr>
          <w:rFonts w:asciiTheme="minorHAnsi" w:eastAsiaTheme="minorEastAsia" w:hAnsiTheme="minorHAnsi"/>
          <w:b/>
          <w:color w:val="2E74B5" w:themeColor="accent1" w:themeShade="BF"/>
          <w:sz w:val="20"/>
          <w:szCs w:val="20"/>
        </w:rPr>
        <w:t>Mieux encadrer la fabrication du charbon de bois</w:t>
      </w:r>
      <w:bookmarkEnd w:id="19"/>
      <w:bookmarkEnd w:id="20"/>
      <w:r w:rsidRPr="009B438C">
        <w:rPr>
          <w:rFonts w:asciiTheme="minorHAnsi" w:eastAsiaTheme="minorEastAsia" w:hAnsiTheme="minorHAnsi"/>
          <w:b/>
          <w:color w:val="2E74B5" w:themeColor="accent1" w:themeShade="BF"/>
          <w:sz w:val="20"/>
          <w:szCs w:val="20"/>
        </w:rPr>
        <w:t xml:space="preserve"> </w:t>
      </w:r>
    </w:p>
    <w:p w:rsidR="0022422B" w:rsidRPr="0022422B" w:rsidRDefault="0022422B" w:rsidP="0022422B">
      <w:pPr>
        <w:pStyle w:val="ListParagraph"/>
        <w:tabs>
          <w:tab w:val="left" w:pos="450"/>
        </w:tabs>
        <w:jc w:val="both"/>
        <w:rPr>
          <w:rFonts w:asciiTheme="minorHAnsi" w:eastAsiaTheme="minorEastAsia" w:hAnsiTheme="minorHAnsi"/>
          <w:b/>
          <w:color w:val="538135" w:themeColor="accent6" w:themeShade="BF"/>
          <w:sz w:val="20"/>
          <w:szCs w:val="20"/>
        </w:rPr>
      </w:pPr>
    </w:p>
    <w:p w:rsidR="00970C57" w:rsidRPr="00970C57" w:rsidRDefault="00970C57" w:rsidP="0022422B">
      <w:pPr>
        <w:tabs>
          <w:tab w:val="left" w:pos="450"/>
        </w:tabs>
        <w:spacing w:line="240" w:lineRule="auto"/>
        <w:jc w:val="both"/>
        <w:rPr>
          <w:rFonts w:cs="Times New Roman"/>
          <w:sz w:val="20"/>
          <w:szCs w:val="20"/>
        </w:rPr>
      </w:pPr>
      <w:r w:rsidRPr="00970C57">
        <w:rPr>
          <w:rFonts w:cs="Times New Roman"/>
          <w:sz w:val="20"/>
          <w:szCs w:val="20"/>
        </w:rPr>
        <w:t xml:space="preserve">Grâce aux progrès effectués sur le transport des produits agricoles (introduction du moteur diésel dans les baleinières), la production du charbon de bois en bordure de rivière et du Lac s’est répandue dans tout le </w:t>
      </w:r>
      <w:r w:rsidR="00AA6D17">
        <w:rPr>
          <w:rFonts w:cs="Times New Roman"/>
          <w:sz w:val="20"/>
          <w:szCs w:val="20"/>
        </w:rPr>
        <w:t>Mai-Ndombe</w:t>
      </w:r>
      <w:r w:rsidRPr="00970C57">
        <w:rPr>
          <w:rFonts w:cs="Times New Roman"/>
          <w:sz w:val="20"/>
          <w:szCs w:val="20"/>
        </w:rPr>
        <w:t>. Dans certains cas, les charbonniers s’attaquent y compris aux forêts inondées, mettant en péril la reproduction du poisson. L’intérêt économique important de cette activité (résultat rapide et rémunérateur) à la production comme en aval de la filière, et la demande pressante du marché de Kinshasa, font qu’il est difficile de lutter contre cette forme de déforestation. Il est possible de la taxer (déjà le sac de charbon de bois est taxé à 2 000 FC à Mushie, soit la moitié du prix producteur), mais les passe droits et contournements  en la matière sont la règle (voir objectif 1). Il est aussi possible de l’encadrer, de l</w:t>
      </w:r>
      <w:r w:rsidR="003578D5">
        <w:rPr>
          <w:rFonts w:cs="Times New Roman"/>
          <w:sz w:val="20"/>
          <w:szCs w:val="20"/>
        </w:rPr>
        <w:t>e</w:t>
      </w:r>
      <w:r w:rsidRPr="00970C57">
        <w:rPr>
          <w:rFonts w:cs="Times New Roman"/>
          <w:sz w:val="20"/>
          <w:szCs w:val="20"/>
        </w:rPr>
        <w:t xml:space="preserve"> règlementer et de former les producteurs à mieux produire, en respectant les règles de l’art en matière de construction et de conduite des meules, en ne détruisant pas les forêts inondées en saison sèche.</w:t>
      </w:r>
    </w:p>
    <w:p w:rsidR="00970C57" w:rsidRPr="00970C57" w:rsidRDefault="00970C57" w:rsidP="0022422B">
      <w:pPr>
        <w:tabs>
          <w:tab w:val="left" w:pos="450"/>
        </w:tabs>
        <w:spacing w:line="240" w:lineRule="auto"/>
        <w:jc w:val="both"/>
        <w:rPr>
          <w:rFonts w:cs="Times New Roman"/>
          <w:sz w:val="20"/>
          <w:szCs w:val="20"/>
        </w:rPr>
      </w:pPr>
      <w:r w:rsidRPr="00970C57">
        <w:rPr>
          <w:rFonts w:cs="Times New Roman"/>
          <w:sz w:val="20"/>
          <w:szCs w:val="20"/>
        </w:rPr>
        <w:t>Les activités dans ce domaine sont les suivantes :</w:t>
      </w:r>
    </w:p>
    <w:p w:rsidR="00970C57" w:rsidRPr="0022422B"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Elaborer une stratégie détaillée d’encadrement du charbonnage: un consultant sera mandaté à cet effet en début de projet. Les Termes de Référence (TdRs) de la consultation rédigés par l’ALE en concertation avec le PIF prévoira: i) l’état des lieux détaillé de la situation (organisation des chaînes de valeur, techniques employées, économie des acteurs, perspectives du marché,</w:t>
      </w:r>
      <w:r w:rsidR="009B438C">
        <w:rPr>
          <w:rFonts w:asciiTheme="minorHAnsi" w:eastAsiaTheme="minorEastAsia" w:hAnsiTheme="minorHAnsi"/>
          <w:sz w:val="20"/>
          <w:szCs w:val="20"/>
        </w:rPr>
        <w:t xml:space="preserve"> </w:t>
      </w:r>
      <w:r w:rsidRPr="0022422B">
        <w:rPr>
          <w:rFonts w:asciiTheme="minorHAnsi" w:eastAsiaTheme="minorEastAsia" w:hAnsiTheme="minorHAnsi"/>
          <w:sz w:val="20"/>
          <w:szCs w:val="20"/>
        </w:rPr>
        <w:t xml:space="preserve">etc.), ii) mesures à prendre pour chaque maillon de la chaine de valeur afin d’aller dans le sens de la durabilité, iii) mesures à prendre au plan règlementaire, et iv) mesures à prendre en matière de renforcement des capacités des services techniques, </w:t>
      </w:r>
    </w:p>
    <w:p w:rsidR="00970C57" w:rsidRPr="0022422B"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Former les groupes d’acteurs de la chaîne de valeur,</w:t>
      </w:r>
    </w:p>
    <w:p w:rsidR="00970C57" w:rsidRPr="0022422B"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Regrouper les acteurs en organisations professionnelles, si recommandé par l’étude,</w:t>
      </w:r>
    </w:p>
    <w:p w:rsidR="00970C57" w:rsidRPr="0022422B"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Renforcer les capacités des services techniques,</w:t>
      </w:r>
    </w:p>
    <w:p w:rsidR="00A777B8"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22422B">
        <w:rPr>
          <w:rFonts w:asciiTheme="minorHAnsi" w:eastAsiaTheme="minorEastAsia" w:hAnsiTheme="minorHAnsi"/>
          <w:sz w:val="20"/>
          <w:szCs w:val="20"/>
        </w:rPr>
        <w:t>Appuyer  l’élaboration d’une réglementation provinciale. Celle-ci devra prendre en compte la préservation des forêts inondées</w:t>
      </w:r>
      <w:r w:rsidR="0028164B">
        <w:rPr>
          <w:rFonts w:asciiTheme="minorHAnsi" w:eastAsiaTheme="minorEastAsia" w:hAnsiTheme="minorHAnsi"/>
          <w:sz w:val="20"/>
          <w:szCs w:val="20"/>
        </w:rPr>
        <w:t xml:space="preserve"> et</w:t>
      </w:r>
      <w:r w:rsidRPr="0022422B">
        <w:rPr>
          <w:rFonts w:asciiTheme="minorHAnsi" w:eastAsiaTheme="minorEastAsia" w:hAnsiTheme="minorHAnsi"/>
          <w:sz w:val="20"/>
          <w:szCs w:val="20"/>
        </w:rPr>
        <w:t xml:space="preserve"> les exigences en matière de reboisement</w:t>
      </w:r>
      <w:bookmarkStart w:id="21" w:name="_Toc420681593"/>
      <w:r w:rsidR="0028164B">
        <w:rPr>
          <w:rFonts w:asciiTheme="minorHAnsi" w:eastAsiaTheme="minorEastAsia" w:hAnsiTheme="minorHAnsi"/>
          <w:sz w:val="20"/>
          <w:szCs w:val="20"/>
        </w:rPr>
        <w:t>.</w:t>
      </w:r>
    </w:p>
    <w:p w:rsidR="00D33E12" w:rsidRPr="00D33E12" w:rsidRDefault="00D33E12" w:rsidP="00D33E12">
      <w:pPr>
        <w:pStyle w:val="ListParagraph"/>
        <w:tabs>
          <w:tab w:val="left" w:pos="993"/>
        </w:tabs>
        <w:jc w:val="both"/>
        <w:rPr>
          <w:rFonts w:asciiTheme="minorHAnsi" w:eastAsiaTheme="minorEastAsia" w:hAnsiTheme="minorHAnsi"/>
          <w:sz w:val="20"/>
          <w:szCs w:val="20"/>
        </w:rPr>
      </w:pPr>
    </w:p>
    <w:p w:rsidR="00E057A3" w:rsidRDefault="00E057A3">
      <w:pPr>
        <w:spacing w:after="160" w:line="259" w:lineRule="auto"/>
        <w:rPr>
          <w:b/>
          <w:sz w:val="20"/>
          <w:lang w:eastAsia="en-US"/>
        </w:rPr>
      </w:pPr>
      <w:r>
        <w:rPr>
          <w:b/>
          <w:sz w:val="20"/>
          <w:lang w:eastAsia="en-US"/>
        </w:rPr>
        <w:br w:type="page"/>
      </w:r>
    </w:p>
    <w:p w:rsidR="00970C57" w:rsidRDefault="00970C57" w:rsidP="00D33E12">
      <w:pPr>
        <w:spacing w:after="0"/>
        <w:rPr>
          <w:b/>
          <w:sz w:val="20"/>
          <w:lang w:eastAsia="en-US"/>
        </w:rPr>
      </w:pPr>
      <w:r w:rsidRPr="0022422B">
        <w:rPr>
          <w:b/>
          <w:sz w:val="20"/>
          <w:lang w:eastAsia="en-US"/>
        </w:rPr>
        <w:lastRenderedPageBreak/>
        <w:t>Objectif 4 : Renforcer l’aval des chaînes de valeur des cultures pérennes</w:t>
      </w:r>
      <w:bookmarkEnd w:id="21"/>
    </w:p>
    <w:p w:rsidR="00D33E12" w:rsidRPr="0022422B" w:rsidRDefault="00D33E12" w:rsidP="00D33E12">
      <w:pPr>
        <w:spacing w:after="0"/>
        <w:rPr>
          <w:b/>
          <w:sz w:val="20"/>
          <w:lang w:eastAsia="en-US"/>
        </w:rPr>
      </w:pPr>
    </w:p>
    <w:p w:rsidR="00970C57" w:rsidRDefault="00970C57" w:rsidP="00D33E12">
      <w:pPr>
        <w:tabs>
          <w:tab w:val="left" w:pos="450"/>
        </w:tabs>
        <w:spacing w:after="0" w:line="240" w:lineRule="auto"/>
        <w:jc w:val="both"/>
        <w:rPr>
          <w:rFonts w:cs="Times New Roman"/>
          <w:sz w:val="20"/>
          <w:szCs w:val="20"/>
        </w:rPr>
      </w:pPr>
      <w:r w:rsidRPr="00970C57">
        <w:rPr>
          <w:rFonts w:cs="Times New Roman"/>
          <w:sz w:val="20"/>
          <w:szCs w:val="20"/>
        </w:rPr>
        <w:t xml:space="preserve">Les chaînes de valeur concernées sont celles du palmier à huile, du café, du cacao et de l’hévéa. Le développement de la production de ces cultures, abordé avec l’objectif 3 ci-dessus, ne peut pas se faire durablement sans l’émergence parallèle de filières organisées et professionnelles. </w:t>
      </w:r>
    </w:p>
    <w:p w:rsidR="00D33E12" w:rsidRPr="00970C57" w:rsidRDefault="00D33E12" w:rsidP="00D33E12">
      <w:pPr>
        <w:tabs>
          <w:tab w:val="left" w:pos="450"/>
        </w:tabs>
        <w:spacing w:after="0" w:line="240" w:lineRule="auto"/>
        <w:jc w:val="both"/>
        <w:rPr>
          <w:rFonts w:cs="Times New Roman"/>
          <w:sz w:val="20"/>
          <w:szCs w:val="20"/>
        </w:rPr>
      </w:pPr>
    </w:p>
    <w:p w:rsidR="00970C57" w:rsidRPr="009B438C" w:rsidRDefault="00970C57" w:rsidP="002E3A02">
      <w:pPr>
        <w:pStyle w:val="ListParagraph"/>
        <w:numPr>
          <w:ilvl w:val="0"/>
          <w:numId w:val="18"/>
        </w:numPr>
        <w:tabs>
          <w:tab w:val="left" w:pos="450"/>
        </w:tabs>
        <w:jc w:val="both"/>
        <w:rPr>
          <w:rFonts w:asciiTheme="minorHAnsi" w:eastAsiaTheme="minorEastAsia" w:hAnsiTheme="minorHAnsi"/>
          <w:b/>
          <w:color w:val="2E74B5" w:themeColor="accent1" w:themeShade="BF"/>
          <w:sz w:val="20"/>
          <w:szCs w:val="20"/>
        </w:rPr>
      </w:pPr>
      <w:bookmarkStart w:id="22" w:name="_Toc420681594"/>
      <w:r w:rsidRPr="009B438C">
        <w:rPr>
          <w:rFonts w:asciiTheme="minorHAnsi" w:eastAsiaTheme="minorEastAsia" w:hAnsiTheme="minorHAnsi"/>
          <w:b/>
          <w:color w:val="2E74B5" w:themeColor="accent1" w:themeShade="BF"/>
          <w:sz w:val="20"/>
          <w:szCs w:val="20"/>
        </w:rPr>
        <w:t>Hévéa</w:t>
      </w:r>
      <w:bookmarkEnd w:id="22"/>
    </w:p>
    <w:p w:rsidR="003408DF" w:rsidRPr="003408DF" w:rsidRDefault="003408DF" w:rsidP="003408DF">
      <w:pPr>
        <w:pStyle w:val="ListParagraph"/>
        <w:tabs>
          <w:tab w:val="left" w:pos="450"/>
        </w:tabs>
        <w:jc w:val="both"/>
        <w:rPr>
          <w:rFonts w:asciiTheme="minorHAnsi" w:eastAsiaTheme="minorEastAsia" w:hAnsiTheme="minorHAnsi"/>
          <w:b/>
          <w:color w:val="538135" w:themeColor="accent6" w:themeShade="BF"/>
          <w:sz w:val="20"/>
          <w:szCs w:val="20"/>
        </w:rPr>
      </w:pPr>
    </w:p>
    <w:p w:rsidR="00970C57" w:rsidRDefault="00970C57" w:rsidP="00D33E12">
      <w:pPr>
        <w:tabs>
          <w:tab w:val="left" w:pos="450"/>
        </w:tabs>
        <w:spacing w:after="0" w:line="240" w:lineRule="auto"/>
        <w:jc w:val="both"/>
        <w:rPr>
          <w:rFonts w:cs="Times New Roman"/>
          <w:sz w:val="20"/>
          <w:szCs w:val="20"/>
        </w:rPr>
      </w:pPr>
      <w:r w:rsidRPr="00970C57">
        <w:rPr>
          <w:rFonts w:cs="Times New Roman"/>
          <w:sz w:val="20"/>
          <w:szCs w:val="20"/>
        </w:rPr>
        <w:t>Une telle filière existe déjà dans la zone projet pour</w:t>
      </w:r>
      <w:r w:rsidRPr="00970C57">
        <w:rPr>
          <w:rFonts w:cs="Times New Roman"/>
          <w:b/>
          <w:sz w:val="20"/>
          <w:szCs w:val="20"/>
        </w:rPr>
        <w:t xml:space="preserve"> </w:t>
      </w:r>
      <w:r w:rsidRPr="00970C57">
        <w:rPr>
          <w:rFonts w:cs="Times New Roman"/>
          <w:sz w:val="20"/>
          <w:szCs w:val="20"/>
        </w:rPr>
        <w:t xml:space="preserve">l’hévéa : la société Congo Forêt a installé à Dima, à 12  km de Bandundu sur la rivière Kasaï une unité de transformation moderne (capable de transformer les fonds de tasse en granulés puis en blocs de latex prêts à l’exportation). Cette société a racheté d’anciennes plantations (y compris dans le District du </w:t>
      </w:r>
      <w:r w:rsidR="00AA6D17">
        <w:rPr>
          <w:rFonts w:cs="Times New Roman"/>
          <w:sz w:val="20"/>
          <w:szCs w:val="20"/>
        </w:rPr>
        <w:t>Mai-Ndombe</w:t>
      </w:r>
      <w:r w:rsidRPr="00970C57">
        <w:rPr>
          <w:rFonts w:cs="Times New Roman"/>
          <w:sz w:val="20"/>
          <w:szCs w:val="20"/>
        </w:rPr>
        <w:t>) et elle s’efforce d’y relancer la production. Elle est intéressée par l’achat de coagulum aux paysans. Le problème est ici de relancer la production et de mettre au point les circuits de ramassage. Le projet peut envisager une collaboration avec cette société</w:t>
      </w:r>
      <w:r w:rsidRPr="00970C57">
        <w:rPr>
          <w:rStyle w:val="FootnoteReference"/>
          <w:rFonts w:cs="Times New Roman"/>
          <w:sz w:val="20"/>
          <w:szCs w:val="20"/>
        </w:rPr>
        <w:footnoteReference w:id="12"/>
      </w:r>
      <w:r w:rsidRPr="00970C57">
        <w:rPr>
          <w:rFonts w:cs="Times New Roman"/>
          <w:sz w:val="20"/>
          <w:szCs w:val="20"/>
        </w:rPr>
        <w:t>: appui à la création de pépinières, à la réhabilitation des anciennes plantations, à la fourniture par la société de services destinés à accompagner les plantations paysannes (labours motorisés en savane, etc.) et ceci autour de centres d’achat bien localisés dans la Province, par exemple autour des anciennes plantations, sachant que les prix actuels sont assez peu incitatifs, permettant toutefois d’atteindre un niveau de rémunération calé sur les coûts d’opportunité. La programmation détaillée des activités concernant l’hévéa sera précisée  avec la société Congo Forêt.</w:t>
      </w:r>
    </w:p>
    <w:p w:rsidR="00D33E12" w:rsidRPr="00970C57" w:rsidRDefault="00D33E12" w:rsidP="00D33E12">
      <w:pPr>
        <w:tabs>
          <w:tab w:val="left" w:pos="450"/>
        </w:tabs>
        <w:spacing w:after="0" w:line="240" w:lineRule="auto"/>
        <w:jc w:val="both"/>
        <w:rPr>
          <w:rFonts w:cs="Times New Roman"/>
          <w:sz w:val="20"/>
          <w:szCs w:val="20"/>
        </w:rPr>
      </w:pPr>
    </w:p>
    <w:p w:rsidR="00970C57" w:rsidRPr="009B438C" w:rsidRDefault="00970C57" w:rsidP="002E3A02">
      <w:pPr>
        <w:pStyle w:val="ListParagraph"/>
        <w:numPr>
          <w:ilvl w:val="0"/>
          <w:numId w:val="18"/>
        </w:numPr>
        <w:tabs>
          <w:tab w:val="left" w:pos="450"/>
        </w:tabs>
        <w:jc w:val="both"/>
        <w:rPr>
          <w:rFonts w:asciiTheme="minorHAnsi" w:eastAsiaTheme="minorEastAsia" w:hAnsiTheme="minorHAnsi"/>
          <w:b/>
          <w:color w:val="2E74B5" w:themeColor="accent1" w:themeShade="BF"/>
          <w:sz w:val="20"/>
          <w:szCs w:val="20"/>
        </w:rPr>
      </w:pPr>
      <w:bookmarkStart w:id="23" w:name="_Toc420681595"/>
      <w:r w:rsidRPr="009B438C">
        <w:rPr>
          <w:rFonts w:asciiTheme="minorHAnsi" w:eastAsiaTheme="minorEastAsia" w:hAnsiTheme="minorHAnsi"/>
          <w:b/>
          <w:color w:val="2E74B5" w:themeColor="accent1" w:themeShade="BF"/>
          <w:sz w:val="20"/>
          <w:szCs w:val="20"/>
        </w:rPr>
        <w:t>Huile de palme</w:t>
      </w:r>
      <w:bookmarkEnd w:id="23"/>
      <w:r w:rsidRPr="009B438C">
        <w:rPr>
          <w:rFonts w:asciiTheme="minorHAnsi" w:eastAsiaTheme="minorEastAsia" w:hAnsiTheme="minorHAnsi"/>
          <w:b/>
          <w:color w:val="2E74B5" w:themeColor="accent1" w:themeShade="BF"/>
          <w:sz w:val="20"/>
          <w:szCs w:val="20"/>
        </w:rPr>
        <w:t xml:space="preserve"> </w:t>
      </w:r>
    </w:p>
    <w:p w:rsidR="003408DF" w:rsidRPr="003408DF" w:rsidRDefault="003408DF" w:rsidP="003408DF">
      <w:pPr>
        <w:pStyle w:val="ListParagraph"/>
        <w:tabs>
          <w:tab w:val="left" w:pos="450"/>
        </w:tabs>
        <w:jc w:val="both"/>
        <w:rPr>
          <w:rFonts w:asciiTheme="minorHAnsi" w:eastAsiaTheme="minorEastAsia" w:hAnsiTheme="minorHAnsi"/>
          <w:b/>
          <w:color w:val="538135" w:themeColor="accent6" w:themeShade="BF"/>
          <w:sz w:val="20"/>
          <w:szCs w:val="20"/>
        </w:rPr>
      </w:pP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Pour l’huile de palme de qualité paysanne courante, le marché est très ouvert, celui de Kinshasa mais également les marchés locaux. La demande des paysans et des fermiers pour cette culture est très forte dans tous les Secteurs de la Province. L’huile produite n’est pas de haute qualité bactériologique et ses taux d’acidité sont souvent élevés, pourtant son prix sur le marché de Kinshasa est haut</w:t>
      </w:r>
      <w:r w:rsidRPr="00970C57">
        <w:rPr>
          <w:rStyle w:val="FootnoteReference"/>
          <w:rFonts w:cs="Times New Roman"/>
          <w:sz w:val="20"/>
          <w:szCs w:val="20"/>
        </w:rPr>
        <w:footnoteReference w:id="13"/>
      </w:r>
      <w:r w:rsidRPr="00970C57">
        <w:rPr>
          <w:rFonts w:cs="Times New Roman"/>
          <w:sz w:val="20"/>
          <w:szCs w:val="20"/>
        </w:rPr>
        <w:t xml:space="preserve">, bien qu’inférieur au prix de l’huile importée. Pour cette culture il conviendra d’améliorer la qualité des huiles paysannes et de préparer les futurs centres de grande production (objectif 3) à une transformation de qualité. L’aval des filières est opérationnel et en prise avec un marché porteur. Si de grandes quantités devenaient disponibles, les grands acheteurs opérant à partir de Kinshasa se dirigeront d’eux-mêmes vers les centres de production. </w:t>
      </w: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 xml:space="preserve">Toutefois, l’une des premières activités du projet consistera à réaliser pour l’huile de palme, comme pour le café et le cacao,  une étude complète de filière, pour chaque Territoire, permettant d’identifier l’ensemble des acteurs, la façon dont ils sont organisés et les difficultés qu’ils rencontrent, ainsi que les voies et moyens d’améliorer leurs performances et leur implantation. </w:t>
      </w: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Les activités prioritaires pour l’huile de palme sont les suivantes,</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Augmenter les superficies cultivées (cf. objectif 3),</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Former aux bonnes pratiques de la fabrication de l’huile pour l’ensemble des propriétaires de malaxeurs et pour les paysans qui leurs fournissent les régimes,</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Equiper les unités traditionnelles de malaxage  dont les agents auront été formés,</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 xml:space="preserve">Equiper  en unité de transformation moderne les centres de production soutenus par le projet. Le projet recherchera des opérateurs privés pour cette activité, avec lesquels monter éventuellement des cofinancements.  </w:t>
      </w:r>
    </w:p>
    <w:p w:rsidR="00970C57" w:rsidRPr="00970C57" w:rsidRDefault="00970C57" w:rsidP="00970C57">
      <w:pPr>
        <w:tabs>
          <w:tab w:val="left" w:pos="1134"/>
        </w:tabs>
        <w:spacing w:after="0" w:line="240" w:lineRule="auto"/>
        <w:jc w:val="both"/>
        <w:rPr>
          <w:rFonts w:cs="Times New Roman"/>
          <w:sz w:val="20"/>
          <w:szCs w:val="20"/>
        </w:rPr>
      </w:pP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 xml:space="preserve">Calendrier pour l’huile de palme : </w:t>
      </w:r>
    </w:p>
    <w:tbl>
      <w:tblPr>
        <w:tblW w:w="5050" w:type="pct"/>
        <w:tblLook w:val="04A0" w:firstRow="1" w:lastRow="0" w:firstColumn="1" w:lastColumn="0" w:noHBand="0" w:noVBand="1"/>
      </w:tblPr>
      <w:tblGrid>
        <w:gridCol w:w="448"/>
        <w:gridCol w:w="4842"/>
        <w:gridCol w:w="607"/>
        <w:gridCol w:w="607"/>
        <w:gridCol w:w="607"/>
        <w:gridCol w:w="607"/>
        <w:gridCol w:w="607"/>
        <w:gridCol w:w="607"/>
        <w:gridCol w:w="607"/>
        <w:gridCol w:w="609"/>
      </w:tblGrid>
      <w:tr w:rsidR="00970C57" w:rsidRPr="009B438C" w:rsidTr="009B438C">
        <w:trPr>
          <w:tblHeader/>
        </w:trPr>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0C57" w:rsidRPr="009B438C" w:rsidRDefault="00970C57">
            <w:pPr>
              <w:spacing w:after="0" w:line="240" w:lineRule="auto"/>
              <w:jc w:val="both"/>
              <w:rPr>
                <w:rFonts w:cs="Times New Roman"/>
                <w:sz w:val="20"/>
                <w:szCs w:val="20"/>
              </w:rPr>
            </w:pPr>
          </w:p>
        </w:tc>
        <w:tc>
          <w:tcPr>
            <w:tcW w:w="238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b/>
                <w:sz w:val="20"/>
                <w:szCs w:val="20"/>
              </w:rPr>
            </w:pPr>
            <w:r w:rsidRPr="009B438C">
              <w:rPr>
                <w:rFonts w:cs="Times New Roman"/>
                <w:b/>
                <w:sz w:val="20"/>
                <w:szCs w:val="20"/>
              </w:rPr>
              <w:t>Activité</w:t>
            </w:r>
          </w:p>
        </w:tc>
        <w:tc>
          <w:tcPr>
            <w:tcW w:w="2393"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9B438C" w:rsidRDefault="00970C57">
            <w:pPr>
              <w:spacing w:after="0" w:line="240" w:lineRule="auto"/>
              <w:jc w:val="center"/>
              <w:rPr>
                <w:rFonts w:cs="Times New Roman"/>
                <w:b/>
                <w:sz w:val="20"/>
                <w:szCs w:val="20"/>
              </w:rPr>
            </w:pPr>
            <w:r w:rsidRPr="009B438C">
              <w:rPr>
                <w:rFonts w:cs="Times New Roman"/>
                <w:b/>
                <w:sz w:val="20"/>
                <w:szCs w:val="20"/>
              </w:rPr>
              <w:t>Semestres</w:t>
            </w:r>
          </w:p>
        </w:tc>
      </w:tr>
      <w:tr w:rsidR="00970C57" w:rsidRPr="009B438C">
        <w:trPr>
          <w:tblHeader/>
        </w:trPr>
        <w:tc>
          <w:tcPr>
            <w:tcW w:w="2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9B438C" w:rsidRDefault="00970C57">
            <w:pPr>
              <w:spacing w:after="0" w:line="240" w:lineRule="auto"/>
              <w:jc w:val="both"/>
              <w:rPr>
                <w:rFonts w:cs="Times New Roman"/>
                <w:sz w:val="20"/>
                <w:szCs w:val="20"/>
              </w:rPr>
            </w:pPr>
          </w:p>
        </w:tc>
        <w:tc>
          <w:tcPr>
            <w:tcW w:w="238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9B438C" w:rsidRDefault="00970C57">
            <w:pPr>
              <w:spacing w:after="0" w:line="240" w:lineRule="auto"/>
              <w:jc w:val="both"/>
              <w:rPr>
                <w:rFonts w:cs="Times New Roman"/>
                <w:sz w:val="20"/>
                <w:szCs w:val="20"/>
              </w:rPr>
            </w:pP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1</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3</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4</w:t>
            </w:r>
          </w:p>
        </w:tc>
      </w:tr>
      <w:tr w:rsidR="00970C57" w:rsidRPr="009B438C" w:rsidTr="009B438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1</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2</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3</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4</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5</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6</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7</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9B438C" w:rsidRDefault="00970C57">
            <w:pPr>
              <w:spacing w:after="0" w:line="240" w:lineRule="auto"/>
              <w:jc w:val="center"/>
              <w:rPr>
                <w:rFonts w:cs="Times New Roman"/>
                <w:sz w:val="20"/>
                <w:szCs w:val="20"/>
              </w:rPr>
            </w:pPr>
            <w:r w:rsidRPr="009B438C">
              <w:rPr>
                <w:rFonts w:cs="Times New Roman"/>
                <w:sz w:val="20"/>
                <w:szCs w:val="20"/>
              </w:rPr>
              <w:t>8</w:t>
            </w:r>
          </w:p>
        </w:tc>
      </w:tr>
      <w:tr w:rsidR="00970C57" w:rsidRPr="009B438C">
        <w:tc>
          <w:tcPr>
            <w:tcW w:w="221" w:type="pct"/>
            <w:tcBorders>
              <w:top w:val="single" w:sz="4" w:space="0" w:color="auto"/>
              <w:left w:val="single" w:sz="4" w:space="0" w:color="auto"/>
              <w:bottom w:val="single" w:sz="4" w:space="0" w:color="auto"/>
              <w:right w:val="single" w:sz="4" w:space="0" w:color="auto"/>
            </w:tcBorders>
            <w:hideMark/>
          </w:tcPr>
          <w:p w:rsidR="00970C57" w:rsidRPr="009B438C" w:rsidRDefault="00970C57">
            <w:pPr>
              <w:spacing w:after="0" w:line="240" w:lineRule="auto"/>
              <w:jc w:val="both"/>
              <w:rPr>
                <w:rFonts w:cs="Times New Roman"/>
                <w:sz w:val="20"/>
                <w:szCs w:val="20"/>
              </w:rPr>
            </w:pPr>
            <w:r w:rsidRPr="009B438C">
              <w:rPr>
                <w:rFonts w:cs="Times New Roman"/>
                <w:sz w:val="20"/>
                <w:szCs w:val="20"/>
              </w:rPr>
              <w:t>1</w:t>
            </w:r>
          </w:p>
        </w:tc>
        <w:tc>
          <w:tcPr>
            <w:tcW w:w="2386" w:type="pct"/>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r w:rsidRPr="009B438C">
              <w:rPr>
                <w:rFonts w:cs="Times New Roman"/>
                <w:sz w:val="20"/>
                <w:szCs w:val="20"/>
              </w:rPr>
              <w:t>Etude de filière</w:t>
            </w: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r>
      <w:tr w:rsidR="00970C57" w:rsidRPr="009B438C" w:rsidTr="009B438C">
        <w:tc>
          <w:tcPr>
            <w:tcW w:w="221" w:type="pct"/>
            <w:tcBorders>
              <w:top w:val="single" w:sz="4" w:space="0" w:color="auto"/>
              <w:left w:val="single" w:sz="4" w:space="0" w:color="auto"/>
              <w:bottom w:val="single" w:sz="4" w:space="0" w:color="auto"/>
              <w:right w:val="single" w:sz="4" w:space="0" w:color="auto"/>
            </w:tcBorders>
            <w:hideMark/>
          </w:tcPr>
          <w:p w:rsidR="00970C57" w:rsidRPr="009B438C" w:rsidRDefault="00970C57">
            <w:pPr>
              <w:spacing w:after="0" w:line="240" w:lineRule="auto"/>
              <w:jc w:val="both"/>
              <w:rPr>
                <w:rFonts w:cs="Times New Roman"/>
                <w:sz w:val="20"/>
                <w:szCs w:val="20"/>
              </w:rPr>
            </w:pPr>
            <w:r w:rsidRPr="009B438C">
              <w:rPr>
                <w:rFonts w:cs="Times New Roman"/>
                <w:sz w:val="20"/>
                <w:szCs w:val="20"/>
              </w:rPr>
              <w:t>2</w:t>
            </w:r>
          </w:p>
        </w:tc>
        <w:tc>
          <w:tcPr>
            <w:tcW w:w="2386" w:type="pct"/>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r w:rsidRPr="009B438C">
              <w:rPr>
                <w:rFonts w:cs="Times New Roman"/>
                <w:sz w:val="20"/>
                <w:szCs w:val="20"/>
              </w:rPr>
              <w:t>Formation des propriétaires de malaxeurs</w:t>
            </w: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r>
      <w:tr w:rsidR="00970C57" w:rsidRPr="009B438C">
        <w:tc>
          <w:tcPr>
            <w:tcW w:w="221" w:type="pct"/>
            <w:tcBorders>
              <w:top w:val="single" w:sz="4" w:space="0" w:color="auto"/>
              <w:left w:val="single" w:sz="4" w:space="0" w:color="auto"/>
              <w:bottom w:val="single" w:sz="4" w:space="0" w:color="auto"/>
              <w:right w:val="single" w:sz="4" w:space="0" w:color="auto"/>
            </w:tcBorders>
            <w:hideMark/>
          </w:tcPr>
          <w:p w:rsidR="00970C57" w:rsidRPr="009B438C" w:rsidRDefault="00970C57">
            <w:pPr>
              <w:spacing w:after="0" w:line="240" w:lineRule="auto"/>
              <w:jc w:val="both"/>
              <w:rPr>
                <w:rFonts w:cs="Times New Roman"/>
                <w:sz w:val="20"/>
                <w:szCs w:val="20"/>
              </w:rPr>
            </w:pPr>
            <w:r w:rsidRPr="009B438C">
              <w:rPr>
                <w:rFonts w:cs="Times New Roman"/>
                <w:sz w:val="20"/>
                <w:szCs w:val="20"/>
              </w:rPr>
              <w:t>3</w:t>
            </w:r>
          </w:p>
        </w:tc>
        <w:tc>
          <w:tcPr>
            <w:tcW w:w="2386" w:type="pct"/>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r w:rsidRPr="009B438C">
              <w:rPr>
                <w:rFonts w:cs="Times New Roman"/>
                <w:sz w:val="20"/>
                <w:szCs w:val="20"/>
              </w:rPr>
              <w:t>Equipement des sites de malaxage</w:t>
            </w: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r>
      <w:tr w:rsidR="00970C57" w:rsidRPr="009B438C" w:rsidTr="009B438C">
        <w:tc>
          <w:tcPr>
            <w:tcW w:w="221" w:type="pct"/>
            <w:tcBorders>
              <w:top w:val="single" w:sz="4" w:space="0" w:color="auto"/>
              <w:left w:val="single" w:sz="4" w:space="0" w:color="auto"/>
              <w:bottom w:val="single" w:sz="4" w:space="0" w:color="auto"/>
              <w:right w:val="single" w:sz="4" w:space="0" w:color="auto"/>
            </w:tcBorders>
            <w:hideMark/>
          </w:tcPr>
          <w:p w:rsidR="00970C57" w:rsidRPr="009B438C" w:rsidRDefault="00970C57">
            <w:pPr>
              <w:spacing w:after="0" w:line="240" w:lineRule="auto"/>
              <w:jc w:val="both"/>
              <w:rPr>
                <w:rFonts w:cs="Times New Roman"/>
                <w:sz w:val="20"/>
                <w:szCs w:val="20"/>
              </w:rPr>
            </w:pPr>
            <w:r w:rsidRPr="009B438C">
              <w:rPr>
                <w:rFonts w:cs="Times New Roman"/>
                <w:sz w:val="20"/>
                <w:szCs w:val="20"/>
              </w:rPr>
              <w:t>4</w:t>
            </w:r>
          </w:p>
        </w:tc>
        <w:tc>
          <w:tcPr>
            <w:tcW w:w="2386" w:type="pct"/>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r w:rsidRPr="009B438C">
              <w:rPr>
                <w:rFonts w:cs="Times New Roman"/>
                <w:sz w:val="20"/>
                <w:szCs w:val="20"/>
              </w:rPr>
              <w:t xml:space="preserve">Identification des porteurs de projet pour centre de </w:t>
            </w:r>
            <w:r w:rsidRPr="009B438C">
              <w:rPr>
                <w:rFonts w:cs="Times New Roman"/>
                <w:sz w:val="20"/>
                <w:szCs w:val="20"/>
              </w:rPr>
              <w:lastRenderedPageBreak/>
              <w:t>transformation moderne</w:t>
            </w: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r>
      <w:tr w:rsidR="00970C57" w:rsidRPr="009B438C">
        <w:tc>
          <w:tcPr>
            <w:tcW w:w="221" w:type="pct"/>
            <w:tcBorders>
              <w:top w:val="single" w:sz="4" w:space="0" w:color="auto"/>
              <w:left w:val="single" w:sz="4" w:space="0" w:color="auto"/>
              <w:bottom w:val="single" w:sz="4" w:space="0" w:color="auto"/>
              <w:right w:val="single" w:sz="4" w:space="0" w:color="auto"/>
            </w:tcBorders>
            <w:hideMark/>
          </w:tcPr>
          <w:p w:rsidR="00970C57" w:rsidRPr="009B438C" w:rsidRDefault="00970C57">
            <w:pPr>
              <w:spacing w:after="0" w:line="240" w:lineRule="auto"/>
              <w:jc w:val="both"/>
              <w:rPr>
                <w:rFonts w:cs="Times New Roman"/>
                <w:sz w:val="20"/>
                <w:szCs w:val="20"/>
              </w:rPr>
            </w:pPr>
            <w:r w:rsidRPr="009B438C">
              <w:rPr>
                <w:rFonts w:cs="Times New Roman"/>
                <w:sz w:val="20"/>
                <w:szCs w:val="20"/>
              </w:rPr>
              <w:t>5</w:t>
            </w:r>
          </w:p>
        </w:tc>
        <w:tc>
          <w:tcPr>
            <w:tcW w:w="2386" w:type="pct"/>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r w:rsidRPr="009B438C">
              <w:rPr>
                <w:rFonts w:cs="Times New Roman"/>
                <w:sz w:val="20"/>
                <w:szCs w:val="20"/>
              </w:rPr>
              <w:t>Equipement des porteurs de projet</w:t>
            </w: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r>
      <w:tr w:rsidR="00970C57" w:rsidRPr="009B438C" w:rsidTr="009B438C">
        <w:tc>
          <w:tcPr>
            <w:tcW w:w="221" w:type="pct"/>
            <w:tcBorders>
              <w:top w:val="single" w:sz="4" w:space="0" w:color="auto"/>
              <w:left w:val="single" w:sz="4" w:space="0" w:color="auto"/>
              <w:bottom w:val="single" w:sz="4" w:space="0" w:color="auto"/>
              <w:right w:val="single" w:sz="4" w:space="0" w:color="auto"/>
            </w:tcBorders>
            <w:hideMark/>
          </w:tcPr>
          <w:p w:rsidR="00970C57" w:rsidRPr="009B438C" w:rsidRDefault="00970C57">
            <w:pPr>
              <w:spacing w:after="0" w:line="240" w:lineRule="auto"/>
              <w:jc w:val="both"/>
              <w:rPr>
                <w:rFonts w:cs="Times New Roman"/>
                <w:sz w:val="20"/>
                <w:szCs w:val="20"/>
              </w:rPr>
            </w:pPr>
            <w:r w:rsidRPr="009B438C">
              <w:rPr>
                <w:rFonts w:cs="Times New Roman"/>
                <w:sz w:val="20"/>
                <w:szCs w:val="20"/>
              </w:rPr>
              <w:t>6</w:t>
            </w:r>
          </w:p>
        </w:tc>
        <w:tc>
          <w:tcPr>
            <w:tcW w:w="2386" w:type="pct"/>
            <w:tcBorders>
              <w:top w:val="single" w:sz="4" w:space="0" w:color="auto"/>
              <w:left w:val="single" w:sz="4" w:space="0" w:color="auto"/>
              <w:bottom w:val="single" w:sz="4" w:space="0" w:color="auto"/>
              <w:right w:val="single" w:sz="4" w:space="0" w:color="auto"/>
            </w:tcBorders>
            <w:vAlign w:val="center"/>
            <w:hideMark/>
          </w:tcPr>
          <w:p w:rsidR="00970C57" w:rsidRPr="009B438C" w:rsidRDefault="00970C57">
            <w:pPr>
              <w:spacing w:after="0" w:line="240" w:lineRule="auto"/>
              <w:rPr>
                <w:rFonts w:cs="Times New Roman"/>
                <w:sz w:val="20"/>
                <w:szCs w:val="20"/>
              </w:rPr>
            </w:pPr>
            <w:r w:rsidRPr="009B438C">
              <w:rPr>
                <w:rFonts w:cs="Times New Roman"/>
                <w:sz w:val="20"/>
                <w:szCs w:val="20"/>
              </w:rPr>
              <w:t>Formation et suivi-évaluation</w:t>
            </w: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9B438C" w:rsidRDefault="00970C57">
            <w:pPr>
              <w:spacing w:after="0" w:line="240" w:lineRule="auto"/>
              <w:jc w:val="both"/>
              <w:rPr>
                <w:rFonts w:cs="Times New Roman"/>
                <w:sz w:val="20"/>
                <w:szCs w:val="20"/>
              </w:rPr>
            </w:pPr>
          </w:p>
        </w:tc>
      </w:tr>
    </w:tbl>
    <w:p w:rsidR="00970C57" w:rsidRPr="00970C57" w:rsidRDefault="00970C57" w:rsidP="00E97C3A">
      <w:pPr>
        <w:tabs>
          <w:tab w:val="left" w:pos="450"/>
        </w:tabs>
        <w:spacing w:after="0" w:line="240" w:lineRule="auto"/>
        <w:jc w:val="both"/>
        <w:rPr>
          <w:b/>
          <w:sz w:val="20"/>
          <w:szCs w:val="20"/>
        </w:rPr>
      </w:pPr>
    </w:p>
    <w:p w:rsidR="00970C57" w:rsidRPr="009B438C" w:rsidRDefault="00970C57" w:rsidP="002E3A02">
      <w:pPr>
        <w:pStyle w:val="ListParagraph"/>
        <w:numPr>
          <w:ilvl w:val="0"/>
          <w:numId w:val="18"/>
        </w:numPr>
        <w:tabs>
          <w:tab w:val="left" w:pos="450"/>
        </w:tabs>
        <w:jc w:val="both"/>
        <w:rPr>
          <w:rFonts w:asciiTheme="minorHAnsi" w:eastAsiaTheme="minorEastAsia" w:hAnsiTheme="minorHAnsi"/>
          <w:b/>
          <w:color w:val="2E74B5" w:themeColor="accent1" w:themeShade="BF"/>
          <w:sz w:val="20"/>
          <w:szCs w:val="20"/>
        </w:rPr>
      </w:pPr>
      <w:bookmarkStart w:id="24" w:name="_Toc420681596"/>
      <w:r w:rsidRPr="009B438C">
        <w:rPr>
          <w:rFonts w:asciiTheme="minorHAnsi" w:eastAsiaTheme="minorEastAsia" w:hAnsiTheme="minorHAnsi"/>
          <w:b/>
          <w:color w:val="2E74B5" w:themeColor="accent1" w:themeShade="BF"/>
          <w:sz w:val="20"/>
          <w:szCs w:val="20"/>
        </w:rPr>
        <w:t>Café</w:t>
      </w:r>
      <w:bookmarkEnd w:id="24"/>
      <w:r w:rsidRPr="009B438C">
        <w:rPr>
          <w:rFonts w:asciiTheme="minorHAnsi" w:eastAsiaTheme="minorEastAsia" w:hAnsiTheme="minorHAnsi"/>
          <w:b/>
          <w:color w:val="2E74B5" w:themeColor="accent1" w:themeShade="BF"/>
          <w:sz w:val="20"/>
          <w:szCs w:val="20"/>
        </w:rPr>
        <w:t xml:space="preserve"> </w:t>
      </w:r>
    </w:p>
    <w:p w:rsidR="003408DF" w:rsidRPr="003408DF" w:rsidRDefault="003408DF" w:rsidP="003408DF">
      <w:pPr>
        <w:pStyle w:val="ListParagraph"/>
        <w:tabs>
          <w:tab w:val="left" w:pos="450"/>
        </w:tabs>
        <w:jc w:val="both"/>
        <w:rPr>
          <w:rFonts w:asciiTheme="minorHAnsi" w:eastAsiaTheme="minorEastAsia" w:hAnsiTheme="minorHAnsi"/>
          <w:b/>
          <w:color w:val="538135" w:themeColor="accent6" w:themeShade="BF"/>
          <w:sz w:val="20"/>
          <w:szCs w:val="20"/>
        </w:rPr>
      </w:pPr>
    </w:p>
    <w:p w:rsidR="000257C1" w:rsidRDefault="00970C57" w:rsidP="003408DF">
      <w:pPr>
        <w:tabs>
          <w:tab w:val="left" w:pos="450"/>
        </w:tabs>
        <w:spacing w:line="240" w:lineRule="auto"/>
        <w:jc w:val="both"/>
        <w:rPr>
          <w:rFonts w:cs="Times New Roman"/>
          <w:sz w:val="20"/>
          <w:szCs w:val="20"/>
        </w:rPr>
      </w:pPr>
      <w:r w:rsidRPr="00970C57">
        <w:rPr>
          <w:rFonts w:cs="Times New Roman"/>
          <w:sz w:val="20"/>
          <w:szCs w:val="20"/>
        </w:rPr>
        <w:t xml:space="preserve">Le café est une plante intéressante pour la lutte contre la déforestation: plante de lisière, elle peut être installée dans les champs vivriers de forêt en même temps que les cultures vivrières ou après le chromolaena dans la jachère. Dans la savane, elle peut  être installée en zone mosaïque, dans la périphérie des galeries forestières ou encore, entrer dans des stratégies agroforestières de savane, par exemple derrière une sole bois énergie où l’abattage maintiendrait des arbres d’ombrage. Les pluviométries de l’ensemble de la Province (entre 1600 et 1900 mm) associées à des saisons sèches relativement courtes lui conviennent. </w:t>
      </w: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 xml:space="preserve">Le District du </w:t>
      </w:r>
      <w:r w:rsidR="00AA6D17">
        <w:rPr>
          <w:rFonts w:cs="Times New Roman"/>
          <w:sz w:val="20"/>
          <w:szCs w:val="20"/>
        </w:rPr>
        <w:t>Mai-Ndombe</w:t>
      </w:r>
      <w:r w:rsidR="00CE6F88">
        <w:rPr>
          <w:rFonts w:cs="Times New Roman"/>
          <w:sz w:val="20"/>
          <w:szCs w:val="20"/>
        </w:rPr>
        <w:t xml:space="preserve"> </w:t>
      </w:r>
      <w:r w:rsidRPr="00970C57">
        <w:rPr>
          <w:rFonts w:cs="Times New Roman"/>
          <w:sz w:val="20"/>
          <w:szCs w:val="20"/>
        </w:rPr>
        <w:t>a été de longue date l’un des principaux producteurs de café robusta de la RDC jusqu’à la fin des années 80</w:t>
      </w:r>
      <w:r w:rsidRPr="00970C57">
        <w:rPr>
          <w:rStyle w:val="FootnoteReference"/>
          <w:rFonts w:cs="Times New Roman"/>
          <w:sz w:val="20"/>
          <w:szCs w:val="20"/>
        </w:rPr>
        <w:footnoteReference w:id="14"/>
      </w:r>
      <w:r w:rsidRPr="00970C57">
        <w:rPr>
          <w:rFonts w:cs="Times New Roman"/>
          <w:sz w:val="20"/>
          <w:szCs w:val="20"/>
        </w:rPr>
        <w:t>. Relancer cette production suppose le redressement simultané de l’aval de la filière. Rappelons qu’il existe à Kinshasa des acheteurs de café capables de traiter et d’exporter le café. Le traitement est d’autant plus nécessaire que même durant les meilleures années, la voie sèche caractérisait cette production et non pas la voie humide. Les unités de décorticage/déparchage sont donc nécessaires. Elles ont totalement cessé de fonctionner dans toute la Province depuis une dizaine d’années. Ces opérations sont faites à Kinshasa. Les acheteurs de café sont aujourd’hui les commerçants qui opèrent également pour le manioc</w:t>
      </w:r>
      <w:r w:rsidR="00CE6F88">
        <w:rPr>
          <w:rFonts w:cs="Times New Roman"/>
          <w:sz w:val="20"/>
          <w:szCs w:val="20"/>
        </w:rPr>
        <w:t xml:space="preserve"> et</w:t>
      </w:r>
      <w:r w:rsidRPr="00970C57">
        <w:rPr>
          <w:rFonts w:cs="Times New Roman"/>
          <w:sz w:val="20"/>
          <w:szCs w:val="20"/>
        </w:rPr>
        <w:t xml:space="preserve"> le maïs, avec des capitaux de quelques milliers de dollars. </w:t>
      </w: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Relancer la filière suppose essentiellement aujourd’hui:</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Assurer la présence régulière en saison d’achat (saison sèche) de comptoirs d’achat situés dans les anciennes zones principales de production (Kutu, Bokoro, Semendwa, Niok</w:t>
      </w:r>
      <w:r w:rsidR="00CE6F88">
        <w:rPr>
          <w:rFonts w:asciiTheme="minorHAnsi" w:eastAsiaTheme="minorEastAsia" w:hAnsiTheme="minorHAnsi"/>
          <w:sz w:val="20"/>
          <w:szCs w:val="20"/>
        </w:rPr>
        <w:t>i</w:t>
      </w:r>
      <w:r w:rsidRPr="003408DF">
        <w:rPr>
          <w:rFonts w:asciiTheme="minorHAnsi" w:eastAsiaTheme="minorEastAsia" w:hAnsiTheme="minorHAnsi"/>
          <w:sz w:val="20"/>
          <w:szCs w:val="20"/>
        </w:rPr>
        <w:t>)</w:t>
      </w:r>
      <w:r w:rsidR="00CE6F88">
        <w:rPr>
          <w:rFonts w:asciiTheme="minorHAnsi" w:eastAsiaTheme="minorEastAsia" w:hAnsiTheme="minorHAnsi"/>
          <w:sz w:val="20"/>
          <w:szCs w:val="20"/>
        </w:rPr>
        <w:t>,</w:t>
      </w:r>
      <w:r w:rsidRPr="003408DF">
        <w:rPr>
          <w:rFonts w:asciiTheme="minorHAnsi" w:eastAsiaTheme="minorEastAsia" w:hAnsiTheme="minorHAnsi"/>
          <w:sz w:val="20"/>
          <w:szCs w:val="20"/>
        </w:rPr>
        <w:t xml:space="preserve"> où il existe une production résiduelle,</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Assurer dans ces comptoirs une offre d’achat ouverte et offrant des prix raisonnables</w:t>
      </w:r>
      <w:r w:rsidRPr="009B438C">
        <w:rPr>
          <w:rStyle w:val="FootnoteReference"/>
          <w:rFonts w:eastAsiaTheme="minorEastAsia"/>
          <w:sz w:val="20"/>
          <w:szCs w:val="20"/>
        </w:rPr>
        <w:footnoteReference w:id="15"/>
      </w:r>
      <w:r w:rsidRPr="003408DF">
        <w:rPr>
          <w:rFonts w:asciiTheme="minorHAnsi" w:eastAsiaTheme="minorEastAsia" w:hAnsiTheme="minorHAnsi"/>
          <w:sz w:val="20"/>
          <w:szCs w:val="20"/>
        </w:rPr>
        <w:t>,</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Construire et ou remettre en état au moins une unité de transformation dans la zone (Semendwa ou Nioki) permettant de réduire les coûts de transport jusqu’à Kinshasa. L’important est de redonner confiance aux producteurs,</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Relancer simultanément la production en facilitant: i) la réhabilitation des anciennes plantations et le renouvellement avec des variétés améliorées</w:t>
      </w:r>
      <w:r w:rsidRPr="009B438C">
        <w:rPr>
          <w:rStyle w:val="FootnoteReference"/>
          <w:rFonts w:eastAsiaTheme="minorEastAsia"/>
          <w:sz w:val="20"/>
          <w:szCs w:val="20"/>
        </w:rPr>
        <w:footnoteReference w:id="16"/>
      </w:r>
      <w:r w:rsidRPr="003408DF">
        <w:rPr>
          <w:rFonts w:asciiTheme="minorHAnsi" w:eastAsiaTheme="minorEastAsia" w:hAnsiTheme="minorHAnsi"/>
          <w:sz w:val="20"/>
          <w:szCs w:val="20"/>
        </w:rPr>
        <w:t>, ii) la création de nouvelles plantations paysannes (cf. objectif 3), et iii) la relance des associations de planteurs dont les membres sont maintenant très âgés.</w:t>
      </w:r>
    </w:p>
    <w:p w:rsidR="00970C57" w:rsidRPr="003408DF"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3408DF">
        <w:rPr>
          <w:rFonts w:asciiTheme="minorHAnsi" w:eastAsiaTheme="minorEastAsia" w:hAnsiTheme="minorHAnsi"/>
          <w:sz w:val="20"/>
          <w:szCs w:val="20"/>
        </w:rPr>
        <w:t xml:space="preserve">A terme, développer des relations avec les marchés du commerce équitable et agrobiologique (puisque l’engrais et les pesticides sont entièrement inconnus dans la zone) afin de promouvoir un label et des prix favorables. </w:t>
      </w:r>
    </w:p>
    <w:p w:rsidR="00970C57" w:rsidRPr="00970C57" w:rsidRDefault="00970C57" w:rsidP="00970C57">
      <w:pPr>
        <w:tabs>
          <w:tab w:val="left" w:pos="1134"/>
        </w:tabs>
        <w:spacing w:after="0" w:line="240" w:lineRule="auto"/>
        <w:jc w:val="both"/>
        <w:rPr>
          <w:rFonts w:cs="Times New Roman"/>
          <w:sz w:val="20"/>
          <w:szCs w:val="20"/>
        </w:rPr>
      </w:pP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 xml:space="preserve">Pour parvenir à ces objectifs, le projet doit passer des accords avec des opérateurs d’aval de la  filière. L’objectif de ces accords doit être de faire émerger des opérateurs professionnels acceptant de jouer le jeu de prix raisonnables. Ce ou ces opérateurs pourraient être: i) des coopératives ou associations de planteurs, à l’instar de ce qui a été fait dans le secteur du cacao (voir ci-dessous), ii) de grands opérateurs privés opérant déjà dans la zone (concessionnaires forestiers ou d’élevage) et acceptant de diversifier leurs activités, ce qui aurait aussi pour résultat de faciliter leurs relations avec leur environnement social, et iii) des sociétés privées spécialisées déjà opérationnelles ailleurs en RDC et acceptant de s’investir dans le </w:t>
      </w:r>
      <w:r w:rsidR="00AA6D17">
        <w:rPr>
          <w:rFonts w:cs="Times New Roman"/>
          <w:sz w:val="20"/>
          <w:szCs w:val="20"/>
        </w:rPr>
        <w:t>Mai-Ndombe</w:t>
      </w:r>
      <w:r w:rsidRPr="00970C57">
        <w:rPr>
          <w:rFonts w:cs="Times New Roman"/>
          <w:sz w:val="20"/>
          <w:szCs w:val="20"/>
        </w:rPr>
        <w:t xml:space="preserve">. </w:t>
      </w:r>
    </w:p>
    <w:p w:rsidR="003408DF" w:rsidRDefault="00970C57" w:rsidP="00D33E12">
      <w:pPr>
        <w:tabs>
          <w:tab w:val="left" w:pos="450"/>
        </w:tabs>
        <w:spacing w:after="0" w:line="240" w:lineRule="auto"/>
        <w:jc w:val="both"/>
        <w:rPr>
          <w:rFonts w:cs="Times New Roman"/>
          <w:sz w:val="20"/>
          <w:szCs w:val="20"/>
        </w:rPr>
      </w:pPr>
      <w:r w:rsidRPr="00970C57">
        <w:rPr>
          <w:rFonts w:cs="Times New Roman"/>
          <w:sz w:val="20"/>
          <w:szCs w:val="20"/>
        </w:rPr>
        <w:lastRenderedPageBreak/>
        <w:t>Le projet a programmé des moyens pour identifier ces opérateurs (en cours) et pour cofinancer leur implantation dans la zone. Ces opérateurs pourraient également être impliqués da</w:t>
      </w:r>
      <w:bookmarkStart w:id="25" w:name="_Toc420681597"/>
      <w:r w:rsidR="00D33E12">
        <w:rPr>
          <w:rFonts w:cs="Times New Roman"/>
          <w:sz w:val="20"/>
          <w:szCs w:val="20"/>
        </w:rPr>
        <w:t>ns les campagnes de plantation.</w:t>
      </w:r>
    </w:p>
    <w:p w:rsidR="00D33E12" w:rsidRPr="00D33E12" w:rsidRDefault="00D33E12" w:rsidP="00D33E12">
      <w:pPr>
        <w:tabs>
          <w:tab w:val="left" w:pos="450"/>
        </w:tabs>
        <w:spacing w:after="0" w:line="240" w:lineRule="auto"/>
        <w:jc w:val="both"/>
        <w:rPr>
          <w:rFonts w:cs="Times New Roman"/>
          <w:sz w:val="20"/>
          <w:szCs w:val="20"/>
        </w:rPr>
      </w:pPr>
    </w:p>
    <w:p w:rsidR="00E057A3" w:rsidRDefault="00E057A3">
      <w:pPr>
        <w:spacing w:after="160" w:line="259" w:lineRule="auto"/>
        <w:rPr>
          <w:rFonts w:cs="Times New Roman"/>
          <w:b/>
          <w:color w:val="2E74B5" w:themeColor="accent1" w:themeShade="BF"/>
          <w:sz w:val="20"/>
          <w:szCs w:val="20"/>
        </w:rPr>
      </w:pPr>
      <w:r>
        <w:rPr>
          <w:b/>
          <w:color w:val="2E74B5" w:themeColor="accent1" w:themeShade="BF"/>
          <w:sz w:val="20"/>
          <w:szCs w:val="20"/>
        </w:rPr>
        <w:br w:type="page"/>
      </w:r>
    </w:p>
    <w:p w:rsidR="00970C57" w:rsidRPr="006057DC" w:rsidRDefault="00970C57" w:rsidP="002E3A02">
      <w:pPr>
        <w:pStyle w:val="ListParagraph"/>
        <w:numPr>
          <w:ilvl w:val="0"/>
          <w:numId w:val="18"/>
        </w:numPr>
        <w:tabs>
          <w:tab w:val="left" w:pos="450"/>
        </w:tabs>
        <w:jc w:val="both"/>
        <w:rPr>
          <w:rFonts w:asciiTheme="minorHAnsi" w:eastAsiaTheme="minorEastAsia" w:hAnsiTheme="minorHAnsi"/>
          <w:b/>
          <w:color w:val="2E74B5" w:themeColor="accent1" w:themeShade="BF"/>
          <w:sz w:val="20"/>
          <w:szCs w:val="20"/>
        </w:rPr>
      </w:pPr>
      <w:r w:rsidRPr="006057DC">
        <w:rPr>
          <w:rFonts w:asciiTheme="minorHAnsi" w:eastAsiaTheme="minorEastAsia" w:hAnsiTheme="minorHAnsi"/>
          <w:b/>
          <w:color w:val="2E74B5" w:themeColor="accent1" w:themeShade="BF"/>
          <w:sz w:val="20"/>
          <w:szCs w:val="20"/>
        </w:rPr>
        <w:lastRenderedPageBreak/>
        <w:t>Cacao :</w:t>
      </w:r>
      <w:bookmarkEnd w:id="25"/>
    </w:p>
    <w:p w:rsidR="003408DF" w:rsidRPr="003408DF" w:rsidRDefault="003408DF" w:rsidP="003408DF">
      <w:pPr>
        <w:pStyle w:val="ListParagraph"/>
        <w:tabs>
          <w:tab w:val="left" w:pos="450"/>
        </w:tabs>
        <w:jc w:val="both"/>
        <w:rPr>
          <w:rFonts w:asciiTheme="minorHAnsi" w:eastAsiaTheme="minorEastAsia" w:hAnsiTheme="minorHAnsi"/>
          <w:b/>
          <w:color w:val="538135" w:themeColor="accent6" w:themeShade="BF"/>
          <w:sz w:val="20"/>
          <w:szCs w:val="20"/>
        </w:rPr>
      </w:pPr>
    </w:p>
    <w:p w:rsidR="00970C57" w:rsidRPr="00970C57" w:rsidRDefault="00970C57" w:rsidP="003408DF">
      <w:pPr>
        <w:tabs>
          <w:tab w:val="left" w:pos="450"/>
        </w:tabs>
        <w:spacing w:line="240" w:lineRule="auto"/>
        <w:jc w:val="both"/>
        <w:rPr>
          <w:rFonts w:cs="Times New Roman"/>
          <w:sz w:val="20"/>
          <w:szCs w:val="20"/>
        </w:rPr>
      </w:pPr>
      <w:r w:rsidRPr="00970C57">
        <w:rPr>
          <w:rFonts w:cs="Times New Roman"/>
          <w:sz w:val="20"/>
          <w:szCs w:val="20"/>
        </w:rPr>
        <w:t xml:space="preserve">Le cacao est parfaitement à son aise dans le nord de la Province du </w:t>
      </w:r>
      <w:r w:rsidR="00AA6D17">
        <w:rPr>
          <w:rFonts w:cs="Times New Roman"/>
          <w:sz w:val="20"/>
          <w:szCs w:val="20"/>
        </w:rPr>
        <w:t>Mai-Ndombe</w:t>
      </w:r>
      <w:r w:rsidRPr="00970C57">
        <w:rPr>
          <w:rFonts w:cs="Times New Roman"/>
          <w:sz w:val="20"/>
          <w:szCs w:val="20"/>
        </w:rPr>
        <w:t>, dans les deux Territoires d’Inongo et de Kiri</w:t>
      </w:r>
      <w:r w:rsidR="00CE6F88">
        <w:rPr>
          <w:rFonts w:cs="Times New Roman"/>
          <w:sz w:val="20"/>
          <w:szCs w:val="20"/>
        </w:rPr>
        <w:t xml:space="preserve">, </w:t>
      </w:r>
      <w:r w:rsidRPr="00970C57">
        <w:rPr>
          <w:rFonts w:cs="Times New Roman"/>
          <w:sz w:val="20"/>
          <w:szCs w:val="20"/>
        </w:rPr>
        <w:t xml:space="preserve">où la pluviométrie est supérieure à 1700 mm avec des saisons sèches courtes et surtout interrompues de pluies très bénéfiques au cacao. Il est possible également de le conduire dans les galeries forestières des Territoires plus au sud (Kutu), ce qui aurait l’avantage de fixer ces galeries aujourd’hui grandement menacées. </w:t>
      </w:r>
    </w:p>
    <w:p w:rsidR="00970C57" w:rsidRPr="00970C57" w:rsidRDefault="00970C57" w:rsidP="005764FA">
      <w:pPr>
        <w:tabs>
          <w:tab w:val="left" w:pos="450"/>
        </w:tabs>
        <w:spacing w:line="240" w:lineRule="auto"/>
        <w:jc w:val="both"/>
        <w:rPr>
          <w:rFonts w:cs="Times New Roman"/>
          <w:sz w:val="20"/>
          <w:szCs w:val="20"/>
        </w:rPr>
      </w:pPr>
      <w:r w:rsidRPr="00970C57">
        <w:rPr>
          <w:rFonts w:cs="Times New Roman"/>
          <w:sz w:val="20"/>
          <w:szCs w:val="20"/>
        </w:rPr>
        <w:t xml:space="preserve">Contrairement à la filière café, celle du cacao n’a pas connu de période de déshérence totale durant les deux dernières décennies. Après le départ des acheteurs portugais, des acheteurs camerounais et congolais sont apparus dans la zone. Ils y ont développé une politique d’achat tout venant, sans investissement dans l’aval de la filière, sinon dans les fonds d’achats. Ils détiennent cependant d’intéressants savoir-faire. Récemment ils sont entrés en contact avec la société OLAM, en République du Congo, qui a acheté une partie de leurs stocks.  </w:t>
      </w:r>
    </w:p>
    <w:p w:rsidR="00970C57" w:rsidRPr="00970C57" w:rsidRDefault="00970C57" w:rsidP="005764FA">
      <w:pPr>
        <w:tabs>
          <w:tab w:val="left" w:pos="450"/>
        </w:tabs>
        <w:spacing w:line="240" w:lineRule="auto"/>
        <w:jc w:val="both"/>
        <w:rPr>
          <w:rFonts w:cs="Times New Roman"/>
          <w:sz w:val="20"/>
          <w:szCs w:val="20"/>
        </w:rPr>
      </w:pPr>
      <w:r w:rsidRPr="00970C57">
        <w:rPr>
          <w:rFonts w:cs="Times New Roman"/>
          <w:sz w:val="20"/>
          <w:szCs w:val="20"/>
        </w:rPr>
        <w:t>La relance de la filière est par ailleurs en cours dans le Territoire d’Inongo, grâce à l’action de l’ONG Internationale Trias qui opère dans la zone sur financements belge (</w:t>
      </w:r>
      <w:r w:rsidR="00AE6F5F" w:rsidRPr="00AE6F5F">
        <w:rPr>
          <w:rFonts w:cs="Times New Roman"/>
          <w:sz w:val="20"/>
          <w:szCs w:val="20"/>
        </w:rPr>
        <w:t xml:space="preserve">Directorat Général de la Coopération Internationale </w:t>
      </w:r>
      <w:r w:rsidR="00AE6F5F">
        <w:rPr>
          <w:rFonts w:cs="Times New Roman"/>
          <w:sz w:val="20"/>
          <w:szCs w:val="20"/>
        </w:rPr>
        <w:t xml:space="preserve">/ </w:t>
      </w:r>
      <w:r w:rsidRPr="00970C57">
        <w:rPr>
          <w:rFonts w:cs="Times New Roman"/>
          <w:sz w:val="20"/>
          <w:szCs w:val="20"/>
        </w:rPr>
        <w:t xml:space="preserve">DGCI) et Européens (Sécurité Alimentaire) depuis une dizaine d’années. Dans chacune des zones anciennes de production (Basengele, Bolia, Ntumba Nzale), des coopératives de planteurs ont été créées. Elles ont commercialisé 120 tonnes de cacao marchant en 2014, grâce à un système d’achat mis au point avec un acheteur suisse opérant à distance. Cette ONG a développé depuis quelques années un savoir-faire certain en matière de formation et d’organisation des planteurs et de facilitation pour l’aval de la filière, jusqu’en matière de labellisation sur laquelle elle travaille activement. Le projet pourrait appuyer la démarche de cette ONG dont les moyens limités ont permis une relance limitée. Ils pourraient être amplifiés, aussi bien pour faciliter la production que pour la dynamiser l’aval de la filière. Toutefois, le choix fait par l’ONG d’impliquer les coopératives dans la commercialisation a montré ses limites. Les coopératives restent fragiles et l’on s’interroge sur leur capacité à se professionnaliser et à occuper durablement ce segment de la chaîne de valeur. </w:t>
      </w:r>
    </w:p>
    <w:p w:rsidR="00970C57" w:rsidRPr="00970C57" w:rsidRDefault="00970C57" w:rsidP="005764FA">
      <w:pPr>
        <w:tabs>
          <w:tab w:val="left" w:pos="450"/>
        </w:tabs>
        <w:spacing w:after="0" w:line="240" w:lineRule="auto"/>
        <w:jc w:val="both"/>
        <w:rPr>
          <w:rFonts w:cs="Times New Roman"/>
          <w:sz w:val="20"/>
          <w:szCs w:val="20"/>
        </w:rPr>
      </w:pPr>
      <w:r w:rsidRPr="00970C57">
        <w:rPr>
          <w:rFonts w:cs="Times New Roman"/>
          <w:sz w:val="20"/>
          <w:szCs w:val="20"/>
        </w:rPr>
        <w:t xml:space="preserve">Les priorités présentées ci-dessus pour l’aval de la filière café restent valables pour celle du cacao. L’ONG Trias peut jouer un rôle d’ensemblier pour la mise en place d’une politique qui associerait la relance de la production à celle de l’aval de la filière, aval où les coopératives seraient articulées ou non à des opérateurs spécialisés, professionnels et à la gestion moins incertaine. C’est la stratégie que voudrait suivre le présent projet. Un accord pourra être passé dans ce sens avec cette ONG, qui pourrait également jouer un rôle de facilitateur et de formateur pour la filière café. </w:t>
      </w:r>
    </w:p>
    <w:p w:rsidR="00A777B8" w:rsidRDefault="00A777B8" w:rsidP="00A777B8">
      <w:pPr>
        <w:spacing w:after="0"/>
        <w:rPr>
          <w:sz w:val="20"/>
          <w:szCs w:val="20"/>
        </w:rPr>
      </w:pPr>
      <w:bookmarkStart w:id="26" w:name="_Toc420681598"/>
    </w:p>
    <w:p w:rsidR="00970C57" w:rsidRPr="005764FA" w:rsidRDefault="00970C57" w:rsidP="005764FA">
      <w:pPr>
        <w:rPr>
          <w:b/>
          <w:sz w:val="20"/>
          <w:lang w:eastAsia="en-US"/>
        </w:rPr>
      </w:pPr>
      <w:r w:rsidRPr="005764FA">
        <w:rPr>
          <w:b/>
          <w:sz w:val="20"/>
          <w:lang w:eastAsia="en-US"/>
        </w:rPr>
        <w:t>Objectif 5 : faciliter et sécuriser la circulation des biens et des personnes par des investissements structurants</w:t>
      </w:r>
      <w:bookmarkEnd w:id="26"/>
    </w:p>
    <w:p w:rsidR="00970C57" w:rsidRPr="00970C57" w:rsidRDefault="00970C57" w:rsidP="005764FA">
      <w:pPr>
        <w:tabs>
          <w:tab w:val="left" w:pos="450"/>
        </w:tabs>
        <w:spacing w:line="240" w:lineRule="auto"/>
        <w:jc w:val="both"/>
        <w:rPr>
          <w:rFonts w:cs="Times New Roman"/>
          <w:sz w:val="20"/>
          <w:szCs w:val="20"/>
        </w:rPr>
      </w:pPr>
      <w:r w:rsidRPr="00970C57">
        <w:rPr>
          <w:rFonts w:cs="Times New Roman"/>
          <w:sz w:val="20"/>
          <w:szCs w:val="20"/>
        </w:rPr>
        <w:t>Ces investissements structurants ont été évoqués lors des ateliers réunis dans chaque chef-lieu de Territoire par la mission de préparation du présent projet. La préoccupation principal</w:t>
      </w:r>
      <w:r w:rsidR="00594D19">
        <w:rPr>
          <w:rFonts w:cs="Times New Roman"/>
          <w:sz w:val="20"/>
          <w:szCs w:val="20"/>
        </w:rPr>
        <w:t>e exprimée pour l’ensemble des t</w:t>
      </w:r>
      <w:r w:rsidRPr="00970C57">
        <w:rPr>
          <w:rFonts w:cs="Times New Roman"/>
          <w:sz w:val="20"/>
          <w:szCs w:val="20"/>
        </w:rPr>
        <w:t xml:space="preserve">erritoires du District du </w:t>
      </w:r>
      <w:r w:rsidR="00AA6D17">
        <w:rPr>
          <w:rFonts w:cs="Times New Roman"/>
          <w:sz w:val="20"/>
          <w:szCs w:val="20"/>
        </w:rPr>
        <w:t>Mai-Ndombe</w:t>
      </w:r>
      <w:r w:rsidR="00594D19">
        <w:rPr>
          <w:rFonts w:cs="Times New Roman"/>
          <w:sz w:val="20"/>
          <w:szCs w:val="20"/>
        </w:rPr>
        <w:t xml:space="preserve"> </w:t>
      </w:r>
      <w:r w:rsidRPr="00970C57">
        <w:rPr>
          <w:rFonts w:cs="Times New Roman"/>
          <w:sz w:val="20"/>
          <w:szCs w:val="20"/>
        </w:rPr>
        <w:t>est le désenclavement. Bien que disposant d’un important réseau de voies navigables, et que des progrès importants aient été réalisés entre 2010 et 2015 en matière de rentabilité des navires de commerce</w:t>
      </w:r>
      <w:r w:rsidRPr="00970C57">
        <w:rPr>
          <w:rStyle w:val="FootnoteReference"/>
          <w:rFonts w:cs="Times New Roman"/>
          <w:sz w:val="20"/>
          <w:szCs w:val="20"/>
        </w:rPr>
        <w:footnoteReference w:id="17"/>
      </w:r>
      <w:r w:rsidRPr="00970C57">
        <w:rPr>
          <w:rFonts w:cs="Times New Roman"/>
          <w:sz w:val="20"/>
          <w:szCs w:val="20"/>
        </w:rPr>
        <w:t xml:space="preserve"> et d’investissements importants dans ce domaine</w:t>
      </w:r>
      <w:r w:rsidRPr="00970C57">
        <w:rPr>
          <w:rStyle w:val="FootnoteReference"/>
          <w:rFonts w:cs="Times New Roman"/>
          <w:sz w:val="20"/>
          <w:szCs w:val="20"/>
        </w:rPr>
        <w:footnoteReference w:id="18"/>
      </w:r>
      <w:r w:rsidRPr="00970C57">
        <w:rPr>
          <w:rFonts w:cs="Times New Roman"/>
          <w:sz w:val="20"/>
          <w:szCs w:val="20"/>
        </w:rPr>
        <w:t>, l’ensemble de la Province reste enclavée. Les baleinières restent un moyen dangereux</w:t>
      </w:r>
      <w:r w:rsidRPr="00970C57">
        <w:rPr>
          <w:rStyle w:val="FootnoteReference"/>
          <w:rFonts w:cs="Times New Roman"/>
          <w:sz w:val="20"/>
          <w:szCs w:val="20"/>
        </w:rPr>
        <w:footnoteReference w:id="19"/>
      </w:r>
      <w:r w:rsidRPr="00970C57">
        <w:rPr>
          <w:rFonts w:cs="Times New Roman"/>
          <w:sz w:val="20"/>
          <w:szCs w:val="20"/>
        </w:rPr>
        <w:t xml:space="preserve"> et lent de transport, les camions ne pénètrent que très difficilement dans la Province. Les priorités exprimées en matière de transport sont les suivantes :</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bookmarkStart w:id="27" w:name="_Toc414796751"/>
      <w:bookmarkEnd w:id="27"/>
      <w:r w:rsidRPr="005764FA">
        <w:rPr>
          <w:rFonts w:asciiTheme="minorHAnsi" w:eastAsiaTheme="minorEastAsia" w:hAnsiTheme="minorHAnsi"/>
          <w:sz w:val="20"/>
          <w:szCs w:val="20"/>
        </w:rPr>
        <w:t>Balisage des voies navigables au passage des épaves de bateau qui forment obstacle à la navigation dans les cours d’eau,</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Règlementation plus stricte du transport des personnes par baleinière et sur l’équipement de celles-ci (moteurs de secours, éclairage nocturne) ainsi que sur les contrôles de charge,</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Réduction des tracasseries tout au long des itinéraires de transport,</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Achèvement et entretien de la route Selenge-Nioki- Bendela qui relie les Territoires d’Inongo et de Kiri à Bandundu Ville et de là à Kinshasa par la route ouverte par l’Union Européenne dans le cadre du Projet d’Appui à la Réhabilitation et à l’Aménagement Urbain (PARAU),</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lastRenderedPageBreak/>
        <w:t>Entretien de la route Bokoro-Semendwa-Bendela, qui relie les Secteurs de Kemba, de Luabo et d’une partie des Batere de Kutu et l’ouest d’Oshwe à Bandundu ville et de là à Kinshasa,</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Reconstruction des ponts en bois de la route de Kiri à Pendzwa et de là à Bikoro et Mbandaka,</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Construction du pont sur la rivière Ngampoko entre Bolobo et Yumbi,</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Mise en service d’un bac entre Lediba et Masia Kwa sur la rivière Kasaï,</w:t>
      </w:r>
    </w:p>
    <w:p w:rsidR="00970C57" w:rsidRPr="005764FA"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Entretien des routes de desserte agricole les plus importantes conduisant aux voies navigables et permettant de relier les chefs-lieux de Territoire,</w:t>
      </w:r>
    </w:p>
    <w:p w:rsidR="00970C57" w:rsidRDefault="00970C57" w:rsidP="002E3A02">
      <w:pPr>
        <w:pStyle w:val="ListParagraph"/>
        <w:numPr>
          <w:ilvl w:val="0"/>
          <w:numId w:val="16"/>
        </w:numPr>
        <w:tabs>
          <w:tab w:val="left" w:pos="993"/>
        </w:tabs>
        <w:ind w:left="720"/>
        <w:jc w:val="both"/>
        <w:rPr>
          <w:rFonts w:asciiTheme="minorHAnsi" w:eastAsiaTheme="minorEastAsia" w:hAnsiTheme="minorHAnsi"/>
          <w:sz w:val="20"/>
          <w:szCs w:val="20"/>
        </w:rPr>
      </w:pPr>
      <w:r w:rsidRPr="005764FA">
        <w:rPr>
          <w:rFonts w:asciiTheme="minorHAnsi" w:eastAsiaTheme="minorEastAsia" w:hAnsiTheme="minorHAnsi"/>
          <w:sz w:val="20"/>
          <w:szCs w:val="20"/>
        </w:rPr>
        <w:t xml:space="preserve">Construction des ponts de la route menant de Semendwa à Oshwe. </w:t>
      </w:r>
    </w:p>
    <w:p w:rsidR="005764FA" w:rsidRPr="005764FA" w:rsidRDefault="005764FA" w:rsidP="005764FA">
      <w:pPr>
        <w:pStyle w:val="ListParagraph"/>
        <w:tabs>
          <w:tab w:val="left" w:pos="993"/>
        </w:tabs>
        <w:jc w:val="both"/>
        <w:rPr>
          <w:rFonts w:asciiTheme="minorHAnsi" w:eastAsiaTheme="minorEastAsia" w:hAnsiTheme="minorHAnsi"/>
          <w:sz w:val="20"/>
          <w:szCs w:val="20"/>
        </w:rPr>
      </w:pPr>
    </w:p>
    <w:p w:rsidR="00970C57" w:rsidRPr="00970C57" w:rsidRDefault="00970C57" w:rsidP="005764FA">
      <w:pPr>
        <w:tabs>
          <w:tab w:val="left" w:pos="450"/>
        </w:tabs>
        <w:spacing w:line="240" w:lineRule="auto"/>
        <w:jc w:val="both"/>
        <w:rPr>
          <w:rFonts w:cs="Times New Roman"/>
          <w:sz w:val="20"/>
          <w:szCs w:val="20"/>
        </w:rPr>
      </w:pPr>
      <w:r w:rsidRPr="00970C57">
        <w:rPr>
          <w:rFonts w:cs="Times New Roman"/>
          <w:sz w:val="20"/>
          <w:szCs w:val="20"/>
        </w:rPr>
        <w:t>Une partie de ces mesures est déjà prise en compte par les programmations du</w:t>
      </w:r>
      <w:r w:rsidR="008834AB">
        <w:rPr>
          <w:rFonts w:cs="Times New Roman"/>
          <w:sz w:val="20"/>
          <w:szCs w:val="20"/>
        </w:rPr>
        <w:t xml:space="preserve"> </w:t>
      </w:r>
      <w:r w:rsidR="008834AB" w:rsidRPr="008834AB">
        <w:rPr>
          <w:rFonts w:cs="Times New Roman"/>
          <w:sz w:val="20"/>
          <w:szCs w:val="20"/>
        </w:rPr>
        <w:t xml:space="preserve">Projet d’Appui au Développement des </w:t>
      </w:r>
      <w:r w:rsidR="008834AB">
        <w:rPr>
          <w:rFonts w:cs="Times New Roman"/>
          <w:sz w:val="20"/>
          <w:szCs w:val="20"/>
        </w:rPr>
        <w:t>Infrastructures Rurales (PADIR)</w:t>
      </w:r>
      <w:r w:rsidRPr="00970C57">
        <w:rPr>
          <w:rFonts w:cs="Times New Roman"/>
          <w:sz w:val="20"/>
          <w:szCs w:val="20"/>
        </w:rPr>
        <w:t xml:space="preserve"> de la BAD  (moitié de la route de Semendwa à Oshwe et entretien de la route principale de Bokoro à Semendwa) et du futur Projet d’Appui à la Réhabilitation et à l’Aménagement Urbain (PARAU) de l’Union Européenne. Il sera nécessaire d’intégrer ces programmations et de diriger les investissements du présent projet vers les axes et ouvrages non couverts par ces projets. Le Comité de Pilotage du Projet, pourra réaliser cette intégration avec l’ALE, la Direction des Voies de Desserte Agricole du Ministère de l’Agriculture Provincial et l’Office des Routes (OR), ainsi que les projets concernés (PADIR, PARAU).</w:t>
      </w:r>
    </w:p>
    <w:p w:rsidR="00970C57" w:rsidRPr="00970C57" w:rsidRDefault="00970C57" w:rsidP="005764FA">
      <w:pPr>
        <w:tabs>
          <w:tab w:val="left" w:pos="450"/>
        </w:tabs>
        <w:spacing w:line="240" w:lineRule="auto"/>
        <w:jc w:val="both"/>
        <w:rPr>
          <w:rFonts w:cs="Times New Roman"/>
          <w:sz w:val="20"/>
          <w:szCs w:val="20"/>
        </w:rPr>
      </w:pPr>
      <w:r w:rsidRPr="00970C57">
        <w:rPr>
          <w:rFonts w:cs="Times New Roman"/>
          <w:sz w:val="20"/>
          <w:szCs w:val="20"/>
        </w:rPr>
        <w:t>Les constructions de ponts (en dessous de 5 m) feront l’objet de contrats avec des entreprises ou ONGs locales. Au-delà les ouvrages seront confiés à des entreprises spécialisées ou à l’Office des Routes. Les contrats avec les entreprises seront directement gérés par l’UC-PIF. Le contrôle des travaux sera confié à l’ALE pour les ouvrages compris entre 2 et 6 m. Au-delà, il sera réalisé sur contrat spécifique par l’Office des Routes, sauf dans les cas où celui-ci serait maître d’œuvre de l’ouvrage, où un contrôleur indépendant sera contracté. Les travaux limités de balisage seront réalisés par une entreprise locale, agissant sous la supervision de la Régie des Voies Fluviales et de l’Union Congolaise des Associations de Baleiniers (UCAB). Il s’agit de travaux limités, consistant à signaler les endroits les plus dangereux. Une fois ces travaux réalisés, il sera nécessaire de former les pilotes des baleinières</w:t>
      </w:r>
      <w:r w:rsidR="008834AB">
        <w:rPr>
          <w:rFonts w:cs="Times New Roman"/>
          <w:sz w:val="20"/>
          <w:szCs w:val="20"/>
        </w:rPr>
        <w:t>. L’</w:t>
      </w:r>
      <w:r w:rsidRPr="00970C57">
        <w:rPr>
          <w:rFonts w:cs="Times New Roman"/>
          <w:sz w:val="20"/>
          <w:szCs w:val="20"/>
        </w:rPr>
        <w:t>UCAB</w:t>
      </w:r>
      <w:r w:rsidR="008834AB">
        <w:rPr>
          <w:rFonts w:cs="Times New Roman"/>
          <w:sz w:val="20"/>
          <w:szCs w:val="20"/>
        </w:rPr>
        <w:t xml:space="preserve"> pourrait prendre en charge cette formation.</w:t>
      </w:r>
    </w:p>
    <w:p w:rsidR="00F5585E" w:rsidRDefault="00970C57" w:rsidP="005764FA">
      <w:pPr>
        <w:tabs>
          <w:tab w:val="left" w:pos="450"/>
        </w:tabs>
        <w:spacing w:line="240" w:lineRule="auto"/>
        <w:jc w:val="both"/>
        <w:rPr>
          <w:rFonts w:cs="Times New Roman"/>
          <w:sz w:val="20"/>
          <w:szCs w:val="20"/>
        </w:rPr>
      </w:pPr>
      <w:r w:rsidRPr="00970C57">
        <w:rPr>
          <w:rFonts w:cs="Times New Roman"/>
          <w:sz w:val="20"/>
          <w:szCs w:val="20"/>
        </w:rPr>
        <w:t>L’entretien des routes sera intégralement réalisé par des cantonniers disposés le long des points chauds des routes concernées, et encadrés par les ingénieur</w:t>
      </w:r>
      <w:r w:rsidR="00C52BF4">
        <w:rPr>
          <w:rFonts w:cs="Times New Roman"/>
          <w:sz w:val="20"/>
          <w:szCs w:val="20"/>
        </w:rPr>
        <w:t>s TP de Territoire de l’ALE. 5</w:t>
      </w:r>
      <w:r w:rsidRPr="00970C57">
        <w:rPr>
          <w:rFonts w:cs="Times New Roman"/>
          <w:sz w:val="20"/>
          <w:szCs w:val="20"/>
        </w:rPr>
        <w:t xml:space="preserve">00 km sont ainsi programmés pour le District du </w:t>
      </w:r>
      <w:r w:rsidR="00AA6D17">
        <w:rPr>
          <w:rFonts w:cs="Times New Roman"/>
          <w:sz w:val="20"/>
          <w:szCs w:val="20"/>
        </w:rPr>
        <w:t>Mai-Ndombe</w:t>
      </w:r>
      <w:r w:rsidR="009B438C">
        <w:rPr>
          <w:rFonts w:cs="Times New Roman"/>
          <w:sz w:val="20"/>
          <w:szCs w:val="20"/>
        </w:rPr>
        <w:t xml:space="preserve"> </w:t>
      </w:r>
      <w:r w:rsidR="00C52BF4">
        <w:rPr>
          <w:rFonts w:cs="Times New Roman"/>
          <w:sz w:val="20"/>
          <w:szCs w:val="20"/>
        </w:rPr>
        <w:t>et 20</w:t>
      </w:r>
      <w:r w:rsidRPr="00970C57">
        <w:rPr>
          <w:rFonts w:cs="Times New Roman"/>
          <w:sz w:val="20"/>
          <w:szCs w:val="20"/>
        </w:rPr>
        <w:t xml:space="preserve">0 km pour le District </w:t>
      </w:r>
      <w:r w:rsidR="00A5055A">
        <w:rPr>
          <w:rFonts w:cs="Times New Roman"/>
          <w:sz w:val="20"/>
          <w:szCs w:val="20"/>
        </w:rPr>
        <w:t>du Plateau</w:t>
      </w:r>
      <w:r w:rsidRPr="00970C57">
        <w:rPr>
          <w:rFonts w:cs="Times New Roman"/>
          <w:sz w:val="20"/>
          <w:szCs w:val="20"/>
        </w:rPr>
        <w:t>, en complément aux 250 km déjà programmés par le PIREDD Plateau.</w:t>
      </w:r>
    </w:p>
    <w:p w:rsidR="00970C57" w:rsidRPr="00970C57" w:rsidRDefault="000673F2" w:rsidP="005764FA">
      <w:pPr>
        <w:tabs>
          <w:tab w:val="left" w:pos="450"/>
        </w:tabs>
        <w:spacing w:line="240" w:lineRule="auto"/>
        <w:jc w:val="both"/>
        <w:rPr>
          <w:rFonts w:cs="Times New Roman"/>
          <w:sz w:val="20"/>
          <w:szCs w:val="20"/>
        </w:rPr>
      </w:pPr>
      <w:r w:rsidRPr="000F2DE3">
        <w:rPr>
          <w:rFonts w:cs="Times New Roman"/>
          <w:sz w:val="20"/>
          <w:szCs w:val="20"/>
        </w:rPr>
        <w:t>Il est à noter qu’a</w:t>
      </w:r>
      <w:r w:rsidR="00F5585E" w:rsidRPr="000F2DE3">
        <w:rPr>
          <w:rFonts w:cs="Times New Roman"/>
          <w:sz w:val="20"/>
          <w:szCs w:val="20"/>
        </w:rPr>
        <w:t>ucune infrastructure nouvelle ne sera réalisée dans le cadre du projet. Il s’agira seulement de rétablir les connectivités qui existaient autrefois. Il n’y a donc pas de risques de déforestation liés à la création de nouvelles routes. Il est clair cependant qu’une meilleure circulation des biens et des personnes</w:t>
      </w:r>
      <w:r w:rsidR="00767094" w:rsidRPr="000F2DE3">
        <w:rPr>
          <w:rFonts w:cs="Times New Roman"/>
          <w:sz w:val="20"/>
          <w:szCs w:val="20"/>
        </w:rPr>
        <w:t xml:space="preserve"> </w:t>
      </w:r>
      <w:r w:rsidR="00862954" w:rsidRPr="000F2DE3">
        <w:rPr>
          <w:rFonts w:cs="Times New Roman"/>
          <w:sz w:val="20"/>
          <w:szCs w:val="20"/>
        </w:rPr>
        <w:t>pourrait favoriser</w:t>
      </w:r>
      <w:r w:rsidR="00767094" w:rsidRPr="000F2DE3">
        <w:rPr>
          <w:rFonts w:cs="Times New Roman"/>
          <w:sz w:val="20"/>
          <w:szCs w:val="20"/>
        </w:rPr>
        <w:t xml:space="preserve"> le développement </w:t>
      </w:r>
      <w:r w:rsidR="009850C7" w:rsidRPr="000F2DE3">
        <w:rPr>
          <w:rFonts w:cs="Times New Roman"/>
          <w:sz w:val="20"/>
          <w:szCs w:val="20"/>
        </w:rPr>
        <w:t>des cultures pérennes</w:t>
      </w:r>
      <w:r w:rsidR="00F5585E" w:rsidRPr="000F2DE3">
        <w:rPr>
          <w:rFonts w:cs="Times New Roman"/>
          <w:sz w:val="20"/>
          <w:szCs w:val="20"/>
        </w:rPr>
        <w:t xml:space="preserve"> dont la structuration</w:t>
      </w:r>
      <w:r w:rsidR="00800528" w:rsidRPr="000F2DE3">
        <w:rPr>
          <w:rFonts w:cs="Times New Roman"/>
          <w:sz w:val="20"/>
          <w:szCs w:val="20"/>
        </w:rPr>
        <w:t xml:space="preserve"> des filières</w:t>
      </w:r>
      <w:r w:rsidR="00F5585E" w:rsidRPr="000F2DE3">
        <w:rPr>
          <w:rFonts w:cs="Times New Roman"/>
          <w:sz w:val="20"/>
          <w:szCs w:val="20"/>
        </w:rPr>
        <w:t xml:space="preserve"> sera soutenue</w:t>
      </w:r>
      <w:r w:rsidR="00800528" w:rsidRPr="000F2DE3">
        <w:rPr>
          <w:rFonts w:cs="Times New Roman"/>
          <w:sz w:val="20"/>
          <w:szCs w:val="20"/>
        </w:rPr>
        <w:t xml:space="preserve"> par ailleurs</w:t>
      </w:r>
      <w:r w:rsidR="00F5585E" w:rsidRPr="000F2DE3">
        <w:rPr>
          <w:rFonts w:cs="Times New Roman"/>
          <w:sz w:val="20"/>
          <w:szCs w:val="20"/>
        </w:rPr>
        <w:t xml:space="preserve"> par le projet, ce qui pose la question de l’effet rebond.  </w:t>
      </w:r>
      <w:r w:rsidR="00800528" w:rsidRPr="000F2DE3">
        <w:rPr>
          <w:rFonts w:cs="Times New Roman"/>
          <w:sz w:val="20"/>
          <w:szCs w:val="20"/>
        </w:rPr>
        <w:t>Pour l’atténuer, l</w:t>
      </w:r>
      <w:r w:rsidR="00F5585E" w:rsidRPr="000F2DE3">
        <w:rPr>
          <w:rFonts w:cs="Times New Roman"/>
          <w:sz w:val="20"/>
          <w:szCs w:val="20"/>
        </w:rPr>
        <w:t xml:space="preserve">e développement des cultures pérennes s’inscrira dans une démarche d’aménagement du territoire avec des documents de gestion (PDD et PSG) </w:t>
      </w:r>
      <w:r w:rsidR="00800528" w:rsidRPr="000F2DE3">
        <w:rPr>
          <w:rFonts w:cs="Times New Roman"/>
          <w:sz w:val="20"/>
          <w:szCs w:val="20"/>
        </w:rPr>
        <w:t>disposant d’obligations contractuelles</w:t>
      </w:r>
      <w:r w:rsidR="00862954" w:rsidRPr="000F2DE3">
        <w:t xml:space="preserve"> (</w:t>
      </w:r>
      <w:r w:rsidR="00862954" w:rsidRPr="000F2DE3">
        <w:rPr>
          <w:rFonts w:cs="Times New Roman"/>
          <w:sz w:val="20"/>
          <w:szCs w:val="20"/>
        </w:rPr>
        <w:t>PDD et PSG seront enregistrés auprès des administrations décentralisées) et mis en œuvre avec le soutien de PSE</w:t>
      </w:r>
      <w:r w:rsidR="00800528" w:rsidRPr="000F2DE3">
        <w:rPr>
          <w:rFonts w:cs="Times New Roman"/>
          <w:sz w:val="20"/>
          <w:szCs w:val="20"/>
        </w:rPr>
        <w:t>. En d’autres termes, les communautés ne pourront déroger aux orientations de gestion de leurs terroirs sans conséquences financières</w:t>
      </w:r>
      <w:r w:rsidR="00862954" w:rsidRPr="000F2DE3">
        <w:rPr>
          <w:rFonts w:cs="Times New Roman"/>
          <w:sz w:val="20"/>
          <w:szCs w:val="20"/>
        </w:rPr>
        <w:t>.</w:t>
      </w:r>
      <w:r w:rsidR="00800528" w:rsidRPr="000F2DE3">
        <w:rPr>
          <w:rFonts w:cs="Times New Roman"/>
          <w:sz w:val="20"/>
          <w:szCs w:val="20"/>
        </w:rPr>
        <w:t xml:space="preserve"> Leur</w:t>
      </w:r>
      <w:r w:rsidR="00F5585E" w:rsidRPr="000F2DE3">
        <w:rPr>
          <w:rFonts w:cs="Times New Roman"/>
          <w:sz w:val="20"/>
          <w:szCs w:val="20"/>
        </w:rPr>
        <w:t xml:space="preserve"> mise en vigueur sera</w:t>
      </w:r>
      <w:r w:rsidR="00800528" w:rsidRPr="000F2DE3">
        <w:rPr>
          <w:rFonts w:cs="Times New Roman"/>
          <w:sz w:val="20"/>
          <w:szCs w:val="20"/>
        </w:rPr>
        <w:t xml:space="preserve"> de plus</w:t>
      </w:r>
      <w:r w:rsidR="00F5585E" w:rsidRPr="000F2DE3">
        <w:rPr>
          <w:rFonts w:cs="Times New Roman"/>
          <w:sz w:val="20"/>
          <w:szCs w:val="20"/>
        </w:rPr>
        <w:t xml:space="preserve"> facilitée bien au-delà de la durée de vie du présent projet</w:t>
      </w:r>
      <w:r w:rsidR="00800528" w:rsidRPr="000F2DE3">
        <w:rPr>
          <w:rFonts w:cs="Times New Roman"/>
          <w:sz w:val="20"/>
          <w:szCs w:val="20"/>
        </w:rPr>
        <w:t xml:space="preserve"> </w:t>
      </w:r>
      <w:r w:rsidR="00F5585E" w:rsidRPr="000F2DE3">
        <w:rPr>
          <w:rFonts w:cs="Times New Roman"/>
          <w:sz w:val="20"/>
          <w:szCs w:val="20"/>
        </w:rPr>
        <w:t xml:space="preserve">par les contrats d’achat / vente de réductions d’émission à intervenir, dont le premier devrait être signé en 2017 avec le Fonds Carbone du FCPF. </w:t>
      </w:r>
      <w:r w:rsidR="00800528" w:rsidRPr="000F2DE3">
        <w:rPr>
          <w:rFonts w:cs="Times New Roman"/>
          <w:sz w:val="20"/>
          <w:szCs w:val="20"/>
        </w:rPr>
        <w:t>Par</w:t>
      </w:r>
      <w:r w:rsidR="00F5585E" w:rsidRPr="000F2DE3">
        <w:rPr>
          <w:rFonts w:cs="Times New Roman"/>
          <w:sz w:val="20"/>
          <w:szCs w:val="20"/>
        </w:rPr>
        <w:t xml:space="preserve"> la mise en place dès 2012 d’une stratégie d’alignement de différents instruments financiers (</w:t>
      </w:r>
      <w:r w:rsidR="00800528" w:rsidRPr="000F2DE3">
        <w:rPr>
          <w:rFonts w:cs="Times New Roman"/>
          <w:sz w:val="20"/>
          <w:szCs w:val="20"/>
        </w:rPr>
        <w:t>PIF, CAFI, Finance Carbone) garantissant</w:t>
      </w:r>
      <w:r w:rsidR="00F5585E" w:rsidRPr="000F2DE3">
        <w:rPr>
          <w:rFonts w:cs="Times New Roman"/>
          <w:sz w:val="20"/>
          <w:szCs w:val="20"/>
        </w:rPr>
        <w:t xml:space="preserve"> la durabilité des PSE, gage de la b</w:t>
      </w:r>
      <w:r w:rsidR="000F63E9" w:rsidRPr="000F2DE3">
        <w:rPr>
          <w:rFonts w:cs="Times New Roman"/>
          <w:sz w:val="20"/>
          <w:szCs w:val="20"/>
        </w:rPr>
        <w:t>onne application des PDD et PSG</w:t>
      </w:r>
      <w:r w:rsidR="00800528" w:rsidRPr="000F2DE3">
        <w:rPr>
          <w:rFonts w:cs="Times New Roman"/>
          <w:sz w:val="20"/>
          <w:szCs w:val="20"/>
        </w:rPr>
        <w:t xml:space="preserve">, </w:t>
      </w:r>
      <w:r w:rsidR="00862954" w:rsidRPr="000F2DE3">
        <w:rPr>
          <w:rFonts w:cs="Times New Roman"/>
          <w:sz w:val="20"/>
          <w:szCs w:val="20"/>
        </w:rPr>
        <w:t>on espère ainsi limiter</w:t>
      </w:r>
      <w:r w:rsidR="00800528" w:rsidRPr="000F2DE3">
        <w:rPr>
          <w:rFonts w:cs="Times New Roman"/>
          <w:sz w:val="20"/>
          <w:szCs w:val="20"/>
        </w:rPr>
        <w:t xml:space="preserve"> l’effet rebond.</w:t>
      </w:r>
    </w:p>
    <w:p w:rsidR="00970C57" w:rsidRPr="00970C57" w:rsidRDefault="00970C57" w:rsidP="005764FA">
      <w:pPr>
        <w:tabs>
          <w:tab w:val="left" w:pos="450"/>
        </w:tabs>
        <w:spacing w:line="240" w:lineRule="auto"/>
        <w:jc w:val="both"/>
        <w:rPr>
          <w:rFonts w:cs="Times New Roman"/>
          <w:sz w:val="20"/>
          <w:szCs w:val="20"/>
        </w:rPr>
      </w:pPr>
      <w:r w:rsidRPr="00970C57">
        <w:rPr>
          <w:rFonts w:cs="Times New Roman"/>
          <w:sz w:val="20"/>
          <w:szCs w:val="20"/>
        </w:rPr>
        <w:t>Résultats intermédiaires attendus de cet objectif :</w:t>
      </w:r>
    </w:p>
    <w:tbl>
      <w:tblPr>
        <w:tblW w:w="9535" w:type="dxa"/>
        <w:tblLayout w:type="fixed"/>
        <w:tblLook w:val="04A0" w:firstRow="1" w:lastRow="0" w:firstColumn="1" w:lastColumn="0" w:noHBand="0" w:noVBand="1"/>
      </w:tblPr>
      <w:tblGrid>
        <w:gridCol w:w="421"/>
        <w:gridCol w:w="3174"/>
        <w:gridCol w:w="2430"/>
        <w:gridCol w:w="2338"/>
        <w:gridCol w:w="1172"/>
      </w:tblGrid>
      <w:tr w:rsidR="00970C57" w:rsidRPr="00796501" w:rsidTr="00BA7EC4">
        <w:trPr>
          <w:tblHeader/>
        </w:trPr>
        <w:tc>
          <w:tcPr>
            <w:tcW w:w="4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0C57" w:rsidRPr="00796501" w:rsidRDefault="00970C57">
            <w:pPr>
              <w:tabs>
                <w:tab w:val="left" w:pos="450"/>
              </w:tabs>
              <w:spacing w:after="0" w:line="240" w:lineRule="auto"/>
              <w:jc w:val="both"/>
              <w:rPr>
                <w:sz w:val="20"/>
                <w:szCs w:val="20"/>
              </w:rPr>
            </w:pPr>
          </w:p>
        </w:tc>
        <w:tc>
          <w:tcPr>
            <w:tcW w:w="317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796501" w:rsidRDefault="00970C57">
            <w:pPr>
              <w:tabs>
                <w:tab w:val="left" w:pos="450"/>
              </w:tabs>
              <w:spacing w:after="0" w:line="240" w:lineRule="auto"/>
              <w:jc w:val="center"/>
              <w:rPr>
                <w:b/>
                <w:sz w:val="20"/>
                <w:szCs w:val="20"/>
              </w:rPr>
            </w:pPr>
            <w:r w:rsidRPr="00796501">
              <w:rPr>
                <w:b/>
                <w:sz w:val="20"/>
                <w:szCs w:val="20"/>
              </w:rPr>
              <w:t>Résultat</w:t>
            </w:r>
          </w:p>
        </w:tc>
        <w:tc>
          <w:tcPr>
            <w:tcW w:w="243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796501" w:rsidRDefault="00970C57">
            <w:pPr>
              <w:tabs>
                <w:tab w:val="left" w:pos="450"/>
              </w:tabs>
              <w:spacing w:after="0" w:line="240" w:lineRule="auto"/>
              <w:jc w:val="center"/>
              <w:rPr>
                <w:b/>
                <w:sz w:val="20"/>
                <w:szCs w:val="20"/>
              </w:rPr>
            </w:pPr>
            <w:r w:rsidRPr="00796501">
              <w:rPr>
                <w:b/>
                <w:sz w:val="20"/>
                <w:szCs w:val="20"/>
              </w:rPr>
              <w:t>Indicateur</w:t>
            </w:r>
          </w:p>
        </w:tc>
        <w:tc>
          <w:tcPr>
            <w:tcW w:w="23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796501" w:rsidRDefault="00970C57">
            <w:pPr>
              <w:tabs>
                <w:tab w:val="left" w:pos="450"/>
              </w:tabs>
              <w:spacing w:after="0" w:line="240" w:lineRule="auto"/>
              <w:jc w:val="center"/>
              <w:rPr>
                <w:b/>
                <w:sz w:val="20"/>
                <w:szCs w:val="20"/>
              </w:rPr>
            </w:pPr>
            <w:r w:rsidRPr="00796501">
              <w:rPr>
                <w:b/>
                <w:sz w:val="20"/>
                <w:szCs w:val="20"/>
              </w:rPr>
              <w:t>Source de vérification</w:t>
            </w:r>
          </w:p>
        </w:tc>
        <w:tc>
          <w:tcPr>
            <w:tcW w:w="117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796501" w:rsidRDefault="00970C57">
            <w:pPr>
              <w:tabs>
                <w:tab w:val="left" w:pos="450"/>
              </w:tabs>
              <w:spacing w:after="0" w:line="240" w:lineRule="auto"/>
              <w:jc w:val="center"/>
              <w:rPr>
                <w:b/>
                <w:sz w:val="20"/>
                <w:szCs w:val="20"/>
              </w:rPr>
            </w:pPr>
            <w:r w:rsidRPr="00796501">
              <w:rPr>
                <w:b/>
                <w:sz w:val="20"/>
                <w:szCs w:val="20"/>
              </w:rPr>
              <w:t>Responsabilité</w:t>
            </w:r>
          </w:p>
        </w:tc>
      </w:tr>
      <w:tr w:rsidR="00970C57" w:rsidRPr="00796501" w:rsidTr="00BA7EC4">
        <w:tc>
          <w:tcPr>
            <w:tcW w:w="421"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sz w:val="20"/>
                <w:szCs w:val="20"/>
              </w:rPr>
            </w:pPr>
            <w:r w:rsidRPr="00796501">
              <w:rPr>
                <w:sz w:val="20"/>
                <w:szCs w:val="20"/>
              </w:rPr>
              <w:t>1</w:t>
            </w:r>
          </w:p>
        </w:tc>
        <w:tc>
          <w:tcPr>
            <w:tcW w:w="3174" w:type="dxa"/>
            <w:tcBorders>
              <w:top w:val="single" w:sz="4" w:space="0" w:color="auto"/>
              <w:left w:val="single" w:sz="4" w:space="0" w:color="auto"/>
              <w:bottom w:val="single" w:sz="4" w:space="0" w:color="auto"/>
              <w:right w:val="single" w:sz="4" w:space="0" w:color="auto"/>
            </w:tcBorders>
            <w:hideMark/>
          </w:tcPr>
          <w:p w:rsidR="00970C57" w:rsidRPr="00796501" w:rsidRDefault="00970C57" w:rsidP="005764FA">
            <w:pPr>
              <w:tabs>
                <w:tab w:val="left" w:pos="450"/>
              </w:tabs>
              <w:spacing w:after="0" w:line="240" w:lineRule="auto"/>
              <w:rPr>
                <w:sz w:val="20"/>
                <w:szCs w:val="20"/>
              </w:rPr>
            </w:pPr>
            <w:r w:rsidRPr="00796501">
              <w:rPr>
                <w:sz w:val="20"/>
                <w:szCs w:val="20"/>
              </w:rPr>
              <w:t>Les principaux axes routiers conduisant aux grands marchés sont entretenus, et la sécurité des transports est améliorée</w:t>
            </w:r>
          </w:p>
        </w:tc>
        <w:tc>
          <w:tcPr>
            <w:tcW w:w="2430" w:type="dxa"/>
            <w:tcBorders>
              <w:top w:val="single" w:sz="4" w:space="0" w:color="auto"/>
              <w:left w:val="single" w:sz="4" w:space="0" w:color="auto"/>
              <w:bottom w:val="single" w:sz="4" w:space="0" w:color="auto"/>
              <w:right w:val="single" w:sz="4" w:space="0" w:color="auto"/>
            </w:tcBorders>
            <w:hideMark/>
          </w:tcPr>
          <w:p w:rsidR="00970C57" w:rsidRPr="00796501" w:rsidRDefault="00970C57" w:rsidP="002E3A02">
            <w:pPr>
              <w:pStyle w:val="ListParagraph"/>
              <w:numPr>
                <w:ilvl w:val="0"/>
                <w:numId w:val="15"/>
              </w:numPr>
              <w:ind w:left="177" w:hanging="177"/>
              <w:contextualSpacing/>
              <w:rPr>
                <w:rFonts w:asciiTheme="minorHAnsi" w:hAnsiTheme="minorHAnsi"/>
                <w:sz w:val="20"/>
                <w:szCs w:val="20"/>
              </w:rPr>
            </w:pPr>
            <w:r w:rsidRPr="00796501">
              <w:rPr>
                <w:rFonts w:asciiTheme="minorHAnsi" w:hAnsiTheme="minorHAnsi"/>
                <w:sz w:val="20"/>
                <w:szCs w:val="20"/>
              </w:rPr>
              <w:t>Ponts et bacs réhabilités (</w:t>
            </w:r>
            <w:r w:rsidR="00FD3F82">
              <w:rPr>
                <w:rFonts w:asciiTheme="minorHAnsi" w:hAnsiTheme="minorHAnsi"/>
                <w:sz w:val="20"/>
                <w:szCs w:val="20"/>
              </w:rPr>
              <w:t>41+1</w:t>
            </w:r>
            <w:r w:rsidRPr="00796501">
              <w:rPr>
                <w:rFonts w:asciiTheme="minorHAnsi" w:hAnsiTheme="minorHAnsi"/>
                <w:sz w:val="20"/>
                <w:szCs w:val="20"/>
              </w:rPr>
              <w:t>)</w:t>
            </w:r>
          </w:p>
          <w:p w:rsidR="00970C57" w:rsidRPr="00796501" w:rsidRDefault="00970C57" w:rsidP="002E3A02">
            <w:pPr>
              <w:pStyle w:val="ListParagraph"/>
              <w:numPr>
                <w:ilvl w:val="0"/>
                <w:numId w:val="15"/>
              </w:numPr>
              <w:tabs>
                <w:tab w:val="left" w:pos="450"/>
              </w:tabs>
              <w:ind w:left="177" w:hanging="177"/>
              <w:contextualSpacing/>
              <w:rPr>
                <w:rFonts w:asciiTheme="minorHAnsi" w:hAnsiTheme="minorHAnsi"/>
                <w:sz w:val="20"/>
                <w:szCs w:val="20"/>
              </w:rPr>
            </w:pPr>
            <w:r w:rsidRPr="00796501">
              <w:rPr>
                <w:rFonts w:asciiTheme="minorHAnsi" w:hAnsiTheme="minorHAnsi"/>
                <w:sz w:val="20"/>
                <w:szCs w:val="20"/>
              </w:rPr>
              <w:t>Roulab</w:t>
            </w:r>
            <w:r w:rsidR="00C52BF4">
              <w:rPr>
                <w:rFonts w:asciiTheme="minorHAnsi" w:hAnsiTheme="minorHAnsi"/>
                <w:sz w:val="20"/>
                <w:szCs w:val="20"/>
              </w:rPr>
              <w:t>ilité des principaux axes (700</w:t>
            </w:r>
            <w:r w:rsidRPr="00796501">
              <w:rPr>
                <w:rFonts w:asciiTheme="minorHAnsi" w:hAnsiTheme="minorHAnsi"/>
                <w:sz w:val="20"/>
                <w:szCs w:val="20"/>
              </w:rPr>
              <w:t xml:space="preserve"> km)</w:t>
            </w:r>
          </w:p>
        </w:tc>
        <w:tc>
          <w:tcPr>
            <w:tcW w:w="2338" w:type="dxa"/>
            <w:tcBorders>
              <w:top w:val="single" w:sz="4" w:space="0" w:color="auto"/>
              <w:left w:val="single" w:sz="4" w:space="0" w:color="auto"/>
              <w:bottom w:val="single" w:sz="4" w:space="0" w:color="auto"/>
              <w:right w:val="single" w:sz="4" w:space="0" w:color="auto"/>
            </w:tcBorders>
            <w:hideMark/>
          </w:tcPr>
          <w:p w:rsidR="00970C57" w:rsidRPr="00796501" w:rsidRDefault="00970C57" w:rsidP="005764FA">
            <w:pPr>
              <w:tabs>
                <w:tab w:val="left" w:pos="450"/>
              </w:tabs>
              <w:spacing w:after="0" w:line="240" w:lineRule="auto"/>
              <w:rPr>
                <w:sz w:val="20"/>
                <w:szCs w:val="20"/>
              </w:rPr>
            </w:pPr>
            <w:r w:rsidRPr="00796501">
              <w:rPr>
                <w:sz w:val="20"/>
                <w:szCs w:val="20"/>
              </w:rPr>
              <w:t>Rapports des CARTs et du Comité de Pilotage</w:t>
            </w:r>
          </w:p>
        </w:tc>
        <w:tc>
          <w:tcPr>
            <w:tcW w:w="1172" w:type="dxa"/>
            <w:tcBorders>
              <w:top w:val="single" w:sz="4" w:space="0" w:color="auto"/>
              <w:left w:val="single" w:sz="4" w:space="0" w:color="auto"/>
              <w:bottom w:val="single" w:sz="4" w:space="0" w:color="auto"/>
              <w:right w:val="single" w:sz="4" w:space="0" w:color="auto"/>
            </w:tcBorders>
            <w:hideMark/>
          </w:tcPr>
          <w:p w:rsidR="00970C57" w:rsidRPr="00796501" w:rsidRDefault="00970C57" w:rsidP="005764FA">
            <w:pPr>
              <w:tabs>
                <w:tab w:val="left" w:pos="450"/>
              </w:tabs>
              <w:spacing w:after="0" w:line="240" w:lineRule="auto"/>
              <w:rPr>
                <w:sz w:val="20"/>
                <w:szCs w:val="20"/>
              </w:rPr>
            </w:pPr>
            <w:r w:rsidRPr="00796501">
              <w:rPr>
                <w:sz w:val="20"/>
                <w:szCs w:val="20"/>
              </w:rPr>
              <w:t>Les CARTs et le Comité de Pilotage</w:t>
            </w:r>
          </w:p>
        </w:tc>
      </w:tr>
      <w:tr w:rsidR="00970C57" w:rsidRPr="00796501" w:rsidTr="00BA7EC4">
        <w:tc>
          <w:tcPr>
            <w:tcW w:w="421"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sz w:val="20"/>
                <w:szCs w:val="20"/>
              </w:rPr>
            </w:pPr>
            <w:r w:rsidRPr="00796501">
              <w:rPr>
                <w:sz w:val="20"/>
                <w:szCs w:val="20"/>
              </w:rPr>
              <w:t>2</w:t>
            </w:r>
          </w:p>
        </w:tc>
        <w:tc>
          <w:tcPr>
            <w:tcW w:w="3174" w:type="dxa"/>
            <w:tcBorders>
              <w:top w:val="single" w:sz="4" w:space="0" w:color="auto"/>
              <w:left w:val="single" w:sz="4" w:space="0" w:color="auto"/>
              <w:bottom w:val="single" w:sz="4" w:space="0" w:color="auto"/>
              <w:right w:val="single" w:sz="4" w:space="0" w:color="auto"/>
            </w:tcBorders>
            <w:hideMark/>
          </w:tcPr>
          <w:p w:rsidR="00970C57" w:rsidRPr="00796501" w:rsidRDefault="00970C57" w:rsidP="005764FA">
            <w:pPr>
              <w:tabs>
                <w:tab w:val="left" w:pos="450"/>
              </w:tabs>
              <w:spacing w:after="0" w:line="240" w:lineRule="auto"/>
              <w:rPr>
                <w:sz w:val="20"/>
                <w:szCs w:val="20"/>
              </w:rPr>
            </w:pPr>
            <w:r w:rsidRPr="00796501">
              <w:rPr>
                <w:sz w:val="20"/>
                <w:szCs w:val="20"/>
              </w:rPr>
              <w:t>La taxation illégale est diminuée dans le transport fluvial et routier</w:t>
            </w:r>
          </w:p>
        </w:tc>
        <w:tc>
          <w:tcPr>
            <w:tcW w:w="2430" w:type="dxa"/>
            <w:tcBorders>
              <w:top w:val="single" w:sz="4" w:space="0" w:color="auto"/>
              <w:left w:val="single" w:sz="4" w:space="0" w:color="auto"/>
              <w:bottom w:val="single" w:sz="4" w:space="0" w:color="auto"/>
              <w:right w:val="single" w:sz="4" w:space="0" w:color="auto"/>
            </w:tcBorders>
            <w:hideMark/>
          </w:tcPr>
          <w:p w:rsidR="00970C57" w:rsidRPr="00796501" w:rsidRDefault="00970C57" w:rsidP="002E3A02">
            <w:pPr>
              <w:pStyle w:val="ListParagraph"/>
              <w:numPr>
                <w:ilvl w:val="0"/>
                <w:numId w:val="15"/>
              </w:numPr>
              <w:ind w:left="177" w:hanging="177"/>
              <w:contextualSpacing/>
              <w:rPr>
                <w:rFonts w:asciiTheme="minorHAnsi" w:hAnsiTheme="minorHAnsi"/>
                <w:sz w:val="20"/>
                <w:szCs w:val="20"/>
              </w:rPr>
            </w:pPr>
            <w:r w:rsidRPr="00796501">
              <w:rPr>
                <w:rFonts w:asciiTheme="minorHAnsi" w:hAnsiTheme="minorHAnsi"/>
                <w:sz w:val="20"/>
                <w:szCs w:val="20"/>
              </w:rPr>
              <w:t>Nombre de bureaux percepteurs</w:t>
            </w:r>
          </w:p>
          <w:p w:rsidR="00970C57" w:rsidRPr="00796501" w:rsidRDefault="00970C57" w:rsidP="002E3A02">
            <w:pPr>
              <w:pStyle w:val="ListParagraph"/>
              <w:numPr>
                <w:ilvl w:val="0"/>
                <w:numId w:val="15"/>
              </w:numPr>
              <w:ind w:left="177" w:hanging="177"/>
              <w:contextualSpacing/>
              <w:rPr>
                <w:rFonts w:asciiTheme="minorHAnsi" w:hAnsiTheme="minorHAnsi"/>
                <w:sz w:val="20"/>
                <w:szCs w:val="20"/>
              </w:rPr>
            </w:pPr>
            <w:r w:rsidRPr="00796501">
              <w:rPr>
                <w:rFonts w:asciiTheme="minorHAnsi" w:hAnsiTheme="minorHAnsi"/>
                <w:sz w:val="20"/>
                <w:szCs w:val="20"/>
              </w:rPr>
              <w:t>Nombre et montants des taxes dans la Province.</w:t>
            </w:r>
          </w:p>
        </w:tc>
        <w:tc>
          <w:tcPr>
            <w:tcW w:w="2338" w:type="dxa"/>
            <w:tcBorders>
              <w:top w:val="single" w:sz="4" w:space="0" w:color="auto"/>
              <w:left w:val="single" w:sz="4" w:space="0" w:color="auto"/>
              <w:bottom w:val="single" w:sz="4" w:space="0" w:color="auto"/>
              <w:right w:val="single" w:sz="4" w:space="0" w:color="auto"/>
            </w:tcBorders>
            <w:hideMark/>
          </w:tcPr>
          <w:p w:rsidR="00970C57" w:rsidRPr="00796501" w:rsidRDefault="00970C57" w:rsidP="005764FA">
            <w:pPr>
              <w:tabs>
                <w:tab w:val="left" w:pos="450"/>
              </w:tabs>
              <w:spacing w:after="0" w:line="240" w:lineRule="auto"/>
              <w:rPr>
                <w:sz w:val="20"/>
                <w:szCs w:val="20"/>
              </w:rPr>
            </w:pPr>
            <w:r w:rsidRPr="00796501">
              <w:rPr>
                <w:sz w:val="20"/>
                <w:szCs w:val="20"/>
              </w:rPr>
              <w:t>Rapports des CARTs et du Comité de Pilotage. Situation de référence en début de projet</w:t>
            </w:r>
          </w:p>
        </w:tc>
        <w:tc>
          <w:tcPr>
            <w:tcW w:w="1172" w:type="dxa"/>
            <w:tcBorders>
              <w:top w:val="single" w:sz="4" w:space="0" w:color="auto"/>
              <w:left w:val="single" w:sz="4" w:space="0" w:color="auto"/>
              <w:bottom w:val="single" w:sz="4" w:space="0" w:color="auto"/>
              <w:right w:val="single" w:sz="4" w:space="0" w:color="auto"/>
            </w:tcBorders>
            <w:hideMark/>
          </w:tcPr>
          <w:p w:rsidR="00970C57" w:rsidRPr="00796501" w:rsidRDefault="00970C57" w:rsidP="005764FA">
            <w:pPr>
              <w:tabs>
                <w:tab w:val="left" w:pos="450"/>
              </w:tabs>
              <w:spacing w:after="0" w:line="240" w:lineRule="auto"/>
              <w:rPr>
                <w:sz w:val="20"/>
                <w:szCs w:val="20"/>
              </w:rPr>
            </w:pPr>
            <w:r w:rsidRPr="00796501">
              <w:rPr>
                <w:sz w:val="20"/>
                <w:szCs w:val="20"/>
              </w:rPr>
              <w:t>Les CARTs et les Comité de Pilotage</w:t>
            </w:r>
          </w:p>
        </w:tc>
      </w:tr>
    </w:tbl>
    <w:p w:rsidR="00970C57" w:rsidRPr="00970C57" w:rsidRDefault="00970C57" w:rsidP="00970C57">
      <w:pPr>
        <w:tabs>
          <w:tab w:val="left" w:pos="450"/>
        </w:tabs>
        <w:spacing w:line="240" w:lineRule="auto"/>
        <w:jc w:val="both"/>
        <w:rPr>
          <w:sz w:val="20"/>
          <w:szCs w:val="20"/>
        </w:rPr>
      </w:pPr>
    </w:p>
    <w:p w:rsidR="000F2DE3" w:rsidRDefault="000F2DE3">
      <w:pPr>
        <w:spacing w:after="160" w:line="259" w:lineRule="auto"/>
        <w:rPr>
          <w:sz w:val="20"/>
          <w:szCs w:val="20"/>
        </w:rPr>
      </w:pPr>
      <w:r>
        <w:rPr>
          <w:sz w:val="20"/>
          <w:szCs w:val="20"/>
        </w:rPr>
        <w:br w:type="page"/>
      </w:r>
    </w:p>
    <w:p w:rsidR="00970C57" w:rsidRPr="00970C57" w:rsidRDefault="00970C57" w:rsidP="005764FA">
      <w:pPr>
        <w:tabs>
          <w:tab w:val="left" w:pos="450"/>
        </w:tabs>
        <w:spacing w:line="240" w:lineRule="auto"/>
        <w:jc w:val="both"/>
        <w:rPr>
          <w:sz w:val="20"/>
          <w:szCs w:val="20"/>
        </w:rPr>
      </w:pPr>
      <w:r w:rsidRPr="00970C57">
        <w:rPr>
          <w:sz w:val="20"/>
          <w:szCs w:val="20"/>
        </w:rPr>
        <w:lastRenderedPageBreak/>
        <w:t>Activités :</w:t>
      </w:r>
    </w:p>
    <w:tbl>
      <w:tblPr>
        <w:tblW w:w="9535" w:type="dxa"/>
        <w:tblLook w:val="04A0" w:firstRow="1" w:lastRow="0" w:firstColumn="1" w:lastColumn="0" w:noHBand="0" w:noVBand="1"/>
      </w:tblPr>
      <w:tblGrid>
        <w:gridCol w:w="562"/>
        <w:gridCol w:w="4395"/>
        <w:gridCol w:w="1842"/>
        <w:gridCol w:w="2736"/>
      </w:tblGrid>
      <w:tr w:rsidR="00970C57" w:rsidRPr="00796501" w:rsidTr="00BA7EC4">
        <w:trPr>
          <w:tblHeader/>
        </w:trPr>
        <w:tc>
          <w:tcPr>
            <w:tcW w:w="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0C57" w:rsidRPr="00796501" w:rsidRDefault="00970C57">
            <w:pPr>
              <w:tabs>
                <w:tab w:val="left" w:pos="450"/>
              </w:tabs>
              <w:spacing w:after="0" w:line="240" w:lineRule="auto"/>
              <w:jc w:val="both"/>
              <w:rPr>
                <w:rFonts w:cs="Times New Roman"/>
                <w:bCs/>
                <w:iCs/>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Activité</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Responsabilité de mise en œuvre</w:t>
            </w:r>
          </w:p>
        </w:tc>
        <w:tc>
          <w:tcPr>
            <w:tcW w:w="273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Indicateur</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1</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Actualisation des PDD de Territoire (CARTs, etc.)</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Objectifs validés</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2</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 xml:space="preserve">Validation de la programmation par le Comité de Pilotage </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 et Comité de pilotage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Objectifs priorisés et validés</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3</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Elaboration des TdRs pour les grands ponts et le bac de Lédiba, estimation détaillée des coûts.</w:t>
            </w:r>
          </w:p>
        </w:tc>
        <w:tc>
          <w:tcPr>
            <w:tcW w:w="1842" w:type="dxa"/>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 PIF  et O</w:t>
            </w:r>
            <w:r w:rsidR="00FD3F82">
              <w:rPr>
                <w:rFonts w:cs="Times New Roman"/>
                <w:bCs/>
                <w:iCs/>
                <w:sz w:val="20"/>
                <w:szCs w:val="20"/>
              </w:rPr>
              <w:t>R</w:t>
            </w:r>
          </w:p>
          <w:p w:rsidR="00970C57" w:rsidRPr="00796501" w:rsidRDefault="00970C57">
            <w:pPr>
              <w:tabs>
                <w:tab w:val="left" w:pos="450"/>
              </w:tabs>
              <w:spacing w:after="0" w:line="240" w:lineRule="auto"/>
              <w:jc w:val="both"/>
              <w:rPr>
                <w:rFonts w:cs="Times New Roman"/>
                <w:bCs/>
                <w:iCs/>
                <w:sz w:val="20"/>
                <w:szCs w:val="20"/>
              </w:rPr>
            </w:pP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TdRs existants</w:t>
            </w:r>
          </w:p>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Coûts validés par le Comité de Pilotage</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4</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Contrats avec l’Office des Routes pour l’Assistance Technique des ponts et bac</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PIF et ALE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Contrats signés</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5</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TdRs ONG locales pour entretien des routes</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rPr>
                <w:rFonts w:cs="Times New Roman"/>
                <w:bCs/>
                <w:iCs/>
                <w:sz w:val="20"/>
                <w:szCs w:val="20"/>
              </w:rPr>
            </w:pPr>
            <w:r w:rsidRPr="00796501">
              <w:rPr>
                <w:rFonts w:cs="Times New Roman"/>
                <w:bCs/>
                <w:iCs/>
                <w:sz w:val="20"/>
                <w:szCs w:val="20"/>
              </w:rPr>
              <w:t>ALE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TdRs existants</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6</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Contractualisation avec ONGs locales et CLD pour entretien des routes</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Contrats signés</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7</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Formation cantonniers</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Rapports de formation et rapports d’ALE</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8</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rPr>
                <w:rFonts w:cs="Times New Roman"/>
                <w:bCs/>
                <w:iCs/>
                <w:sz w:val="20"/>
                <w:szCs w:val="20"/>
              </w:rPr>
            </w:pPr>
            <w:r w:rsidRPr="00796501">
              <w:rPr>
                <w:rFonts w:cs="Times New Roman"/>
                <w:bCs/>
                <w:iCs/>
                <w:sz w:val="20"/>
                <w:szCs w:val="20"/>
              </w:rPr>
              <w:t>Paiement des ONGs et CLDs (cantonniers)</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Rapports d’exécution et rapport financier</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9</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rPr>
                <w:rFonts w:cs="Times New Roman"/>
                <w:bCs/>
                <w:iCs/>
                <w:sz w:val="20"/>
                <w:szCs w:val="20"/>
              </w:rPr>
            </w:pPr>
            <w:r w:rsidRPr="00796501">
              <w:rPr>
                <w:rFonts w:cs="Times New Roman"/>
                <w:bCs/>
                <w:iCs/>
                <w:sz w:val="20"/>
                <w:szCs w:val="20"/>
              </w:rPr>
              <w:t>Suivi-évaluation régulier (fonctionnaires à pied d’œuvre) rapports hebdomadaires pour les gros ouvrages (réunions de chantier)</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Rapports des ingénieurs TP de l’ALE</w:t>
            </w:r>
          </w:p>
        </w:tc>
      </w:tr>
      <w:tr w:rsidR="00970C57" w:rsidRPr="00796501" w:rsidTr="00BA7EC4">
        <w:tc>
          <w:tcPr>
            <w:tcW w:w="56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10</w:t>
            </w:r>
          </w:p>
        </w:tc>
        <w:tc>
          <w:tcPr>
            <w:tcW w:w="4395"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Suivi-évaluation semestriel</w:t>
            </w:r>
          </w:p>
        </w:tc>
        <w:tc>
          <w:tcPr>
            <w:tcW w:w="1842"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ALE, DVDA, O</w:t>
            </w:r>
            <w:r w:rsidR="00FD3F82">
              <w:rPr>
                <w:rFonts w:cs="Times New Roman"/>
                <w:bCs/>
                <w:iCs/>
                <w:sz w:val="20"/>
                <w:szCs w:val="20"/>
              </w:rPr>
              <w:t>R</w:t>
            </w:r>
          </w:p>
        </w:tc>
        <w:tc>
          <w:tcPr>
            <w:tcW w:w="2736" w:type="dxa"/>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Rapport de suivi-évaluation</w:t>
            </w:r>
          </w:p>
        </w:tc>
      </w:tr>
    </w:tbl>
    <w:p w:rsidR="00970C57" w:rsidRPr="00970C57" w:rsidRDefault="00970C57" w:rsidP="00E97C3A">
      <w:pPr>
        <w:tabs>
          <w:tab w:val="left" w:pos="450"/>
        </w:tabs>
        <w:spacing w:after="0"/>
        <w:jc w:val="both"/>
        <w:rPr>
          <w:rFonts w:cs="Times New Roman"/>
          <w:b/>
          <w:bCs/>
          <w:i/>
          <w:iCs/>
          <w:sz w:val="20"/>
          <w:szCs w:val="20"/>
          <w:u w:val="single"/>
        </w:rPr>
      </w:pPr>
    </w:p>
    <w:p w:rsidR="00970C57" w:rsidRPr="00970C57" w:rsidRDefault="00970C57" w:rsidP="00D54F55">
      <w:pPr>
        <w:tabs>
          <w:tab w:val="left" w:pos="450"/>
        </w:tabs>
        <w:spacing w:line="240" w:lineRule="auto"/>
        <w:jc w:val="both"/>
        <w:rPr>
          <w:sz w:val="20"/>
          <w:szCs w:val="20"/>
        </w:rPr>
      </w:pPr>
      <w:r w:rsidRPr="00970C57">
        <w:rPr>
          <w:sz w:val="20"/>
          <w:szCs w:val="20"/>
        </w:rPr>
        <w:t xml:space="preserve">Calendrier de mise en œuvre </w:t>
      </w:r>
    </w:p>
    <w:tbl>
      <w:tblPr>
        <w:tblW w:w="5000" w:type="pct"/>
        <w:jc w:val="center"/>
        <w:tblLook w:val="04A0" w:firstRow="1" w:lastRow="0" w:firstColumn="1" w:lastColumn="0" w:noHBand="0" w:noVBand="1"/>
      </w:tblPr>
      <w:tblGrid>
        <w:gridCol w:w="359"/>
        <w:gridCol w:w="3271"/>
        <w:gridCol w:w="383"/>
        <w:gridCol w:w="384"/>
        <w:gridCol w:w="386"/>
        <w:gridCol w:w="388"/>
        <w:gridCol w:w="386"/>
        <w:gridCol w:w="384"/>
        <w:gridCol w:w="386"/>
        <w:gridCol w:w="386"/>
        <w:gridCol w:w="384"/>
        <w:gridCol w:w="386"/>
        <w:gridCol w:w="384"/>
        <w:gridCol w:w="388"/>
        <w:gridCol w:w="384"/>
        <w:gridCol w:w="386"/>
        <w:gridCol w:w="384"/>
        <w:gridCol w:w="639"/>
      </w:tblGrid>
      <w:tr w:rsidR="00970C57" w:rsidRPr="00796501" w:rsidTr="00BA7EC4">
        <w:trPr>
          <w:trHeight w:val="113"/>
          <w:tblHeader/>
          <w:jc w:val="center"/>
        </w:trPr>
        <w:tc>
          <w:tcPr>
            <w:tcW w:w="17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70C57" w:rsidRPr="00796501" w:rsidRDefault="00970C57">
            <w:pPr>
              <w:tabs>
                <w:tab w:val="left" w:pos="450"/>
              </w:tabs>
              <w:spacing w:after="0" w:line="240" w:lineRule="auto"/>
              <w:jc w:val="both"/>
              <w:rPr>
                <w:rFonts w:cs="Times New Roman"/>
                <w:b/>
                <w:bCs/>
                <w:iCs/>
                <w:sz w:val="20"/>
                <w:szCs w:val="20"/>
              </w:rPr>
            </w:pPr>
          </w:p>
        </w:tc>
        <w:tc>
          <w:tcPr>
            <w:tcW w:w="1628"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Activité</w:t>
            </w:r>
          </w:p>
        </w:tc>
        <w:tc>
          <w:tcPr>
            <w:tcW w:w="3193" w:type="pct"/>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Années</w:t>
            </w:r>
          </w:p>
        </w:tc>
      </w:tr>
      <w:tr w:rsidR="00970C57" w:rsidRPr="00796501" w:rsidTr="00BA7EC4">
        <w:trPr>
          <w:trHeight w:val="113"/>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spacing w:after="0" w:line="240" w:lineRule="auto"/>
              <w:rPr>
                <w:rFonts w:cs="Times New Roman"/>
                <w:b/>
                <w:bCs/>
                <w:i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spacing w:after="0" w:line="240" w:lineRule="auto"/>
              <w:rPr>
                <w:rFonts w:cs="Times New Roman"/>
                <w:b/>
                <w:bCs/>
                <w:iCs/>
                <w:sz w:val="20"/>
                <w:szCs w:val="20"/>
              </w:rPr>
            </w:pPr>
          </w:p>
        </w:tc>
        <w:tc>
          <w:tcPr>
            <w:tcW w:w="767"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1</w:t>
            </w:r>
          </w:p>
        </w:tc>
        <w:tc>
          <w:tcPr>
            <w:tcW w:w="767"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2</w:t>
            </w:r>
          </w:p>
        </w:tc>
        <w:tc>
          <w:tcPr>
            <w:tcW w:w="767"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3</w:t>
            </w:r>
          </w:p>
        </w:tc>
        <w:tc>
          <w:tcPr>
            <w:tcW w:w="894"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0C57" w:rsidRPr="00796501" w:rsidRDefault="00970C57">
            <w:pPr>
              <w:tabs>
                <w:tab w:val="left" w:pos="450"/>
              </w:tabs>
              <w:spacing w:after="0" w:line="240" w:lineRule="auto"/>
              <w:jc w:val="center"/>
              <w:rPr>
                <w:rFonts w:cs="Times New Roman"/>
                <w:b/>
                <w:bCs/>
                <w:iCs/>
                <w:sz w:val="20"/>
                <w:szCs w:val="20"/>
              </w:rPr>
            </w:pPr>
            <w:r w:rsidRPr="00796501">
              <w:rPr>
                <w:rFonts w:cs="Times New Roman"/>
                <w:b/>
                <w:bCs/>
                <w:iCs/>
                <w:sz w:val="20"/>
                <w:szCs w:val="20"/>
              </w:rPr>
              <w:t>4</w:t>
            </w: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1</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 xml:space="preserve">PDD de </w:t>
            </w:r>
            <w:r w:rsidR="003D6B63">
              <w:rPr>
                <w:rFonts w:cs="Times New Roman"/>
                <w:bCs/>
                <w:iCs/>
                <w:sz w:val="20"/>
                <w:szCs w:val="20"/>
              </w:rPr>
              <w:t xml:space="preserve">Secteur et de </w:t>
            </w:r>
            <w:r w:rsidRPr="00796501">
              <w:rPr>
                <w:rFonts w:cs="Times New Roman"/>
                <w:bCs/>
                <w:iCs/>
                <w:sz w:val="20"/>
                <w:szCs w:val="20"/>
              </w:rPr>
              <w:t>Territoire</w:t>
            </w: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2</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PDD de</w:t>
            </w:r>
            <w:r w:rsidR="003D6B63">
              <w:rPr>
                <w:rFonts w:cs="Times New Roman"/>
                <w:bCs/>
                <w:iCs/>
                <w:sz w:val="20"/>
                <w:szCs w:val="20"/>
              </w:rPr>
              <w:t xml:space="preserve"> District et de</w:t>
            </w:r>
            <w:r w:rsidRPr="00796501">
              <w:rPr>
                <w:rFonts w:cs="Times New Roman"/>
                <w:bCs/>
                <w:iCs/>
                <w:sz w:val="20"/>
                <w:szCs w:val="20"/>
              </w:rPr>
              <w:t xml:space="preserve"> Province </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3</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TdRs ponts et bacs</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4</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Contrats avec l’OR pour ponts et bacs</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Acquisitions PIF pour contrats ponts et bacs avec l’OR</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Mise en œuvre par l’OR des  ponts et bac</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4</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 xml:space="preserve">TdRs formation des cantonniers et petits ponts pour ONGs locales </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5</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 xml:space="preserve">Contrats ONG locales et CLD </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6</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Formation cantonniers</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7</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rPr>
                <w:rFonts w:cs="Times New Roman"/>
                <w:bCs/>
                <w:iCs/>
                <w:sz w:val="20"/>
                <w:szCs w:val="20"/>
              </w:rPr>
            </w:pPr>
            <w:r w:rsidRPr="00796501">
              <w:rPr>
                <w:rFonts w:cs="Times New Roman"/>
                <w:bCs/>
                <w:iCs/>
                <w:sz w:val="20"/>
                <w:szCs w:val="20"/>
              </w:rPr>
              <w:t>Paiement des ONGs et CLD (cantonniers)</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8</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rPr>
                <w:rFonts w:cs="Times New Roman"/>
                <w:bCs/>
                <w:iCs/>
                <w:sz w:val="20"/>
                <w:szCs w:val="20"/>
              </w:rPr>
            </w:pPr>
            <w:r w:rsidRPr="00796501">
              <w:rPr>
                <w:rFonts w:cs="Times New Roman"/>
                <w:bCs/>
                <w:iCs/>
                <w:sz w:val="20"/>
                <w:szCs w:val="20"/>
              </w:rPr>
              <w:t>Suivi-évaluation régulier</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r>
      <w:tr w:rsidR="00970C57" w:rsidRPr="00796501" w:rsidTr="00BA7EC4">
        <w:trPr>
          <w:trHeight w:val="113"/>
          <w:jc w:val="center"/>
        </w:trPr>
        <w:tc>
          <w:tcPr>
            <w:tcW w:w="179"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9</w:t>
            </w:r>
          </w:p>
        </w:tc>
        <w:tc>
          <w:tcPr>
            <w:tcW w:w="1628" w:type="pct"/>
            <w:tcBorders>
              <w:top w:val="single" w:sz="4" w:space="0" w:color="auto"/>
              <w:left w:val="single" w:sz="4" w:space="0" w:color="auto"/>
              <w:bottom w:val="single" w:sz="4" w:space="0" w:color="auto"/>
              <w:right w:val="single" w:sz="4" w:space="0" w:color="auto"/>
            </w:tcBorders>
            <w:hideMark/>
          </w:tcPr>
          <w:p w:rsidR="00970C57" w:rsidRPr="00796501" w:rsidRDefault="00970C57">
            <w:pPr>
              <w:tabs>
                <w:tab w:val="left" w:pos="450"/>
              </w:tabs>
              <w:spacing w:after="0" w:line="240" w:lineRule="auto"/>
              <w:jc w:val="both"/>
              <w:rPr>
                <w:rFonts w:cs="Times New Roman"/>
                <w:bCs/>
                <w:iCs/>
                <w:sz w:val="20"/>
                <w:szCs w:val="20"/>
              </w:rPr>
            </w:pPr>
            <w:r w:rsidRPr="00796501">
              <w:rPr>
                <w:rFonts w:cs="Times New Roman"/>
                <w:bCs/>
                <w:iCs/>
                <w:sz w:val="20"/>
                <w:szCs w:val="20"/>
              </w:rPr>
              <w:t>Suivi-évaluation semestriel</w:t>
            </w: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c>
          <w:tcPr>
            <w:tcW w:w="191" w:type="pct"/>
            <w:tcBorders>
              <w:top w:val="single" w:sz="4" w:space="0" w:color="auto"/>
              <w:left w:val="single" w:sz="4" w:space="0" w:color="auto"/>
              <w:bottom w:val="single" w:sz="4" w:space="0" w:color="auto"/>
              <w:right w:val="single" w:sz="4" w:space="0" w:color="auto"/>
            </w:tcBorders>
          </w:tcPr>
          <w:p w:rsidR="00970C57" w:rsidRPr="00796501" w:rsidRDefault="00970C57">
            <w:pPr>
              <w:tabs>
                <w:tab w:val="left" w:pos="450"/>
              </w:tabs>
              <w:spacing w:after="0" w:line="240" w:lineRule="auto"/>
              <w:jc w:val="both"/>
              <w:rPr>
                <w:rFonts w:cs="Times New Roman"/>
                <w:bCs/>
                <w:iCs/>
                <w:sz w:val="20"/>
                <w:szCs w:val="20"/>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0C57" w:rsidRPr="00796501" w:rsidRDefault="00970C57">
            <w:pPr>
              <w:tabs>
                <w:tab w:val="left" w:pos="450"/>
              </w:tabs>
              <w:spacing w:after="0" w:line="240" w:lineRule="auto"/>
              <w:jc w:val="both"/>
              <w:rPr>
                <w:rFonts w:cs="Times New Roman"/>
                <w:bCs/>
                <w:iCs/>
                <w:sz w:val="20"/>
                <w:szCs w:val="20"/>
              </w:rPr>
            </w:pPr>
          </w:p>
        </w:tc>
      </w:tr>
    </w:tbl>
    <w:p w:rsidR="00970C57" w:rsidRDefault="00970C57" w:rsidP="00A777B8">
      <w:pPr>
        <w:tabs>
          <w:tab w:val="left" w:pos="450"/>
        </w:tabs>
        <w:spacing w:after="0"/>
        <w:jc w:val="both"/>
        <w:rPr>
          <w:rFonts w:cs="Times New Roman"/>
          <w:b/>
          <w:bCs/>
          <w:i/>
          <w:iCs/>
          <w:sz w:val="20"/>
          <w:szCs w:val="20"/>
          <w:u w:val="single"/>
        </w:rPr>
      </w:pPr>
    </w:p>
    <w:p w:rsidR="004418C9" w:rsidRDefault="004418C9" w:rsidP="00E057A3">
      <w:pPr>
        <w:spacing w:after="160" w:line="259" w:lineRule="auto"/>
        <w:rPr>
          <w:b/>
          <w:sz w:val="20"/>
          <w:lang w:eastAsia="en-US"/>
        </w:rPr>
      </w:pPr>
      <w:r>
        <w:rPr>
          <w:b/>
          <w:sz w:val="20"/>
          <w:lang w:eastAsia="en-US"/>
        </w:rPr>
        <w:t>Objectif 6</w:t>
      </w:r>
      <w:r w:rsidRPr="004418C9">
        <w:rPr>
          <w:b/>
          <w:sz w:val="20"/>
          <w:lang w:eastAsia="en-US"/>
        </w:rPr>
        <w:t xml:space="preserve"> : </w:t>
      </w:r>
      <w:r>
        <w:rPr>
          <w:b/>
          <w:sz w:val="20"/>
          <w:lang w:eastAsia="en-US"/>
        </w:rPr>
        <w:t>Supporter les populations les plus vulnérables</w:t>
      </w:r>
    </w:p>
    <w:p w:rsidR="00A777B8" w:rsidRDefault="00A777B8" w:rsidP="00A777B8">
      <w:pPr>
        <w:spacing w:after="0"/>
        <w:rPr>
          <w:b/>
          <w:sz w:val="20"/>
          <w:lang w:eastAsia="en-US"/>
        </w:rPr>
      </w:pPr>
    </w:p>
    <w:p w:rsidR="006E024D" w:rsidRPr="00673EF0" w:rsidRDefault="004418C9" w:rsidP="00673EF0">
      <w:pPr>
        <w:jc w:val="both"/>
        <w:rPr>
          <w:sz w:val="20"/>
          <w:lang w:eastAsia="en-US"/>
        </w:rPr>
      </w:pPr>
      <w:r>
        <w:rPr>
          <w:sz w:val="20"/>
          <w:lang w:eastAsia="en-US"/>
        </w:rPr>
        <w:t xml:space="preserve">Le PIREDD Mai-Ndombe supportera </w:t>
      </w:r>
      <w:r w:rsidR="00BE6983">
        <w:rPr>
          <w:sz w:val="20"/>
          <w:lang w:eastAsia="en-US"/>
        </w:rPr>
        <w:t>la réalisation</w:t>
      </w:r>
      <w:r>
        <w:rPr>
          <w:sz w:val="20"/>
          <w:lang w:eastAsia="en-US"/>
        </w:rPr>
        <w:t xml:space="preserve"> de micro-projets à destination des Peuples Autochtones tels qu’</w:t>
      </w:r>
      <w:r w:rsidR="006E024D">
        <w:rPr>
          <w:sz w:val="20"/>
          <w:lang w:eastAsia="en-US"/>
        </w:rPr>
        <w:t>ils o</w:t>
      </w:r>
      <w:r>
        <w:rPr>
          <w:sz w:val="20"/>
          <w:lang w:eastAsia="en-US"/>
        </w:rPr>
        <w:t>nt été identifiés</w:t>
      </w:r>
      <w:r w:rsidR="00BE6983">
        <w:rPr>
          <w:sz w:val="20"/>
          <w:lang w:eastAsia="en-US"/>
        </w:rPr>
        <w:t xml:space="preserve"> dans les P</w:t>
      </w:r>
      <w:r>
        <w:rPr>
          <w:sz w:val="20"/>
          <w:lang w:eastAsia="en-US"/>
        </w:rPr>
        <w:t xml:space="preserve">lans de </w:t>
      </w:r>
      <w:r w:rsidR="00BE6983">
        <w:rPr>
          <w:sz w:val="20"/>
          <w:lang w:eastAsia="en-US"/>
        </w:rPr>
        <w:t>D</w:t>
      </w:r>
      <w:r>
        <w:rPr>
          <w:sz w:val="20"/>
          <w:lang w:eastAsia="en-US"/>
        </w:rPr>
        <w:t>éveloppement des Peuples Autochtones (PDPA</w:t>
      </w:r>
      <w:r w:rsidR="006E024D">
        <w:rPr>
          <w:sz w:val="20"/>
          <w:lang w:eastAsia="en-US"/>
        </w:rPr>
        <w:t>)</w:t>
      </w:r>
      <w:r w:rsidR="00BE6983">
        <w:rPr>
          <w:sz w:val="20"/>
          <w:lang w:eastAsia="en-US"/>
        </w:rPr>
        <w:t xml:space="preserve"> financé</w:t>
      </w:r>
      <w:r w:rsidR="006E024D">
        <w:rPr>
          <w:sz w:val="20"/>
          <w:lang w:eastAsia="en-US"/>
        </w:rPr>
        <w:t>s</w:t>
      </w:r>
      <w:r w:rsidR="00BE6983">
        <w:rPr>
          <w:sz w:val="20"/>
          <w:lang w:eastAsia="en-US"/>
        </w:rPr>
        <w:t xml:space="preserve"> par le Projet </w:t>
      </w:r>
      <w:r w:rsidR="006E024D">
        <w:rPr>
          <w:sz w:val="20"/>
          <w:lang w:eastAsia="en-US"/>
        </w:rPr>
        <w:t>Forêt</w:t>
      </w:r>
      <w:r w:rsidR="00BE6983">
        <w:rPr>
          <w:sz w:val="20"/>
          <w:lang w:eastAsia="en-US"/>
        </w:rPr>
        <w:t>, Conservation de la Nature (PFCN) de la Banque mondiale</w:t>
      </w:r>
      <w:r w:rsidR="000F63E9">
        <w:rPr>
          <w:sz w:val="20"/>
          <w:lang w:eastAsia="en-US"/>
        </w:rPr>
        <w:t xml:space="preserve">, </w:t>
      </w:r>
      <w:r w:rsidR="000F63E9" w:rsidRPr="000F63E9">
        <w:rPr>
          <w:sz w:val="20"/>
          <w:lang w:eastAsia="en-US"/>
        </w:rPr>
        <w:t>ainsi que des actions d’appui pour la reconnaissance des droits et le renforcement de la gouvernance des communautés autochtones sur des espaces forestiers en lien avec le Projet d’Appui au</w:t>
      </w:r>
      <w:r w:rsidR="000F63E9">
        <w:rPr>
          <w:sz w:val="20"/>
          <w:lang w:eastAsia="en-US"/>
        </w:rPr>
        <w:t>x</w:t>
      </w:r>
      <w:r w:rsidR="000F63E9" w:rsidRPr="000F63E9">
        <w:rPr>
          <w:sz w:val="20"/>
          <w:lang w:eastAsia="en-US"/>
        </w:rPr>
        <w:t xml:space="preserve"> Communautés Dépendantes de la For</w:t>
      </w:r>
      <w:r w:rsidR="000F63E9">
        <w:rPr>
          <w:sz w:val="20"/>
          <w:lang w:eastAsia="en-US"/>
        </w:rPr>
        <w:t>ê</w:t>
      </w:r>
      <w:r w:rsidR="000F63E9" w:rsidRPr="000F63E9">
        <w:rPr>
          <w:sz w:val="20"/>
          <w:lang w:eastAsia="en-US"/>
        </w:rPr>
        <w:t>t (PACDF</w:t>
      </w:r>
      <w:r w:rsidR="00944868">
        <w:rPr>
          <w:rStyle w:val="FootnoteReference"/>
          <w:sz w:val="20"/>
          <w:lang w:eastAsia="en-US"/>
        </w:rPr>
        <w:footnoteReference w:id="20"/>
      </w:r>
      <w:r w:rsidR="000F63E9" w:rsidRPr="000F63E9">
        <w:rPr>
          <w:sz w:val="20"/>
          <w:lang w:eastAsia="en-US"/>
        </w:rPr>
        <w:t>) soutenu par l’AMI08</w:t>
      </w:r>
      <w:r w:rsidR="00BE6983">
        <w:rPr>
          <w:sz w:val="20"/>
          <w:lang w:eastAsia="en-US"/>
        </w:rPr>
        <w:t xml:space="preserve">. </w:t>
      </w:r>
      <w:r w:rsidR="000F63E9">
        <w:rPr>
          <w:sz w:val="20"/>
          <w:lang w:eastAsia="en-US"/>
        </w:rPr>
        <w:t>L</w:t>
      </w:r>
      <w:r w:rsidR="00BE6983">
        <w:rPr>
          <w:sz w:val="20"/>
          <w:lang w:eastAsia="en-US"/>
        </w:rPr>
        <w:t>es PDPAs ont été</w:t>
      </w:r>
      <w:r>
        <w:rPr>
          <w:sz w:val="20"/>
          <w:lang w:eastAsia="en-US"/>
        </w:rPr>
        <w:t xml:space="preserve"> </w:t>
      </w:r>
      <w:r w:rsidR="00BE6983">
        <w:rPr>
          <w:sz w:val="20"/>
          <w:lang w:eastAsia="en-US"/>
        </w:rPr>
        <w:t>rédigé</w:t>
      </w:r>
      <w:r>
        <w:rPr>
          <w:sz w:val="20"/>
          <w:lang w:eastAsia="en-US"/>
        </w:rPr>
        <w:t xml:space="preserve">s par M. </w:t>
      </w:r>
      <w:r>
        <w:rPr>
          <w:sz w:val="20"/>
          <w:lang w:eastAsia="en-US"/>
        </w:rPr>
        <w:lastRenderedPageBreak/>
        <w:t xml:space="preserve">Jean Mpia et validés par le Réseau des Populations Autochtones pour la Gestion des Ecosystèmes Forestiers (REPALEF). 700 000 dollars US (coûts directs) sont ainsi </w:t>
      </w:r>
      <w:r w:rsidR="00BE6983">
        <w:rPr>
          <w:sz w:val="20"/>
          <w:lang w:eastAsia="en-US"/>
        </w:rPr>
        <w:t>réservés</w:t>
      </w:r>
      <w:r>
        <w:rPr>
          <w:sz w:val="20"/>
          <w:lang w:eastAsia="en-US"/>
        </w:rPr>
        <w:t xml:space="preserve"> </w:t>
      </w:r>
      <w:r w:rsidR="00BE6983">
        <w:rPr>
          <w:sz w:val="20"/>
          <w:lang w:eastAsia="en-US"/>
        </w:rPr>
        <w:t>à</w:t>
      </w:r>
      <w:r>
        <w:rPr>
          <w:sz w:val="20"/>
          <w:lang w:eastAsia="en-US"/>
        </w:rPr>
        <w:t xml:space="preserve"> la </w:t>
      </w:r>
      <w:r w:rsidR="00BE6983">
        <w:rPr>
          <w:sz w:val="20"/>
          <w:lang w:eastAsia="en-US"/>
        </w:rPr>
        <w:t>réalisation d’une vingtaine de micro-projets</w:t>
      </w:r>
      <w:r>
        <w:rPr>
          <w:sz w:val="20"/>
          <w:lang w:eastAsia="en-US"/>
        </w:rPr>
        <w:t xml:space="preserve"> </w:t>
      </w:r>
      <w:r w:rsidR="00BE6983">
        <w:rPr>
          <w:sz w:val="20"/>
          <w:lang w:eastAsia="en-US"/>
        </w:rPr>
        <w:t xml:space="preserve">qui seront identifiés au cours d’un processus de consultation qui associera les intéressés, mais aussi les représentants du REPALEF et du </w:t>
      </w:r>
      <w:r w:rsidR="00BE6983" w:rsidRPr="00BE6983">
        <w:rPr>
          <w:sz w:val="20"/>
          <w:lang w:eastAsia="en-US"/>
        </w:rPr>
        <w:t>Mécanisme Spécial de Dons</w:t>
      </w:r>
      <w:r w:rsidR="000F63E9">
        <w:rPr>
          <w:sz w:val="20"/>
          <w:lang w:eastAsia="en-US"/>
        </w:rPr>
        <w:t>,  en étroite collaboration</w:t>
      </w:r>
      <w:r w:rsidR="000F63E9" w:rsidRPr="000F63E9">
        <w:rPr>
          <w:sz w:val="20"/>
          <w:lang w:eastAsia="en-US"/>
        </w:rPr>
        <w:t xml:space="preserve"> avec les actions du PACDF</w:t>
      </w:r>
      <w:r w:rsidR="000F63E9">
        <w:rPr>
          <w:sz w:val="20"/>
          <w:lang w:eastAsia="en-US"/>
        </w:rPr>
        <w:t xml:space="preserve"> financée par l’AMI08</w:t>
      </w:r>
      <w:r w:rsidR="00BE6983">
        <w:rPr>
          <w:sz w:val="20"/>
          <w:lang w:eastAsia="en-US"/>
        </w:rPr>
        <w:t xml:space="preserve">. L’objectif de ces micro-projets ne visera pas </w:t>
      </w:r>
      <w:r w:rsidR="00073CA6">
        <w:rPr>
          <w:sz w:val="20"/>
          <w:lang w:eastAsia="en-US"/>
        </w:rPr>
        <w:t>forcément</w:t>
      </w:r>
      <w:r w:rsidR="00BE6983">
        <w:rPr>
          <w:sz w:val="20"/>
          <w:lang w:eastAsia="en-US"/>
        </w:rPr>
        <w:t xml:space="preserve"> la réduction des émissions de gaz à effet de serre</w:t>
      </w:r>
      <w:r w:rsidR="00073CA6">
        <w:rPr>
          <w:sz w:val="20"/>
          <w:lang w:eastAsia="en-US"/>
        </w:rPr>
        <w:t>, même si l’établissement de concessions forestières des communautés locales peut faire partie des priorités retenues</w:t>
      </w:r>
      <w:r w:rsidR="00BE6983">
        <w:rPr>
          <w:sz w:val="20"/>
          <w:lang w:eastAsia="en-US"/>
        </w:rPr>
        <w:t>.</w:t>
      </w:r>
    </w:p>
    <w:p w:rsidR="00BE6983" w:rsidRPr="00BE6983" w:rsidRDefault="00BE6983" w:rsidP="00BE6983">
      <w:pPr>
        <w:tabs>
          <w:tab w:val="left" w:pos="450"/>
        </w:tabs>
        <w:spacing w:line="240" w:lineRule="auto"/>
        <w:jc w:val="both"/>
        <w:rPr>
          <w:rFonts w:cs="Times New Roman"/>
          <w:sz w:val="20"/>
          <w:szCs w:val="20"/>
        </w:rPr>
      </w:pPr>
      <w:r>
        <w:rPr>
          <w:rFonts w:cs="Times New Roman"/>
          <w:sz w:val="20"/>
          <w:szCs w:val="20"/>
        </w:rPr>
        <w:t>Calendrier</w:t>
      </w:r>
      <w:r w:rsidRPr="00BE6983">
        <w:rPr>
          <w:rFonts w:cs="Times New Roman"/>
          <w:sz w:val="20"/>
          <w:szCs w:val="20"/>
        </w:rPr>
        <w:t xml:space="preserve"> : </w:t>
      </w:r>
    </w:p>
    <w:tbl>
      <w:tblPr>
        <w:tblW w:w="5050" w:type="pct"/>
        <w:tblLook w:val="04A0" w:firstRow="1" w:lastRow="0" w:firstColumn="1" w:lastColumn="0" w:noHBand="0" w:noVBand="1"/>
      </w:tblPr>
      <w:tblGrid>
        <w:gridCol w:w="448"/>
        <w:gridCol w:w="4844"/>
        <w:gridCol w:w="607"/>
        <w:gridCol w:w="607"/>
        <w:gridCol w:w="607"/>
        <w:gridCol w:w="607"/>
        <w:gridCol w:w="607"/>
        <w:gridCol w:w="607"/>
        <w:gridCol w:w="607"/>
        <w:gridCol w:w="607"/>
      </w:tblGrid>
      <w:tr w:rsidR="00BE6983" w:rsidRPr="00BE6983" w:rsidTr="006E024D">
        <w:trPr>
          <w:tblHeader/>
        </w:trPr>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E6983" w:rsidRPr="00BE6983" w:rsidRDefault="00BE6983" w:rsidP="00BE6983">
            <w:pPr>
              <w:spacing w:after="0" w:line="240" w:lineRule="auto"/>
              <w:jc w:val="both"/>
              <w:rPr>
                <w:rFonts w:cs="Times New Roman"/>
                <w:sz w:val="20"/>
                <w:szCs w:val="20"/>
              </w:rPr>
            </w:pPr>
          </w:p>
        </w:tc>
        <w:tc>
          <w:tcPr>
            <w:tcW w:w="238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b/>
                <w:sz w:val="20"/>
                <w:szCs w:val="20"/>
              </w:rPr>
            </w:pPr>
            <w:r w:rsidRPr="00BE6983">
              <w:rPr>
                <w:rFonts w:cs="Times New Roman"/>
                <w:b/>
                <w:sz w:val="20"/>
                <w:szCs w:val="20"/>
              </w:rPr>
              <w:t>Activité</w:t>
            </w:r>
          </w:p>
        </w:tc>
        <w:tc>
          <w:tcPr>
            <w:tcW w:w="2392"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E6983" w:rsidRPr="00BE6983" w:rsidRDefault="00BE6983" w:rsidP="00BE6983">
            <w:pPr>
              <w:spacing w:after="0" w:line="240" w:lineRule="auto"/>
              <w:jc w:val="center"/>
              <w:rPr>
                <w:rFonts w:cs="Times New Roman"/>
                <w:b/>
                <w:sz w:val="20"/>
                <w:szCs w:val="20"/>
              </w:rPr>
            </w:pPr>
            <w:r w:rsidRPr="00BE6983">
              <w:rPr>
                <w:rFonts w:cs="Times New Roman"/>
                <w:b/>
                <w:sz w:val="20"/>
                <w:szCs w:val="20"/>
              </w:rPr>
              <w:t>Semestres</w:t>
            </w:r>
          </w:p>
        </w:tc>
      </w:tr>
      <w:tr w:rsidR="00BE6983" w:rsidRPr="00BE6983" w:rsidTr="006E024D">
        <w:trPr>
          <w:tblHeader/>
        </w:trPr>
        <w:tc>
          <w:tcPr>
            <w:tcW w:w="2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E6983" w:rsidRPr="00BE6983" w:rsidRDefault="00BE6983" w:rsidP="00BE6983">
            <w:pPr>
              <w:spacing w:after="0" w:line="240" w:lineRule="auto"/>
              <w:jc w:val="both"/>
              <w:rPr>
                <w:rFonts w:cs="Times New Roman"/>
                <w:sz w:val="20"/>
                <w:szCs w:val="20"/>
              </w:rPr>
            </w:pPr>
          </w:p>
        </w:tc>
        <w:tc>
          <w:tcPr>
            <w:tcW w:w="23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E6983" w:rsidRPr="00BE6983" w:rsidRDefault="00BE6983" w:rsidP="00BE6983">
            <w:pPr>
              <w:spacing w:after="0" w:line="240" w:lineRule="auto"/>
              <w:jc w:val="both"/>
              <w:rPr>
                <w:rFonts w:cs="Times New Roman"/>
                <w:sz w:val="20"/>
                <w:szCs w:val="20"/>
              </w:rPr>
            </w:pP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1</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3</w:t>
            </w:r>
          </w:p>
        </w:tc>
        <w:tc>
          <w:tcPr>
            <w:tcW w:w="59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4</w:t>
            </w:r>
          </w:p>
        </w:tc>
      </w:tr>
      <w:tr w:rsidR="00BE6983" w:rsidRPr="00BE6983" w:rsidTr="006E024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6983" w:rsidRPr="00BE6983" w:rsidRDefault="00BE6983" w:rsidP="00BE6983">
            <w:pPr>
              <w:spacing w:after="0" w:line="240" w:lineRule="auto"/>
              <w:rPr>
                <w:rFonts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6983" w:rsidRPr="00BE6983" w:rsidRDefault="00BE6983" w:rsidP="00BE6983">
            <w:pPr>
              <w:spacing w:after="0" w:line="240" w:lineRule="auto"/>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1</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2</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3</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4</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5</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6</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7</w:t>
            </w:r>
          </w:p>
        </w:tc>
        <w:tc>
          <w:tcPr>
            <w:tcW w:w="30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E6983" w:rsidRPr="00BE6983" w:rsidRDefault="00BE6983" w:rsidP="00BE6983">
            <w:pPr>
              <w:spacing w:after="0" w:line="240" w:lineRule="auto"/>
              <w:jc w:val="center"/>
              <w:rPr>
                <w:rFonts w:cs="Times New Roman"/>
                <w:sz w:val="20"/>
                <w:szCs w:val="20"/>
              </w:rPr>
            </w:pPr>
            <w:r w:rsidRPr="00BE6983">
              <w:rPr>
                <w:rFonts w:cs="Times New Roman"/>
                <w:sz w:val="20"/>
                <w:szCs w:val="20"/>
              </w:rPr>
              <w:t>8</w:t>
            </w:r>
          </w:p>
        </w:tc>
      </w:tr>
      <w:tr w:rsidR="00BE6983" w:rsidRPr="00BE6983" w:rsidTr="006E024D">
        <w:tc>
          <w:tcPr>
            <w:tcW w:w="221" w:type="pct"/>
            <w:tcBorders>
              <w:top w:val="single" w:sz="4" w:space="0" w:color="auto"/>
              <w:left w:val="single" w:sz="4" w:space="0" w:color="auto"/>
              <w:bottom w:val="single" w:sz="4" w:space="0" w:color="auto"/>
              <w:right w:val="single" w:sz="4" w:space="0" w:color="auto"/>
            </w:tcBorders>
            <w:hideMark/>
          </w:tcPr>
          <w:p w:rsidR="00BE6983" w:rsidRPr="00BE6983" w:rsidRDefault="00BE6983" w:rsidP="00BE6983">
            <w:pPr>
              <w:spacing w:after="0" w:line="240" w:lineRule="auto"/>
              <w:jc w:val="both"/>
              <w:rPr>
                <w:rFonts w:cs="Times New Roman"/>
                <w:sz w:val="20"/>
                <w:szCs w:val="20"/>
              </w:rPr>
            </w:pPr>
            <w:r w:rsidRPr="00BE6983">
              <w:rPr>
                <w:rFonts w:cs="Times New Roman"/>
                <w:sz w:val="20"/>
                <w:szCs w:val="20"/>
              </w:rPr>
              <w:t>1</w:t>
            </w:r>
          </w:p>
        </w:tc>
        <w:tc>
          <w:tcPr>
            <w:tcW w:w="2387" w:type="pct"/>
            <w:tcBorders>
              <w:top w:val="single" w:sz="4" w:space="0" w:color="auto"/>
              <w:left w:val="single" w:sz="4" w:space="0" w:color="auto"/>
              <w:bottom w:val="single" w:sz="4" w:space="0" w:color="auto"/>
              <w:right w:val="single" w:sz="4" w:space="0" w:color="auto"/>
            </w:tcBorders>
            <w:vAlign w:val="center"/>
            <w:hideMark/>
          </w:tcPr>
          <w:p w:rsidR="00BE6983" w:rsidRPr="00BE6983" w:rsidRDefault="00BE6983" w:rsidP="00BE6983">
            <w:pPr>
              <w:spacing w:after="0" w:line="240" w:lineRule="auto"/>
              <w:rPr>
                <w:rFonts w:cs="Times New Roman"/>
                <w:sz w:val="20"/>
                <w:szCs w:val="20"/>
              </w:rPr>
            </w:pPr>
            <w:r>
              <w:rPr>
                <w:rFonts w:cs="Times New Roman"/>
                <w:sz w:val="20"/>
                <w:szCs w:val="20"/>
              </w:rPr>
              <w:t>Consultations</w:t>
            </w: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300"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r>
      <w:tr w:rsidR="00BE6983" w:rsidRPr="00BE6983" w:rsidTr="006E024D">
        <w:tc>
          <w:tcPr>
            <w:tcW w:w="221" w:type="pct"/>
            <w:tcBorders>
              <w:top w:val="single" w:sz="4" w:space="0" w:color="auto"/>
              <w:left w:val="single" w:sz="4" w:space="0" w:color="auto"/>
              <w:bottom w:val="single" w:sz="4" w:space="0" w:color="auto"/>
              <w:right w:val="single" w:sz="4" w:space="0" w:color="auto"/>
            </w:tcBorders>
            <w:hideMark/>
          </w:tcPr>
          <w:p w:rsidR="00BE6983" w:rsidRPr="00BE6983" w:rsidRDefault="00BE6983" w:rsidP="00BE6983">
            <w:pPr>
              <w:spacing w:after="0" w:line="240" w:lineRule="auto"/>
              <w:jc w:val="both"/>
              <w:rPr>
                <w:rFonts w:cs="Times New Roman"/>
                <w:sz w:val="20"/>
                <w:szCs w:val="20"/>
              </w:rPr>
            </w:pPr>
            <w:r w:rsidRPr="00BE6983">
              <w:rPr>
                <w:rFonts w:cs="Times New Roman"/>
                <w:sz w:val="20"/>
                <w:szCs w:val="20"/>
              </w:rPr>
              <w:t>2</w:t>
            </w:r>
          </w:p>
        </w:tc>
        <w:tc>
          <w:tcPr>
            <w:tcW w:w="2387" w:type="pct"/>
            <w:tcBorders>
              <w:top w:val="single" w:sz="4" w:space="0" w:color="auto"/>
              <w:left w:val="single" w:sz="4" w:space="0" w:color="auto"/>
              <w:bottom w:val="single" w:sz="4" w:space="0" w:color="auto"/>
              <w:right w:val="single" w:sz="4" w:space="0" w:color="auto"/>
            </w:tcBorders>
            <w:vAlign w:val="center"/>
            <w:hideMark/>
          </w:tcPr>
          <w:p w:rsidR="00BE6983" w:rsidRPr="00BE6983" w:rsidRDefault="006E024D" w:rsidP="00BE6983">
            <w:pPr>
              <w:spacing w:after="0" w:line="240" w:lineRule="auto"/>
              <w:rPr>
                <w:rFonts w:cs="Times New Roman"/>
                <w:sz w:val="20"/>
                <w:szCs w:val="20"/>
              </w:rPr>
            </w:pPr>
            <w:r>
              <w:rPr>
                <w:rFonts w:cs="Times New Roman"/>
                <w:sz w:val="20"/>
                <w:szCs w:val="20"/>
              </w:rPr>
              <w:t>Etablissement des priorités en fonction des contraintes financières</w:t>
            </w: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300"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r>
      <w:tr w:rsidR="00BE6983" w:rsidRPr="00BE6983" w:rsidTr="006E024D">
        <w:tc>
          <w:tcPr>
            <w:tcW w:w="221" w:type="pct"/>
            <w:tcBorders>
              <w:top w:val="single" w:sz="4" w:space="0" w:color="auto"/>
              <w:left w:val="single" w:sz="4" w:space="0" w:color="auto"/>
              <w:bottom w:val="single" w:sz="4" w:space="0" w:color="auto"/>
              <w:right w:val="single" w:sz="4" w:space="0" w:color="auto"/>
            </w:tcBorders>
            <w:hideMark/>
          </w:tcPr>
          <w:p w:rsidR="00BE6983" w:rsidRPr="00BE6983" w:rsidRDefault="00BE6983" w:rsidP="00BE6983">
            <w:pPr>
              <w:spacing w:after="0" w:line="240" w:lineRule="auto"/>
              <w:jc w:val="both"/>
              <w:rPr>
                <w:rFonts w:cs="Times New Roman"/>
                <w:sz w:val="20"/>
                <w:szCs w:val="20"/>
              </w:rPr>
            </w:pPr>
            <w:r w:rsidRPr="00BE6983">
              <w:rPr>
                <w:rFonts w:cs="Times New Roman"/>
                <w:sz w:val="20"/>
                <w:szCs w:val="20"/>
              </w:rPr>
              <w:t>3</w:t>
            </w:r>
          </w:p>
        </w:tc>
        <w:tc>
          <w:tcPr>
            <w:tcW w:w="2387" w:type="pct"/>
            <w:tcBorders>
              <w:top w:val="single" w:sz="4" w:space="0" w:color="auto"/>
              <w:left w:val="single" w:sz="4" w:space="0" w:color="auto"/>
              <w:bottom w:val="single" w:sz="4" w:space="0" w:color="auto"/>
              <w:right w:val="single" w:sz="4" w:space="0" w:color="auto"/>
            </w:tcBorders>
            <w:vAlign w:val="center"/>
            <w:hideMark/>
          </w:tcPr>
          <w:p w:rsidR="00BE6983" w:rsidRPr="00BE6983" w:rsidRDefault="006E024D" w:rsidP="00BE6983">
            <w:pPr>
              <w:spacing w:after="0" w:line="240" w:lineRule="auto"/>
              <w:rPr>
                <w:rFonts w:cs="Times New Roman"/>
                <w:sz w:val="20"/>
                <w:szCs w:val="20"/>
              </w:rPr>
            </w:pPr>
            <w:r>
              <w:rPr>
                <w:rFonts w:cs="Times New Roman"/>
                <w:sz w:val="20"/>
                <w:szCs w:val="20"/>
              </w:rPr>
              <w:t>Rédaction des cahiers des charges des micro-projets retenus</w:t>
            </w: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r>
      <w:tr w:rsidR="00BE6983" w:rsidRPr="00BE6983" w:rsidTr="006E024D">
        <w:tc>
          <w:tcPr>
            <w:tcW w:w="221" w:type="pct"/>
            <w:tcBorders>
              <w:top w:val="single" w:sz="4" w:space="0" w:color="auto"/>
              <w:left w:val="single" w:sz="4" w:space="0" w:color="auto"/>
              <w:bottom w:val="single" w:sz="4" w:space="0" w:color="auto"/>
              <w:right w:val="single" w:sz="4" w:space="0" w:color="auto"/>
            </w:tcBorders>
            <w:hideMark/>
          </w:tcPr>
          <w:p w:rsidR="00BE6983" w:rsidRPr="00BE6983" w:rsidRDefault="00BE6983" w:rsidP="00BE6983">
            <w:pPr>
              <w:spacing w:after="0" w:line="240" w:lineRule="auto"/>
              <w:jc w:val="both"/>
              <w:rPr>
                <w:rFonts w:cs="Times New Roman"/>
                <w:sz w:val="20"/>
                <w:szCs w:val="20"/>
              </w:rPr>
            </w:pPr>
            <w:r w:rsidRPr="00BE6983">
              <w:rPr>
                <w:rFonts w:cs="Times New Roman"/>
                <w:sz w:val="20"/>
                <w:szCs w:val="20"/>
              </w:rPr>
              <w:t>4</w:t>
            </w:r>
          </w:p>
        </w:tc>
        <w:tc>
          <w:tcPr>
            <w:tcW w:w="2387" w:type="pct"/>
            <w:tcBorders>
              <w:top w:val="single" w:sz="4" w:space="0" w:color="auto"/>
              <w:left w:val="single" w:sz="4" w:space="0" w:color="auto"/>
              <w:bottom w:val="single" w:sz="4" w:space="0" w:color="auto"/>
              <w:right w:val="single" w:sz="4" w:space="0" w:color="auto"/>
            </w:tcBorders>
            <w:vAlign w:val="center"/>
            <w:hideMark/>
          </w:tcPr>
          <w:p w:rsidR="00BE6983" w:rsidRPr="00BE6983" w:rsidRDefault="006E024D" w:rsidP="00BE6983">
            <w:pPr>
              <w:spacing w:after="0" w:line="240" w:lineRule="auto"/>
              <w:rPr>
                <w:rFonts w:cs="Times New Roman"/>
                <w:sz w:val="20"/>
                <w:szCs w:val="20"/>
              </w:rPr>
            </w:pPr>
            <w:r>
              <w:rPr>
                <w:rFonts w:cs="Times New Roman"/>
                <w:sz w:val="20"/>
                <w:szCs w:val="20"/>
              </w:rPr>
              <w:t xml:space="preserve">Réalisation des </w:t>
            </w:r>
            <w:r w:rsidR="00073CA6">
              <w:rPr>
                <w:rFonts w:cs="Times New Roman"/>
                <w:sz w:val="20"/>
                <w:szCs w:val="20"/>
              </w:rPr>
              <w:t>micro-</w:t>
            </w:r>
            <w:r>
              <w:rPr>
                <w:rFonts w:cs="Times New Roman"/>
                <w:sz w:val="20"/>
                <w:szCs w:val="20"/>
              </w:rPr>
              <w:t>projets</w:t>
            </w: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r>
      <w:tr w:rsidR="00BE6983" w:rsidRPr="00BE6983" w:rsidTr="006E024D">
        <w:tc>
          <w:tcPr>
            <w:tcW w:w="221" w:type="pct"/>
            <w:tcBorders>
              <w:top w:val="single" w:sz="4" w:space="0" w:color="auto"/>
              <w:left w:val="single" w:sz="4" w:space="0" w:color="auto"/>
              <w:bottom w:val="single" w:sz="4" w:space="0" w:color="auto"/>
              <w:right w:val="single" w:sz="4" w:space="0" w:color="auto"/>
            </w:tcBorders>
            <w:hideMark/>
          </w:tcPr>
          <w:p w:rsidR="00BE6983" w:rsidRPr="00BE6983" w:rsidRDefault="006E024D" w:rsidP="00BE6983">
            <w:pPr>
              <w:spacing w:after="0" w:line="240" w:lineRule="auto"/>
              <w:jc w:val="both"/>
              <w:rPr>
                <w:rFonts w:cs="Times New Roman"/>
                <w:sz w:val="20"/>
                <w:szCs w:val="20"/>
              </w:rPr>
            </w:pPr>
            <w:r>
              <w:rPr>
                <w:rFonts w:cs="Times New Roman"/>
                <w:sz w:val="20"/>
                <w:szCs w:val="20"/>
              </w:rPr>
              <w:t>5</w:t>
            </w:r>
          </w:p>
        </w:tc>
        <w:tc>
          <w:tcPr>
            <w:tcW w:w="2387" w:type="pct"/>
            <w:tcBorders>
              <w:top w:val="single" w:sz="4" w:space="0" w:color="auto"/>
              <w:left w:val="single" w:sz="4" w:space="0" w:color="auto"/>
              <w:bottom w:val="single" w:sz="4" w:space="0" w:color="auto"/>
              <w:right w:val="single" w:sz="4" w:space="0" w:color="auto"/>
            </w:tcBorders>
            <w:vAlign w:val="center"/>
            <w:hideMark/>
          </w:tcPr>
          <w:p w:rsidR="00BE6983" w:rsidRPr="00BE6983" w:rsidRDefault="00BE6983" w:rsidP="00BE6983">
            <w:pPr>
              <w:spacing w:after="0" w:line="240" w:lineRule="auto"/>
              <w:rPr>
                <w:rFonts w:cs="Times New Roman"/>
                <w:sz w:val="20"/>
                <w:szCs w:val="20"/>
              </w:rPr>
            </w:pPr>
            <w:r w:rsidRPr="00BE6983">
              <w:rPr>
                <w:rFonts w:cs="Times New Roman"/>
                <w:sz w:val="20"/>
                <w:szCs w:val="20"/>
              </w:rPr>
              <w:t>Formation et suivi-évaluation</w:t>
            </w: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E6983" w:rsidRPr="00BE6983" w:rsidRDefault="00BE6983" w:rsidP="00BE6983">
            <w:pPr>
              <w:spacing w:after="0" w:line="240" w:lineRule="auto"/>
              <w:jc w:val="both"/>
              <w:rPr>
                <w:rFonts w:cs="Times New Roman"/>
                <w:sz w:val="20"/>
                <w:szCs w:val="20"/>
              </w:rPr>
            </w:pPr>
          </w:p>
        </w:tc>
      </w:tr>
    </w:tbl>
    <w:p w:rsidR="00BE6983" w:rsidRPr="00BE6983" w:rsidRDefault="00BE6983" w:rsidP="00D33E12">
      <w:pPr>
        <w:spacing w:after="0"/>
        <w:rPr>
          <w:sz w:val="20"/>
          <w:lang w:eastAsia="en-US"/>
        </w:rPr>
      </w:pPr>
    </w:p>
    <w:p w:rsidR="00595310" w:rsidRPr="00595310" w:rsidRDefault="006E5293" w:rsidP="00595310">
      <w:pPr>
        <w:spacing w:after="0"/>
        <w:rPr>
          <w:b/>
          <w:sz w:val="20"/>
          <w:lang w:eastAsia="en-US"/>
        </w:rPr>
      </w:pPr>
      <w:r>
        <w:rPr>
          <w:b/>
          <w:sz w:val="20"/>
          <w:lang w:eastAsia="en-US"/>
        </w:rPr>
        <w:t>Objectif 7</w:t>
      </w:r>
      <w:r w:rsidRPr="006E5293">
        <w:rPr>
          <w:b/>
          <w:sz w:val="20"/>
          <w:lang w:eastAsia="en-US"/>
        </w:rPr>
        <w:t xml:space="preserve"> : </w:t>
      </w:r>
      <w:r w:rsidR="00595310" w:rsidRPr="00595310">
        <w:rPr>
          <w:b/>
          <w:sz w:val="20"/>
          <w:lang w:eastAsia="en-US"/>
        </w:rPr>
        <w:t>Planification familiale (PF)</w:t>
      </w:r>
    </w:p>
    <w:p w:rsidR="00595310" w:rsidRPr="00ED144B" w:rsidRDefault="00595310" w:rsidP="00595310">
      <w:pPr>
        <w:spacing w:after="0"/>
        <w:rPr>
          <w:sz w:val="20"/>
          <w:lang w:eastAsia="en-US"/>
        </w:rPr>
      </w:pPr>
    </w:p>
    <w:p w:rsidR="00DC071C" w:rsidRDefault="00DC071C" w:rsidP="00ED144B">
      <w:pPr>
        <w:spacing w:after="0"/>
        <w:jc w:val="both"/>
        <w:rPr>
          <w:sz w:val="20"/>
          <w:lang w:eastAsia="en-US"/>
        </w:rPr>
      </w:pPr>
      <w:r>
        <w:rPr>
          <w:sz w:val="20"/>
          <w:lang w:eastAsia="en-US"/>
        </w:rPr>
        <w:t>E</w:t>
      </w:r>
      <w:r w:rsidR="001100E7" w:rsidRPr="001100E7">
        <w:rPr>
          <w:sz w:val="20"/>
          <w:lang w:eastAsia="en-US"/>
        </w:rPr>
        <w:t xml:space="preserve">n considérant que 90 % des ménages sont agricoles, </w:t>
      </w:r>
      <w:r w:rsidR="001100E7">
        <w:rPr>
          <w:sz w:val="20"/>
          <w:lang w:eastAsia="en-US"/>
        </w:rPr>
        <w:t xml:space="preserve">et </w:t>
      </w:r>
      <w:r w:rsidR="001100E7" w:rsidRPr="001100E7">
        <w:rPr>
          <w:sz w:val="20"/>
          <w:lang w:eastAsia="en-US"/>
        </w:rPr>
        <w:t xml:space="preserve">en comptant 5,5 habitants par ménage moyen et une population globale d’1,5 million de personnes, </w:t>
      </w:r>
      <w:r w:rsidR="00F35684">
        <w:rPr>
          <w:sz w:val="20"/>
          <w:lang w:eastAsia="en-US"/>
        </w:rPr>
        <w:t xml:space="preserve">on estime </w:t>
      </w:r>
      <w:r w:rsidR="001100E7" w:rsidRPr="001100E7">
        <w:rPr>
          <w:sz w:val="20"/>
          <w:lang w:eastAsia="en-US"/>
        </w:rPr>
        <w:t>le</w:t>
      </w:r>
      <w:r w:rsidR="001100E7">
        <w:rPr>
          <w:sz w:val="20"/>
          <w:lang w:eastAsia="en-US"/>
        </w:rPr>
        <w:t xml:space="preserve"> nombre de </w:t>
      </w:r>
      <w:r w:rsidR="001100E7" w:rsidRPr="001100E7">
        <w:rPr>
          <w:sz w:val="20"/>
          <w:lang w:eastAsia="en-US"/>
        </w:rPr>
        <w:t>ménages</w:t>
      </w:r>
      <w:r w:rsidR="001100E7" w:rsidRPr="00ED144B">
        <w:rPr>
          <w:sz w:val="20"/>
          <w:lang w:eastAsia="en-US"/>
        </w:rPr>
        <w:t xml:space="preserve"> </w:t>
      </w:r>
      <w:r w:rsidR="001100E7">
        <w:rPr>
          <w:sz w:val="20"/>
          <w:lang w:eastAsia="en-US"/>
        </w:rPr>
        <w:t>agricoles</w:t>
      </w:r>
      <w:r w:rsidRPr="00DC071C">
        <w:t xml:space="preserve"> </w:t>
      </w:r>
      <w:r>
        <w:rPr>
          <w:sz w:val="20"/>
          <w:lang w:eastAsia="en-US"/>
        </w:rPr>
        <w:t>d</w:t>
      </w:r>
      <w:r w:rsidRPr="00DC071C">
        <w:rPr>
          <w:sz w:val="20"/>
          <w:lang w:eastAsia="en-US"/>
        </w:rPr>
        <w:t>ans la Province de Mai-Ndombe</w:t>
      </w:r>
      <w:r>
        <w:rPr>
          <w:sz w:val="20"/>
          <w:lang w:eastAsia="en-US"/>
        </w:rPr>
        <w:t xml:space="preserve"> </w:t>
      </w:r>
      <w:r w:rsidR="00F35684">
        <w:rPr>
          <w:sz w:val="20"/>
          <w:lang w:eastAsia="en-US"/>
        </w:rPr>
        <w:t>à</w:t>
      </w:r>
      <w:r>
        <w:rPr>
          <w:sz w:val="20"/>
          <w:lang w:eastAsia="en-US"/>
        </w:rPr>
        <w:t xml:space="preserve"> 245 000</w:t>
      </w:r>
      <w:r w:rsidR="001100E7" w:rsidRPr="001100E7">
        <w:rPr>
          <w:sz w:val="20"/>
          <w:lang w:eastAsia="en-US"/>
        </w:rPr>
        <w:t xml:space="preserve">. </w:t>
      </w:r>
      <w:r>
        <w:rPr>
          <w:sz w:val="20"/>
          <w:lang w:eastAsia="en-US"/>
        </w:rPr>
        <w:t>Chaque ménage agricole a un</w:t>
      </w:r>
      <w:r w:rsidR="001100E7" w:rsidRPr="001100E7">
        <w:rPr>
          <w:sz w:val="20"/>
          <w:lang w:eastAsia="en-US"/>
        </w:rPr>
        <w:t xml:space="preserve"> besoin en terre cultivée et en jachère (</w:t>
      </w:r>
      <w:r>
        <w:rPr>
          <w:sz w:val="20"/>
          <w:lang w:eastAsia="en-US"/>
        </w:rPr>
        <w:t>sur la base d’</w:t>
      </w:r>
      <w:r w:rsidR="001100E7" w:rsidRPr="001100E7">
        <w:rPr>
          <w:sz w:val="20"/>
          <w:lang w:eastAsia="en-US"/>
        </w:rPr>
        <w:t xml:space="preserve">un cycle de culture de 2 ans et </w:t>
      </w:r>
      <w:r>
        <w:rPr>
          <w:sz w:val="20"/>
          <w:lang w:eastAsia="en-US"/>
        </w:rPr>
        <w:t>d’</w:t>
      </w:r>
      <w:r w:rsidR="001100E7" w:rsidRPr="001100E7">
        <w:rPr>
          <w:sz w:val="20"/>
          <w:lang w:eastAsia="en-US"/>
        </w:rPr>
        <w:t xml:space="preserve">une durée </w:t>
      </w:r>
      <w:r>
        <w:rPr>
          <w:sz w:val="20"/>
          <w:lang w:eastAsia="en-US"/>
        </w:rPr>
        <w:t>de jachère de 5 ans) de 5</w:t>
      </w:r>
      <w:r w:rsidR="001747A6">
        <w:rPr>
          <w:sz w:val="20"/>
          <w:lang w:eastAsia="en-US"/>
        </w:rPr>
        <w:t xml:space="preserve"> </w:t>
      </w:r>
      <w:r>
        <w:rPr>
          <w:sz w:val="20"/>
          <w:lang w:eastAsia="en-US"/>
        </w:rPr>
        <w:t>h</w:t>
      </w:r>
      <w:r w:rsidR="001747A6">
        <w:rPr>
          <w:sz w:val="20"/>
          <w:lang w:eastAsia="en-US"/>
        </w:rPr>
        <w:t>ectares</w:t>
      </w:r>
      <w:r w:rsidR="00AB1236">
        <w:rPr>
          <w:sz w:val="20"/>
          <w:lang w:eastAsia="en-US"/>
        </w:rPr>
        <w:t xml:space="preserve"> (Cf. Annexe 4a)</w:t>
      </w:r>
      <w:r>
        <w:rPr>
          <w:sz w:val="20"/>
          <w:lang w:eastAsia="en-US"/>
        </w:rPr>
        <w:t>, ce qui porte la superficie requise pou</w:t>
      </w:r>
      <w:r w:rsidR="001100E7" w:rsidRPr="001100E7">
        <w:rPr>
          <w:sz w:val="20"/>
          <w:lang w:eastAsia="en-US"/>
        </w:rPr>
        <w:t>r l’agriculture vivrière</w:t>
      </w:r>
      <w:r>
        <w:rPr>
          <w:sz w:val="20"/>
          <w:lang w:eastAsia="en-US"/>
        </w:rPr>
        <w:t xml:space="preserve"> de nos jours</w:t>
      </w:r>
      <w:r w:rsidR="001100E7" w:rsidRPr="001100E7">
        <w:rPr>
          <w:sz w:val="20"/>
          <w:lang w:eastAsia="en-US"/>
        </w:rPr>
        <w:t xml:space="preserve"> à 1 225 000 </w:t>
      </w:r>
      <w:r w:rsidR="001747A6" w:rsidRPr="001100E7">
        <w:rPr>
          <w:sz w:val="20"/>
          <w:lang w:eastAsia="en-US"/>
        </w:rPr>
        <w:t>hectare</w:t>
      </w:r>
      <w:r w:rsidR="001747A6">
        <w:rPr>
          <w:sz w:val="20"/>
          <w:lang w:eastAsia="en-US"/>
        </w:rPr>
        <w:t>s</w:t>
      </w:r>
      <w:r w:rsidR="001100E7" w:rsidRPr="001100E7">
        <w:rPr>
          <w:sz w:val="20"/>
          <w:lang w:eastAsia="en-US"/>
        </w:rPr>
        <w:t>,</w:t>
      </w:r>
      <w:r>
        <w:rPr>
          <w:sz w:val="20"/>
          <w:lang w:eastAsia="en-US"/>
        </w:rPr>
        <w:t xml:space="preserve"> soit 12 250 km2.</w:t>
      </w:r>
      <w:r w:rsidR="00CA6C6F">
        <w:rPr>
          <w:sz w:val="20"/>
          <w:lang w:eastAsia="en-US"/>
        </w:rPr>
        <w:t xml:space="preserve"> En prenant un taux de croissance de la population de 3% par an, c</w:t>
      </w:r>
      <w:r w:rsidR="002C6F78">
        <w:rPr>
          <w:sz w:val="20"/>
          <w:lang w:eastAsia="en-US"/>
        </w:rPr>
        <w:t>ette surface doublera en 23 ans, soit en 2040.</w:t>
      </w:r>
    </w:p>
    <w:p w:rsidR="00CA6C6F" w:rsidRDefault="00CA6C6F" w:rsidP="00ED144B">
      <w:pPr>
        <w:spacing w:after="0"/>
        <w:jc w:val="both"/>
        <w:rPr>
          <w:sz w:val="20"/>
          <w:lang w:eastAsia="en-US"/>
        </w:rPr>
      </w:pPr>
    </w:p>
    <w:tbl>
      <w:tblPr>
        <w:tblW w:w="10277" w:type="dxa"/>
        <w:jc w:val="center"/>
        <w:tblLayout w:type="fixed"/>
        <w:tblLook w:val="04A0" w:firstRow="1" w:lastRow="0" w:firstColumn="1" w:lastColumn="0" w:noHBand="0" w:noVBand="1"/>
      </w:tblPr>
      <w:tblGrid>
        <w:gridCol w:w="1350"/>
        <w:gridCol w:w="892"/>
        <w:gridCol w:w="893"/>
        <w:gridCol w:w="893"/>
        <w:gridCol w:w="892"/>
        <w:gridCol w:w="893"/>
        <w:gridCol w:w="893"/>
        <w:gridCol w:w="892"/>
        <w:gridCol w:w="893"/>
        <w:gridCol w:w="893"/>
        <w:gridCol w:w="893"/>
      </w:tblGrid>
      <w:tr w:rsidR="00CA6C6F" w:rsidRPr="00CA6C6F" w:rsidTr="00ED144B">
        <w:trPr>
          <w:trHeight w:val="204"/>
          <w:jc w:val="center"/>
        </w:trPr>
        <w:tc>
          <w:tcPr>
            <w:tcW w:w="135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Année</w:t>
            </w:r>
          </w:p>
        </w:tc>
        <w:tc>
          <w:tcPr>
            <w:tcW w:w="892"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2017</w:t>
            </w:r>
          </w:p>
        </w:tc>
        <w:tc>
          <w:tcPr>
            <w:tcW w:w="893"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2021</w:t>
            </w:r>
          </w:p>
        </w:tc>
        <w:tc>
          <w:tcPr>
            <w:tcW w:w="893"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2026</w:t>
            </w:r>
          </w:p>
        </w:tc>
        <w:tc>
          <w:tcPr>
            <w:tcW w:w="892"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2031</w:t>
            </w:r>
          </w:p>
        </w:tc>
        <w:tc>
          <w:tcPr>
            <w:tcW w:w="893"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2036</w:t>
            </w:r>
          </w:p>
        </w:tc>
        <w:tc>
          <w:tcPr>
            <w:tcW w:w="893"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2037</w:t>
            </w:r>
          </w:p>
        </w:tc>
        <w:tc>
          <w:tcPr>
            <w:tcW w:w="892"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2038</w:t>
            </w:r>
          </w:p>
        </w:tc>
        <w:tc>
          <w:tcPr>
            <w:tcW w:w="893"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2039</w:t>
            </w:r>
          </w:p>
        </w:tc>
        <w:tc>
          <w:tcPr>
            <w:tcW w:w="893"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2040</w:t>
            </w:r>
          </w:p>
        </w:tc>
        <w:tc>
          <w:tcPr>
            <w:tcW w:w="893" w:type="dxa"/>
            <w:tcBorders>
              <w:top w:val="single" w:sz="4" w:space="0" w:color="auto"/>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2041</w:t>
            </w:r>
          </w:p>
        </w:tc>
      </w:tr>
      <w:tr w:rsidR="00CA6C6F" w:rsidRPr="00CA6C6F" w:rsidTr="00ED144B">
        <w:trPr>
          <w:trHeight w:val="279"/>
          <w:jc w:val="center"/>
        </w:trPr>
        <w:tc>
          <w:tcPr>
            <w:tcW w:w="1350" w:type="dxa"/>
            <w:vMerge/>
            <w:tcBorders>
              <w:top w:val="single" w:sz="4" w:space="0" w:color="auto"/>
              <w:left w:val="single" w:sz="4" w:space="0" w:color="auto"/>
              <w:bottom w:val="single" w:sz="4" w:space="0" w:color="000000"/>
              <w:right w:val="single" w:sz="4" w:space="0" w:color="auto"/>
            </w:tcBorders>
            <w:vAlign w:val="center"/>
            <w:hideMark/>
          </w:tcPr>
          <w:p w:rsidR="00CA6C6F" w:rsidRPr="00ED144B" w:rsidRDefault="00CA6C6F" w:rsidP="00CA6C6F">
            <w:pPr>
              <w:spacing w:after="0" w:line="240" w:lineRule="auto"/>
              <w:rPr>
                <w:rFonts w:ascii="Calibri" w:eastAsia="Times New Roman" w:hAnsi="Calibri" w:cs="Times New Roman"/>
                <w:b/>
                <w:bCs/>
                <w:color w:val="000000"/>
                <w:sz w:val="16"/>
                <w:szCs w:val="16"/>
                <w:lang w:eastAsia="en-US"/>
              </w:rPr>
            </w:pPr>
          </w:p>
        </w:tc>
        <w:tc>
          <w:tcPr>
            <w:tcW w:w="892"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1</w:t>
            </w:r>
          </w:p>
        </w:tc>
        <w:tc>
          <w:tcPr>
            <w:tcW w:w="893"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5</w:t>
            </w:r>
          </w:p>
        </w:tc>
        <w:tc>
          <w:tcPr>
            <w:tcW w:w="893"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10</w:t>
            </w:r>
          </w:p>
        </w:tc>
        <w:tc>
          <w:tcPr>
            <w:tcW w:w="892"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15</w:t>
            </w:r>
          </w:p>
        </w:tc>
        <w:tc>
          <w:tcPr>
            <w:tcW w:w="893"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20</w:t>
            </w:r>
          </w:p>
        </w:tc>
        <w:tc>
          <w:tcPr>
            <w:tcW w:w="893"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21</w:t>
            </w:r>
          </w:p>
        </w:tc>
        <w:tc>
          <w:tcPr>
            <w:tcW w:w="892"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22</w:t>
            </w:r>
          </w:p>
        </w:tc>
        <w:tc>
          <w:tcPr>
            <w:tcW w:w="893"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23</w:t>
            </w:r>
          </w:p>
        </w:tc>
        <w:tc>
          <w:tcPr>
            <w:tcW w:w="893"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24</w:t>
            </w:r>
          </w:p>
        </w:tc>
        <w:tc>
          <w:tcPr>
            <w:tcW w:w="893" w:type="dxa"/>
            <w:tcBorders>
              <w:top w:val="nil"/>
              <w:left w:val="nil"/>
              <w:bottom w:val="single" w:sz="4" w:space="0" w:color="auto"/>
              <w:right w:val="single" w:sz="4" w:space="0" w:color="auto"/>
            </w:tcBorders>
            <w:shd w:val="clear" w:color="000000" w:fill="DDEBF7"/>
            <w:noWrap/>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25</w:t>
            </w:r>
          </w:p>
        </w:tc>
      </w:tr>
      <w:tr w:rsidR="00CA6C6F" w:rsidRPr="00CA6C6F" w:rsidTr="00ED144B">
        <w:trPr>
          <w:trHeight w:val="561"/>
          <w:jc w:val="center"/>
        </w:trPr>
        <w:tc>
          <w:tcPr>
            <w:tcW w:w="1350" w:type="dxa"/>
            <w:tcBorders>
              <w:top w:val="nil"/>
              <w:left w:val="single" w:sz="4" w:space="0" w:color="auto"/>
              <w:bottom w:val="single" w:sz="4" w:space="0" w:color="auto"/>
              <w:right w:val="single" w:sz="4" w:space="0" w:color="auto"/>
            </w:tcBorders>
            <w:shd w:val="clear" w:color="000000" w:fill="DDEBF7"/>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Croissance démographique</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w:t>
            </w:r>
          </w:p>
        </w:tc>
      </w:tr>
      <w:tr w:rsidR="00CA6C6F" w:rsidRPr="00CA6C6F" w:rsidTr="00ED144B">
        <w:trPr>
          <w:trHeight w:val="408"/>
          <w:jc w:val="center"/>
        </w:trPr>
        <w:tc>
          <w:tcPr>
            <w:tcW w:w="1350" w:type="dxa"/>
            <w:tcBorders>
              <w:top w:val="nil"/>
              <w:left w:val="single" w:sz="4" w:space="0" w:color="auto"/>
              <w:bottom w:val="single" w:sz="4" w:space="0" w:color="auto"/>
              <w:right w:val="single" w:sz="4" w:space="0" w:color="auto"/>
            </w:tcBorders>
            <w:shd w:val="clear" w:color="000000" w:fill="DDEBF7"/>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Besoins en terres (ha)</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1,261,750</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1,420,111</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1,646,298</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1,908,510</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2,212,486</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2,278,861</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2,347,227</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2,417,643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2,490,173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2,564,878</w:t>
            </w:r>
          </w:p>
        </w:tc>
      </w:tr>
      <w:tr w:rsidR="00CA6C6F" w:rsidRPr="00CA6C6F" w:rsidTr="00ED144B">
        <w:trPr>
          <w:trHeight w:val="612"/>
          <w:jc w:val="center"/>
        </w:trPr>
        <w:tc>
          <w:tcPr>
            <w:tcW w:w="1350" w:type="dxa"/>
            <w:tcBorders>
              <w:top w:val="nil"/>
              <w:left w:val="single" w:sz="4" w:space="0" w:color="auto"/>
              <w:bottom w:val="single" w:sz="4" w:space="0" w:color="auto"/>
              <w:right w:val="single" w:sz="4" w:space="0" w:color="auto"/>
            </w:tcBorders>
            <w:shd w:val="clear" w:color="000000" w:fill="DDEBF7"/>
            <w:vAlign w:val="center"/>
            <w:hideMark/>
          </w:tcPr>
          <w:p w:rsidR="00CA6C6F" w:rsidRPr="00ED144B" w:rsidRDefault="00CA6C6F" w:rsidP="00CA6C6F">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Augmentation des superficies agricoles en %</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3.00%</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15.93%</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34.39%</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55.80%</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80.61%</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86.03%</w:t>
            </w:r>
          </w:p>
        </w:tc>
        <w:tc>
          <w:tcPr>
            <w:tcW w:w="892"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91.61%</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97.36%</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103.28%</w:t>
            </w:r>
          </w:p>
        </w:tc>
        <w:tc>
          <w:tcPr>
            <w:tcW w:w="893" w:type="dxa"/>
            <w:tcBorders>
              <w:top w:val="nil"/>
              <w:left w:val="nil"/>
              <w:bottom w:val="single" w:sz="4" w:space="0" w:color="auto"/>
              <w:right w:val="single" w:sz="4" w:space="0" w:color="auto"/>
            </w:tcBorders>
            <w:shd w:val="clear" w:color="auto" w:fill="auto"/>
            <w:noWrap/>
            <w:vAlign w:val="center"/>
            <w:hideMark/>
          </w:tcPr>
          <w:p w:rsidR="00CA6C6F" w:rsidRPr="00ED144B" w:rsidRDefault="00CA6C6F" w:rsidP="00CA6C6F">
            <w:pPr>
              <w:spacing w:after="0" w:line="240" w:lineRule="auto"/>
              <w:jc w:val="center"/>
              <w:rPr>
                <w:rFonts w:ascii="Calibri" w:eastAsia="Times New Roman" w:hAnsi="Calibri" w:cs="Times New Roman"/>
                <w:color w:val="000000"/>
                <w:sz w:val="16"/>
                <w:szCs w:val="16"/>
                <w:lang w:eastAsia="en-US"/>
              </w:rPr>
            </w:pPr>
            <w:r w:rsidRPr="00ED144B">
              <w:rPr>
                <w:rFonts w:ascii="Calibri" w:eastAsia="Times New Roman" w:hAnsi="Calibri" w:cs="Times New Roman"/>
                <w:color w:val="000000"/>
                <w:sz w:val="16"/>
                <w:szCs w:val="16"/>
                <w:lang w:eastAsia="en-US"/>
              </w:rPr>
              <w:t>109.38%</w:t>
            </w:r>
          </w:p>
        </w:tc>
      </w:tr>
    </w:tbl>
    <w:p w:rsidR="002C6F78" w:rsidRDefault="002C6F78" w:rsidP="00ED144B">
      <w:pPr>
        <w:spacing w:after="0"/>
        <w:jc w:val="both"/>
        <w:rPr>
          <w:sz w:val="20"/>
          <w:lang w:eastAsia="en-US"/>
        </w:rPr>
      </w:pPr>
    </w:p>
    <w:p w:rsidR="00B458E2" w:rsidRDefault="00860B6E" w:rsidP="00ED144B">
      <w:pPr>
        <w:spacing w:after="0"/>
        <w:jc w:val="both"/>
        <w:rPr>
          <w:sz w:val="20"/>
          <w:lang w:eastAsia="en-US"/>
        </w:rPr>
      </w:pPr>
      <w:r>
        <w:rPr>
          <w:sz w:val="20"/>
          <w:lang w:eastAsia="en-US"/>
        </w:rPr>
        <w:t>U</w:t>
      </w:r>
      <w:r w:rsidR="002120A5">
        <w:rPr>
          <w:sz w:val="20"/>
          <w:lang w:eastAsia="en-US"/>
        </w:rPr>
        <w:t xml:space="preserve">ne analyse de </w:t>
      </w:r>
      <w:r w:rsidR="00AB1236">
        <w:rPr>
          <w:sz w:val="20"/>
          <w:lang w:eastAsia="en-US"/>
        </w:rPr>
        <w:t>sensibilité de cette évolution des superficies agricoles à l’horizon 2040</w:t>
      </w:r>
      <w:r>
        <w:rPr>
          <w:sz w:val="20"/>
          <w:lang w:eastAsia="en-US"/>
        </w:rPr>
        <w:t xml:space="preserve"> </w:t>
      </w:r>
      <w:r w:rsidR="00AB1236">
        <w:rPr>
          <w:sz w:val="20"/>
          <w:lang w:eastAsia="en-US"/>
        </w:rPr>
        <w:t>en fonction du taux de croissance</w:t>
      </w:r>
      <w:r>
        <w:rPr>
          <w:sz w:val="20"/>
          <w:lang w:eastAsia="en-US"/>
        </w:rPr>
        <w:t xml:space="preserve"> de la population (</w:t>
      </w:r>
      <w:r w:rsidRPr="00860B6E">
        <w:rPr>
          <w:sz w:val="20"/>
          <w:lang w:eastAsia="en-US"/>
        </w:rPr>
        <w:t xml:space="preserve">voir tableau ci-dessous) </w:t>
      </w:r>
      <w:r w:rsidR="00E52632">
        <w:rPr>
          <w:sz w:val="20"/>
          <w:lang w:eastAsia="en-US"/>
        </w:rPr>
        <w:t>montre clairement qu’une inflexion du taux de croissance de la population a des impacts significatifs sur l’évolution du couvert forestier. 5</w:t>
      </w:r>
      <w:r w:rsidR="001747A6">
        <w:rPr>
          <w:sz w:val="20"/>
          <w:lang w:eastAsia="en-US"/>
        </w:rPr>
        <w:t>00 52</w:t>
      </w:r>
      <w:r w:rsidR="00E52632">
        <w:rPr>
          <w:sz w:val="20"/>
          <w:lang w:eastAsia="en-US"/>
        </w:rPr>
        <w:t>0 hectares</w:t>
      </w:r>
      <w:r w:rsidR="00B458E2" w:rsidRPr="00B458E2">
        <w:t xml:space="preserve"> </w:t>
      </w:r>
      <w:r w:rsidR="00E52632">
        <w:rPr>
          <w:sz w:val="20"/>
          <w:lang w:eastAsia="en-US"/>
        </w:rPr>
        <w:t xml:space="preserve">de forêts seraient ainsi </w:t>
      </w:r>
      <w:r>
        <w:rPr>
          <w:sz w:val="20"/>
          <w:lang w:eastAsia="en-US"/>
        </w:rPr>
        <w:t>sauvegardé</w:t>
      </w:r>
      <w:r w:rsidR="00E52632">
        <w:rPr>
          <w:sz w:val="20"/>
          <w:lang w:eastAsia="en-US"/>
        </w:rPr>
        <w:t>s d’ici 2040</w:t>
      </w:r>
      <w:r w:rsidR="00B458E2">
        <w:rPr>
          <w:sz w:val="20"/>
          <w:lang w:eastAsia="en-US"/>
        </w:rPr>
        <w:t xml:space="preserve"> </w:t>
      </w:r>
      <w:r>
        <w:rPr>
          <w:sz w:val="20"/>
          <w:lang w:eastAsia="en-US"/>
        </w:rPr>
        <w:t>(ce qui représente</w:t>
      </w:r>
      <w:r w:rsidR="00B458E2" w:rsidRPr="00B458E2">
        <w:rPr>
          <w:sz w:val="20"/>
          <w:lang w:eastAsia="en-US"/>
        </w:rPr>
        <w:t xml:space="preserve"> la conservation de plus de 4.3% de la s</w:t>
      </w:r>
      <w:r w:rsidR="00B458E2">
        <w:rPr>
          <w:sz w:val="20"/>
          <w:lang w:eastAsia="en-US"/>
        </w:rPr>
        <w:t xml:space="preserve">urface forestière provinciale </w:t>
      </w:r>
      <w:r>
        <w:rPr>
          <w:sz w:val="20"/>
          <w:lang w:eastAsia="en-US"/>
        </w:rPr>
        <w:t>ou</w:t>
      </w:r>
      <w:r w:rsidR="00B458E2">
        <w:rPr>
          <w:sz w:val="20"/>
          <w:lang w:eastAsia="en-US"/>
        </w:rPr>
        <w:t xml:space="preserve"> l’évitement de plus de </w:t>
      </w:r>
      <w:r w:rsidR="00716D84">
        <w:rPr>
          <w:sz w:val="20"/>
          <w:lang w:eastAsia="en-US"/>
        </w:rPr>
        <w:t>2</w:t>
      </w:r>
      <w:r w:rsidR="00B458E2">
        <w:rPr>
          <w:sz w:val="20"/>
          <w:lang w:eastAsia="en-US"/>
        </w:rPr>
        <w:t>00 millions de tonnes de CO2 dans l’atmosphère</w:t>
      </w:r>
      <w:r w:rsidR="00C23AD9">
        <w:rPr>
          <w:rStyle w:val="FootnoteReference"/>
          <w:sz w:val="20"/>
          <w:lang w:eastAsia="en-US"/>
        </w:rPr>
        <w:footnoteReference w:id="21"/>
      </w:r>
      <w:r w:rsidR="00B458E2">
        <w:rPr>
          <w:sz w:val="20"/>
          <w:lang w:eastAsia="en-US"/>
        </w:rPr>
        <w:t>) si la RDC arrivait à faire</w:t>
      </w:r>
      <w:r w:rsidR="00E52632">
        <w:rPr>
          <w:sz w:val="20"/>
          <w:lang w:eastAsia="en-US"/>
        </w:rPr>
        <w:t xml:space="preserve"> passer le taux de croissance</w:t>
      </w:r>
      <w:r w:rsidR="00B458E2">
        <w:rPr>
          <w:sz w:val="20"/>
          <w:lang w:eastAsia="en-US"/>
        </w:rPr>
        <w:t xml:space="preserve"> de la population</w:t>
      </w:r>
      <w:r w:rsidR="00E52632">
        <w:rPr>
          <w:sz w:val="20"/>
          <w:lang w:eastAsia="en-US"/>
        </w:rPr>
        <w:t xml:space="preserve"> de 3 à</w:t>
      </w:r>
      <w:r w:rsidR="00B458E2">
        <w:rPr>
          <w:sz w:val="20"/>
          <w:lang w:eastAsia="en-US"/>
        </w:rPr>
        <w:t xml:space="preserve"> 2 % par an.</w:t>
      </w:r>
    </w:p>
    <w:tbl>
      <w:tblPr>
        <w:tblW w:w="10060" w:type="dxa"/>
        <w:tblLook w:val="04A0" w:firstRow="1" w:lastRow="0" w:firstColumn="1" w:lastColumn="0" w:noHBand="0" w:noVBand="1"/>
      </w:tblPr>
      <w:tblGrid>
        <w:gridCol w:w="937"/>
        <w:gridCol w:w="1042"/>
        <w:gridCol w:w="743"/>
        <w:gridCol w:w="743"/>
        <w:gridCol w:w="743"/>
        <w:gridCol w:w="743"/>
        <w:gridCol w:w="743"/>
        <w:gridCol w:w="743"/>
        <w:gridCol w:w="743"/>
        <w:gridCol w:w="743"/>
        <w:gridCol w:w="743"/>
        <w:gridCol w:w="706"/>
        <w:gridCol w:w="688"/>
      </w:tblGrid>
      <w:tr w:rsidR="001747A6" w:rsidRPr="001747A6" w:rsidTr="00ED144B">
        <w:trPr>
          <w:trHeight w:val="204"/>
        </w:trPr>
        <w:tc>
          <w:tcPr>
            <w:tcW w:w="800" w:type="dxa"/>
            <w:tcBorders>
              <w:top w:val="nil"/>
              <w:left w:val="nil"/>
              <w:bottom w:val="nil"/>
              <w:right w:val="nil"/>
            </w:tcBorders>
            <w:shd w:val="clear" w:color="auto" w:fill="auto"/>
            <w:vAlign w:val="center"/>
            <w:hideMark/>
          </w:tcPr>
          <w:p w:rsidR="001747A6" w:rsidRPr="00ED144B" w:rsidRDefault="001747A6" w:rsidP="001747A6">
            <w:pPr>
              <w:spacing w:after="0" w:line="240" w:lineRule="auto"/>
              <w:rPr>
                <w:rFonts w:ascii="Times New Roman" w:eastAsia="Times New Roman" w:hAnsi="Times New Roman" w:cs="Times New Roman"/>
                <w:sz w:val="24"/>
                <w:szCs w:val="24"/>
                <w:lang w:eastAsia="en-US"/>
              </w:rPr>
            </w:pPr>
          </w:p>
        </w:tc>
        <w:tc>
          <w:tcPr>
            <w:tcW w:w="1120" w:type="dxa"/>
            <w:tcBorders>
              <w:top w:val="nil"/>
              <w:left w:val="nil"/>
              <w:bottom w:val="nil"/>
              <w:right w:val="single" w:sz="4" w:space="0" w:color="auto"/>
            </w:tcBorders>
            <w:shd w:val="clear" w:color="auto" w:fill="auto"/>
            <w:vAlign w:val="center"/>
            <w:hideMark/>
          </w:tcPr>
          <w:p w:rsidR="001747A6" w:rsidRPr="00ED144B" w:rsidRDefault="001747A6" w:rsidP="001747A6">
            <w:pPr>
              <w:spacing w:after="0" w:line="240" w:lineRule="auto"/>
              <w:jc w:val="center"/>
              <w:rPr>
                <w:rFonts w:ascii="Times New Roman" w:eastAsia="Times New Roman" w:hAnsi="Times New Roman" w:cs="Times New Roman"/>
                <w:sz w:val="20"/>
                <w:szCs w:val="20"/>
                <w:lang w:eastAsia="en-US"/>
              </w:rPr>
            </w:pPr>
          </w:p>
        </w:tc>
        <w:tc>
          <w:tcPr>
            <w:tcW w:w="8140" w:type="dxa"/>
            <w:gridSpan w:val="11"/>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ED144B" w:rsidRDefault="001747A6" w:rsidP="001747A6">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Taux de croissance de la population</w:t>
            </w:r>
          </w:p>
        </w:tc>
      </w:tr>
      <w:tr w:rsidR="001747A6" w:rsidRPr="001747A6" w:rsidTr="00ED144B">
        <w:trPr>
          <w:trHeight w:val="204"/>
        </w:trPr>
        <w:tc>
          <w:tcPr>
            <w:tcW w:w="800" w:type="dxa"/>
            <w:tcBorders>
              <w:top w:val="nil"/>
              <w:left w:val="nil"/>
              <w:bottom w:val="nil"/>
              <w:right w:val="nil"/>
            </w:tcBorders>
            <w:shd w:val="clear" w:color="auto" w:fill="auto"/>
            <w:vAlign w:val="center"/>
            <w:hideMark/>
          </w:tcPr>
          <w:p w:rsidR="001747A6" w:rsidRPr="00ED144B" w:rsidRDefault="001747A6" w:rsidP="001747A6">
            <w:pPr>
              <w:spacing w:after="0" w:line="240" w:lineRule="auto"/>
              <w:jc w:val="center"/>
              <w:rPr>
                <w:rFonts w:ascii="Calibri" w:eastAsia="Times New Roman" w:hAnsi="Calibri" w:cs="Times New Roman"/>
                <w:b/>
                <w:bCs/>
                <w:color w:val="000000"/>
                <w:sz w:val="16"/>
                <w:szCs w:val="16"/>
                <w:lang w:eastAsia="en-US"/>
              </w:rPr>
            </w:pPr>
          </w:p>
        </w:tc>
        <w:tc>
          <w:tcPr>
            <w:tcW w:w="1120" w:type="dxa"/>
            <w:tcBorders>
              <w:top w:val="nil"/>
              <w:left w:val="nil"/>
              <w:bottom w:val="nil"/>
              <w:right w:val="single" w:sz="4" w:space="0" w:color="auto"/>
            </w:tcBorders>
            <w:shd w:val="clear" w:color="000000" w:fill="FFFFFF"/>
            <w:vAlign w:val="center"/>
            <w:hideMark/>
          </w:tcPr>
          <w:p w:rsidR="001747A6" w:rsidRPr="001747A6" w:rsidRDefault="001747A6" w:rsidP="001747A6">
            <w:pPr>
              <w:spacing w:after="0" w:line="240" w:lineRule="auto"/>
              <w:jc w:val="center"/>
              <w:rPr>
                <w:rFonts w:ascii="Calibri" w:eastAsia="Times New Roman" w:hAnsi="Calibri" w:cs="Times New Roman"/>
                <w:color w:val="FFFFFF"/>
                <w:sz w:val="16"/>
                <w:szCs w:val="16"/>
                <w:lang w:val="en-US" w:eastAsia="en-US"/>
              </w:rPr>
            </w:pPr>
            <w:r w:rsidRPr="001747A6">
              <w:rPr>
                <w:rFonts w:ascii="Calibri" w:eastAsia="Times New Roman" w:hAnsi="Calibri" w:cs="Times New Roman"/>
                <w:color w:val="FFFFFF"/>
                <w:sz w:val="16"/>
                <w:szCs w:val="16"/>
                <w:lang w:val="en-US" w:eastAsia="en-US"/>
              </w:rPr>
              <w:t>3.00%</w:t>
            </w:r>
          </w:p>
        </w:tc>
        <w:tc>
          <w:tcPr>
            <w:tcW w:w="7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2.00%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2.10%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2.20%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2.30%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2.40%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2.50%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2.60%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2.70%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2.80%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2.90%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3.00%</w:t>
            </w:r>
          </w:p>
        </w:tc>
      </w:tr>
      <w:tr w:rsidR="001747A6" w:rsidRPr="001747A6" w:rsidTr="00E057A3">
        <w:trPr>
          <w:trHeight w:val="900"/>
        </w:trPr>
        <w:tc>
          <w:tcPr>
            <w:tcW w:w="1920"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ED144B" w:rsidRDefault="001747A6" w:rsidP="001747A6">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Augmentation des surfaces agricoles à l'horizon 2040 par rapport à 2016</w:t>
            </w:r>
            <w:r w:rsidRPr="00ED144B">
              <w:rPr>
                <w:rFonts w:ascii="Calibri" w:eastAsia="Times New Roman" w:hAnsi="Calibri" w:cs="Times New Roman"/>
                <w:b/>
                <w:bCs/>
                <w:color w:val="000000"/>
                <w:sz w:val="16"/>
                <w:szCs w:val="16"/>
                <w:lang w:eastAsia="en-US"/>
              </w:rPr>
              <w:br/>
              <w:t xml:space="preserve">en % </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62%</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66%</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70%</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74%</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78%</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82%</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86%</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90%</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94%</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99%</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103%</w:t>
            </w:r>
          </w:p>
        </w:tc>
      </w:tr>
      <w:tr w:rsidR="001747A6" w:rsidRPr="001747A6" w:rsidTr="00E057A3">
        <w:trPr>
          <w:trHeight w:val="204"/>
        </w:trPr>
        <w:tc>
          <w:tcPr>
            <w:tcW w:w="1920"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ED144B" w:rsidRDefault="001747A6" w:rsidP="001747A6">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 xml:space="preserve">Effort de </w:t>
            </w:r>
            <w:r w:rsidRPr="001747A6">
              <w:rPr>
                <w:rFonts w:ascii="Calibri" w:eastAsia="Times New Roman" w:hAnsi="Calibri" w:cs="Times New Roman"/>
                <w:b/>
                <w:bCs/>
                <w:color w:val="000000"/>
                <w:sz w:val="16"/>
                <w:szCs w:val="16"/>
                <w:lang w:eastAsia="en-US"/>
              </w:rPr>
              <w:t>réduction</w:t>
            </w:r>
            <w:r w:rsidRPr="00ED144B">
              <w:rPr>
                <w:rFonts w:ascii="Calibri" w:eastAsia="Times New Roman" w:hAnsi="Calibri" w:cs="Times New Roman"/>
                <w:b/>
                <w:bCs/>
                <w:color w:val="000000"/>
                <w:sz w:val="16"/>
                <w:szCs w:val="16"/>
                <w:lang w:eastAsia="en-US"/>
              </w:rPr>
              <w:t xml:space="preserve"> sur la </w:t>
            </w:r>
            <w:r w:rsidRPr="00ED144B">
              <w:rPr>
                <w:rFonts w:ascii="Calibri" w:eastAsia="Times New Roman" w:hAnsi="Calibri" w:cs="Times New Roman"/>
                <w:b/>
                <w:bCs/>
                <w:color w:val="000000"/>
                <w:sz w:val="16"/>
                <w:szCs w:val="16"/>
                <w:lang w:eastAsia="en-US"/>
              </w:rPr>
              <w:lastRenderedPageBreak/>
              <w:t>natalité</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lastRenderedPageBreak/>
              <w:t>33%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30%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27%</w:t>
            </w:r>
          </w:p>
        </w:tc>
        <w:tc>
          <w:tcPr>
            <w:tcW w:w="7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23%</w:t>
            </w:r>
          </w:p>
        </w:tc>
        <w:tc>
          <w:tcPr>
            <w:tcW w:w="7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20%</w:t>
            </w:r>
          </w:p>
        </w:tc>
        <w:tc>
          <w:tcPr>
            <w:tcW w:w="7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17%</w:t>
            </w:r>
          </w:p>
        </w:tc>
        <w:tc>
          <w:tcPr>
            <w:tcW w:w="7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13%</w:t>
            </w:r>
          </w:p>
        </w:tc>
        <w:tc>
          <w:tcPr>
            <w:tcW w:w="7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7%</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0%</w:t>
            </w:r>
          </w:p>
        </w:tc>
      </w:tr>
      <w:tr w:rsidR="001747A6" w:rsidRPr="001747A6" w:rsidTr="001747A6">
        <w:trPr>
          <w:trHeight w:val="204"/>
        </w:trPr>
        <w:tc>
          <w:tcPr>
            <w:tcW w:w="800" w:type="dxa"/>
            <w:vMerge w:val="restart"/>
            <w:tcBorders>
              <w:top w:val="nil"/>
              <w:left w:val="single" w:sz="4" w:space="0" w:color="auto"/>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Surface non déforestée</w:t>
            </w:r>
          </w:p>
        </w:tc>
        <w:tc>
          <w:tcPr>
            <w:tcW w:w="112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b/>
                <w:bCs/>
                <w:color w:val="000000"/>
                <w:sz w:val="16"/>
                <w:szCs w:val="16"/>
                <w:lang w:val="en-US" w:eastAsia="en-US"/>
              </w:rPr>
            </w:pPr>
            <w:r w:rsidRPr="001747A6">
              <w:rPr>
                <w:rFonts w:ascii="Calibri" w:eastAsia="Times New Roman" w:hAnsi="Calibri" w:cs="Times New Roman"/>
                <w:b/>
                <w:bCs/>
                <w:color w:val="000000"/>
                <w:sz w:val="16"/>
                <w:szCs w:val="16"/>
                <w:lang w:val="en-US" w:eastAsia="en-US"/>
              </w:rPr>
              <w:t>en ha</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500,520</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455,168</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408,829</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361,480</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313,103</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263,675</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213,175</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161,580</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108,868</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55,016</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0</w:t>
            </w:r>
          </w:p>
        </w:tc>
      </w:tr>
      <w:tr w:rsidR="001747A6" w:rsidRPr="001747A6" w:rsidTr="001747A6">
        <w:trPr>
          <w:trHeight w:val="612"/>
        </w:trPr>
        <w:tc>
          <w:tcPr>
            <w:tcW w:w="800" w:type="dxa"/>
            <w:vMerge/>
            <w:tcBorders>
              <w:top w:val="nil"/>
              <w:left w:val="single" w:sz="4" w:space="0" w:color="auto"/>
              <w:bottom w:val="single" w:sz="4" w:space="0" w:color="auto"/>
              <w:right w:val="single" w:sz="4" w:space="0" w:color="auto"/>
            </w:tcBorders>
            <w:vAlign w:val="center"/>
            <w:hideMark/>
          </w:tcPr>
          <w:p w:rsidR="001747A6" w:rsidRPr="001747A6" w:rsidRDefault="001747A6" w:rsidP="001747A6">
            <w:pPr>
              <w:spacing w:after="0" w:line="240" w:lineRule="auto"/>
              <w:rPr>
                <w:rFonts w:ascii="Calibri" w:eastAsia="Times New Roman" w:hAnsi="Calibri" w:cs="Times New Roman"/>
                <w:b/>
                <w:bCs/>
                <w:color w:val="000000"/>
                <w:sz w:val="16"/>
                <w:szCs w:val="16"/>
                <w:lang w:val="en-US" w:eastAsia="en-US"/>
              </w:rPr>
            </w:pPr>
          </w:p>
        </w:tc>
        <w:tc>
          <w:tcPr>
            <w:tcW w:w="1120" w:type="dxa"/>
            <w:tcBorders>
              <w:top w:val="nil"/>
              <w:left w:val="nil"/>
              <w:bottom w:val="single" w:sz="4" w:space="0" w:color="auto"/>
              <w:right w:val="single" w:sz="4" w:space="0" w:color="auto"/>
            </w:tcBorders>
            <w:shd w:val="clear" w:color="000000" w:fill="DDEBF7"/>
            <w:vAlign w:val="center"/>
            <w:hideMark/>
          </w:tcPr>
          <w:p w:rsidR="001747A6" w:rsidRPr="00ED144B" w:rsidRDefault="001747A6" w:rsidP="001747A6">
            <w:pPr>
              <w:spacing w:after="0" w:line="240" w:lineRule="auto"/>
              <w:jc w:val="center"/>
              <w:rPr>
                <w:rFonts w:ascii="Calibri" w:eastAsia="Times New Roman" w:hAnsi="Calibri" w:cs="Times New Roman"/>
                <w:b/>
                <w:bCs/>
                <w:color w:val="000000"/>
                <w:sz w:val="16"/>
                <w:szCs w:val="16"/>
                <w:lang w:eastAsia="en-US"/>
              </w:rPr>
            </w:pPr>
            <w:r w:rsidRPr="00ED144B">
              <w:rPr>
                <w:rFonts w:ascii="Calibri" w:eastAsia="Times New Roman" w:hAnsi="Calibri" w:cs="Times New Roman"/>
                <w:b/>
                <w:bCs/>
                <w:color w:val="000000"/>
                <w:sz w:val="16"/>
                <w:szCs w:val="16"/>
                <w:lang w:eastAsia="en-US"/>
              </w:rPr>
              <w:t xml:space="preserve">en % des forêts qui auraient </w:t>
            </w:r>
            <w:r w:rsidRPr="001747A6">
              <w:rPr>
                <w:rFonts w:ascii="Calibri" w:eastAsia="Times New Roman" w:hAnsi="Calibri" w:cs="Times New Roman"/>
                <w:b/>
                <w:bCs/>
                <w:color w:val="000000"/>
                <w:sz w:val="16"/>
                <w:szCs w:val="16"/>
                <w:lang w:eastAsia="en-US"/>
              </w:rPr>
              <w:t>dû</w:t>
            </w:r>
            <w:r w:rsidRPr="00ED144B">
              <w:rPr>
                <w:rFonts w:ascii="Calibri" w:eastAsia="Times New Roman" w:hAnsi="Calibri" w:cs="Times New Roman"/>
                <w:b/>
                <w:bCs/>
                <w:color w:val="000000"/>
                <w:sz w:val="16"/>
                <w:szCs w:val="16"/>
                <w:lang w:eastAsia="en-US"/>
              </w:rPr>
              <w:t xml:space="preserve"> disparaitre</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40%</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36%</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32%</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29%</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25%</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21%</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17%</w:t>
            </w:r>
          </w:p>
        </w:tc>
        <w:tc>
          <w:tcPr>
            <w:tcW w:w="740" w:type="dxa"/>
            <w:tcBorders>
              <w:top w:val="nil"/>
              <w:left w:val="nil"/>
              <w:bottom w:val="single" w:sz="4" w:space="0" w:color="auto"/>
              <w:right w:val="single" w:sz="4" w:space="0" w:color="auto"/>
            </w:tcBorders>
            <w:shd w:val="clear" w:color="000000" w:fill="DDEBF7"/>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13%</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9%</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4%</w:t>
            </w:r>
          </w:p>
        </w:tc>
        <w:tc>
          <w:tcPr>
            <w:tcW w:w="740" w:type="dxa"/>
            <w:tcBorders>
              <w:top w:val="nil"/>
              <w:left w:val="nil"/>
              <w:bottom w:val="single" w:sz="4" w:space="0" w:color="auto"/>
              <w:right w:val="single" w:sz="4" w:space="0" w:color="auto"/>
            </w:tcBorders>
            <w:shd w:val="clear" w:color="auto" w:fill="auto"/>
            <w:vAlign w:val="center"/>
            <w:hideMark/>
          </w:tcPr>
          <w:p w:rsidR="001747A6" w:rsidRPr="001747A6" w:rsidRDefault="001747A6" w:rsidP="001747A6">
            <w:pPr>
              <w:spacing w:after="0" w:line="240" w:lineRule="auto"/>
              <w:jc w:val="center"/>
              <w:rPr>
                <w:rFonts w:ascii="Calibri" w:eastAsia="Times New Roman" w:hAnsi="Calibri" w:cs="Times New Roman"/>
                <w:color w:val="000000"/>
                <w:sz w:val="16"/>
                <w:szCs w:val="16"/>
                <w:lang w:val="en-US" w:eastAsia="en-US"/>
              </w:rPr>
            </w:pPr>
            <w:r w:rsidRPr="001747A6">
              <w:rPr>
                <w:rFonts w:ascii="Calibri" w:eastAsia="Times New Roman" w:hAnsi="Calibri" w:cs="Times New Roman"/>
                <w:color w:val="000000"/>
                <w:sz w:val="16"/>
                <w:szCs w:val="16"/>
                <w:lang w:val="en-US" w:eastAsia="en-US"/>
              </w:rPr>
              <w:t>0%</w:t>
            </w:r>
          </w:p>
        </w:tc>
      </w:tr>
    </w:tbl>
    <w:p w:rsidR="001747A6" w:rsidRDefault="001747A6" w:rsidP="00ED144B">
      <w:pPr>
        <w:spacing w:after="0"/>
        <w:jc w:val="both"/>
        <w:rPr>
          <w:sz w:val="20"/>
          <w:lang w:eastAsia="en-US"/>
        </w:rPr>
      </w:pPr>
    </w:p>
    <w:p w:rsidR="0069311F" w:rsidRDefault="00860B6E" w:rsidP="00ED144B">
      <w:pPr>
        <w:spacing w:after="0"/>
        <w:jc w:val="both"/>
        <w:rPr>
          <w:sz w:val="20"/>
          <w:lang w:eastAsia="en-US"/>
        </w:rPr>
      </w:pPr>
      <w:r>
        <w:rPr>
          <w:sz w:val="20"/>
          <w:lang w:eastAsia="en-US"/>
        </w:rPr>
        <w:t xml:space="preserve">Aussi </w:t>
      </w:r>
      <w:r w:rsidR="00947BB6">
        <w:rPr>
          <w:sz w:val="20"/>
          <w:lang w:eastAsia="en-US"/>
        </w:rPr>
        <w:t>tout effort qui s’accompagnerait d’une baisse du nombre de ménages agricoles, soit par l’augmentation du nombre d’emplois salariés non agricoles, soit par une baisse de la natalité, contribuerait directement à l’atteinte des objectifs du PIREDD Mai-Ndombe.</w:t>
      </w:r>
      <w:r w:rsidR="00716D84">
        <w:rPr>
          <w:sz w:val="20"/>
          <w:lang w:eastAsia="en-US"/>
        </w:rPr>
        <w:t xml:space="preserve"> </w:t>
      </w:r>
    </w:p>
    <w:p w:rsidR="0069311F" w:rsidRDefault="0069311F" w:rsidP="0069311F">
      <w:pPr>
        <w:spacing w:after="0"/>
        <w:jc w:val="both"/>
        <w:rPr>
          <w:sz w:val="20"/>
          <w:lang w:eastAsia="en-US"/>
        </w:rPr>
      </w:pPr>
    </w:p>
    <w:p w:rsidR="001747A6" w:rsidRPr="0069311F" w:rsidRDefault="005F78DC" w:rsidP="00E55A9C">
      <w:pPr>
        <w:pBdr>
          <w:top w:val="single" w:sz="4" w:space="1" w:color="auto"/>
          <w:left w:val="single" w:sz="4" w:space="4" w:color="auto"/>
          <w:bottom w:val="single" w:sz="4" w:space="1" w:color="auto"/>
          <w:right w:val="single" w:sz="4" w:space="4" w:color="auto"/>
        </w:pBdr>
        <w:spacing w:after="0"/>
        <w:jc w:val="both"/>
        <w:rPr>
          <w:sz w:val="20"/>
          <w:lang w:eastAsia="en-US"/>
        </w:rPr>
      </w:pPr>
      <w:r>
        <w:rPr>
          <w:sz w:val="20"/>
          <w:lang w:eastAsia="en-US"/>
        </w:rPr>
        <w:t>Développé de concert avec le Ministère de la Santé et l’agence en charge du programme sectoriel traitant de la PF, le</w:t>
      </w:r>
      <w:r w:rsidR="0069311F">
        <w:rPr>
          <w:sz w:val="20"/>
          <w:lang w:eastAsia="en-US"/>
        </w:rPr>
        <w:t xml:space="preserve"> </w:t>
      </w:r>
      <w:r w:rsidR="007E76DA">
        <w:rPr>
          <w:sz w:val="20"/>
          <w:lang w:eastAsia="en-US"/>
        </w:rPr>
        <w:t xml:space="preserve">programme propose de </w:t>
      </w:r>
      <w:r w:rsidR="0069311F">
        <w:rPr>
          <w:sz w:val="20"/>
          <w:lang w:eastAsia="en-US"/>
        </w:rPr>
        <w:t>s’inspirer des échecs</w:t>
      </w:r>
      <w:r w:rsidR="00402011">
        <w:rPr>
          <w:rStyle w:val="FootnoteReference"/>
          <w:sz w:val="20"/>
          <w:lang w:eastAsia="en-US"/>
        </w:rPr>
        <w:footnoteReference w:id="22"/>
      </w:r>
      <w:r w:rsidR="0069311F">
        <w:rPr>
          <w:sz w:val="20"/>
          <w:lang w:eastAsia="en-US"/>
        </w:rPr>
        <w:t xml:space="preserve"> en matière de contrôle des naissances en Afrique. Il</w:t>
      </w:r>
      <w:r w:rsidR="00B72836">
        <w:rPr>
          <w:sz w:val="20"/>
          <w:lang w:eastAsia="en-US"/>
        </w:rPr>
        <w:t xml:space="preserve"> </w:t>
      </w:r>
      <w:r w:rsidR="00402011">
        <w:rPr>
          <w:sz w:val="20"/>
          <w:lang w:eastAsia="en-US"/>
        </w:rPr>
        <w:t>a</w:t>
      </w:r>
      <w:r w:rsidR="00B72836">
        <w:rPr>
          <w:sz w:val="20"/>
          <w:lang w:eastAsia="en-US"/>
        </w:rPr>
        <w:t>dapter</w:t>
      </w:r>
      <w:r w:rsidR="00914472">
        <w:rPr>
          <w:sz w:val="20"/>
          <w:lang w:eastAsia="en-US"/>
        </w:rPr>
        <w:t>a notamment</w:t>
      </w:r>
      <w:r w:rsidR="00402011">
        <w:rPr>
          <w:sz w:val="20"/>
          <w:lang w:eastAsia="en-US"/>
        </w:rPr>
        <w:t xml:space="preserve"> l</w:t>
      </w:r>
      <w:r w:rsidR="00B72836">
        <w:rPr>
          <w:sz w:val="20"/>
          <w:lang w:eastAsia="en-US"/>
        </w:rPr>
        <w:t>e message pour</w:t>
      </w:r>
      <w:r w:rsidR="0069311F">
        <w:rPr>
          <w:sz w:val="20"/>
          <w:lang w:eastAsia="en-US"/>
        </w:rPr>
        <w:t xml:space="preserve"> favoriser l’espacement des naissances au lieu de la « limitation des naissances », qui est véritablement diabolisée en Afrique. </w:t>
      </w:r>
      <w:r w:rsidR="00402011">
        <w:rPr>
          <w:sz w:val="20"/>
          <w:lang w:eastAsia="en-US"/>
        </w:rPr>
        <w:t xml:space="preserve">Les activités seront menées avec </w:t>
      </w:r>
      <w:r w:rsidR="0069311F">
        <w:rPr>
          <w:sz w:val="20"/>
          <w:lang w:eastAsia="en-US"/>
        </w:rPr>
        <w:t xml:space="preserve">le respect de la culture locale, sans opposition frontale, mais </w:t>
      </w:r>
      <w:r w:rsidR="00402011">
        <w:rPr>
          <w:sz w:val="20"/>
          <w:lang w:eastAsia="en-US"/>
        </w:rPr>
        <w:t>résolument</w:t>
      </w:r>
      <w:r w:rsidR="0069311F">
        <w:rPr>
          <w:sz w:val="20"/>
          <w:lang w:eastAsia="en-US"/>
        </w:rPr>
        <w:t>.</w:t>
      </w:r>
      <w:r w:rsidR="00402011">
        <w:rPr>
          <w:sz w:val="20"/>
          <w:lang w:eastAsia="en-US"/>
        </w:rPr>
        <w:t xml:space="preserve"> </w:t>
      </w:r>
      <w:r w:rsidR="00716D84">
        <w:rPr>
          <w:sz w:val="20"/>
          <w:lang w:eastAsia="en-US"/>
        </w:rPr>
        <w:t xml:space="preserve">L’accès à l’emploi des jeunes filles </w:t>
      </w:r>
      <w:r w:rsidR="00402011">
        <w:rPr>
          <w:sz w:val="20"/>
          <w:lang w:eastAsia="en-US"/>
        </w:rPr>
        <w:t xml:space="preserve">sera aussi aidé, car c’est </w:t>
      </w:r>
      <w:r w:rsidR="00716D84">
        <w:rPr>
          <w:sz w:val="20"/>
          <w:lang w:eastAsia="en-US"/>
        </w:rPr>
        <w:t>un élément déterminant pour retarder l’âge du premier enfant</w:t>
      </w:r>
      <w:r w:rsidR="00402011">
        <w:rPr>
          <w:sz w:val="20"/>
          <w:lang w:eastAsia="en-US"/>
        </w:rPr>
        <w:t>.</w:t>
      </w:r>
    </w:p>
    <w:p w:rsidR="002C6F78" w:rsidRDefault="002C6F78" w:rsidP="00ED144B">
      <w:pPr>
        <w:spacing w:after="0"/>
        <w:jc w:val="both"/>
        <w:rPr>
          <w:sz w:val="20"/>
          <w:lang w:eastAsia="en-US"/>
        </w:rPr>
      </w:pPr>
    </w:p>
    <w:p w:rsidR="002C6F78" w:rsidRDefault="006B6953" w:rsidP="00ED144B">
      <w:pPr>
        <w:spacing w:after="0"/>
        <w:jc w:val="both"/>
        <w:rPr>
          <w:sz w:val="20"/>
          <w:lang w:eastAsia="en-US"/>
        </w:rPr>
      </w:pPr>
      <w:r>
        <w:rPr>
          <w:sz w:val="20"/>
          <w:lang w:eastAsia="en-US"/>
        </w:rPr>
        <w:t>A ces fins, h</w:t>
      </w:r>
      <w:r w:rsidR="00402011">
        <w:rPr>
          <w:sz w:val="20"/>
          <w:lang w:eastAsia="en-US"/>
        </w:rPr>
        <w:t>uit</w:t>
      </w:r>
      <w:r w:rsidR="00947BB6">
        <w:rPr>
          <w:sz w:val="20"/>
          <w:lang w:eastAsia="en-US"/>
        </w:rPr>
        <w:t xml:space="preserve"> ONGs locales (2 par Territoire) </w:t>
      </w:r>
      <w:r w:rsidR="00402011">
        <w:rPr>
          <w:sz w:val="20"/>
          <w:lang w:eastAsia="en-US"/>
        </w:rPr>
        <w:t xml:space="preserve">seront recrutées </w:t>
      </w:r>
      <w:r w:rsidR="00947BB6">
        <w:rPr>
          <w:sz w:val="20"/>
          <w:lang w:eastAsia="en-US"/>
        </w:rPr>
        <w:t>pour promouvoir les activités suivantes</w:t>
      </w:r>
      <w:r w:rsidR="00E55A9C">
        <w:rPr>
          <w:sz w:val="20"/>
          <w:lang w:eastAsia="en-US"/>
        </w:rPr>
        <w:t xml:space="preserve"> à destination des 180 000 ménages agricoles du</w:t>
      </w:r>
      <w:r w:rsidR="00E55A9C" w:rsidRPr="00E55A9C">
        <w:rPr>
          <w:sz w:val="20"/>
          <w:lang w:eastAsia="en-US"/>
        </w:rPr>
        <w:t xml:space="preserve"> District de Mai-Ndombe</w:t>
      </w:r>
      <w:r w:rsidR="005F78DC">
        <w:rPr>
          <w:sz w:val="20"/>
          <w:lang w:eastAsia="en-US"/>
        </w:rPr>
        <w:t xml:space="preserve"> sur une période de 4 ans (2017 - 2020)</w:t>
      </w:r>
      <w:r w:rsidR="00E55A9C">
        <w:rPr>
          <w:sz w:val="20"/>
          <w:lang w:eastAsia="en-US"/>
        </w:rPr>
        <w:t> :</w:t>
      </w:r>
    </w:p>
    <w:p w:rsidR="00947BB6" w:rsidRPr="00ED144B" w:rsidRDefault="00C23AD9" w:rsidP="002E3A02">
      <w:pPr>
        <w:pStyle w:val="ListParagraph"/>
        <w:numPr>
          <w:ilvl w:val="0"/>
          <w:numId w:val="16"/>
        </w:numPr>
        <w:tabs>
          <w:tab w:val="left" w:pos="993"/>
        </w:tabs>
        <w:ind w:left="720"/>
        <w:jc w:val="both"/>
        <w:rPr>
          <w:sz w:val="20"/>
          <w:szCs w:val="20"/>
        </w:rPr>
      </w:pPr>
      <w:r w:rsidRPr="00ED144B">
        <w:rPr>
          <w:rFonts w:asciiTheme="minorHAnsi" w:eastAsiaTheme="minorEastAsia" w:hAnsiTheme="minorHAnsi"/>
          <w:sz w:val="20"/>
          <w:szCs w:val="20"/>
        </w:rPr>
        <w:t>information/sensibilisation aux méthodes de plan</w:t>
      </w:r>
      <w:r>
        <w:rPr>
          <w:rFonts w:asciiTheme="minorHAnsi" w:eastAsiaTheme="minorEastAsia" w:hAnsiTheme="minorHAnsi"/>
          <w:sz w:val="20"/>
          <w:szCs w:val="20"/>
        </w:rPr>
        <w:t>ification</w:t>
      </w:r>
      <w:r w:rsidRPr="00ED144B">
        <w:rPr>
          <w:rFonts w:asciiTheme="minorHAnsi" w:eastAsiaTheme="minorEastAsia" w:hAnsiTheme="minorHAnsi"/>
          <w:sz w:val="20"/>
          <w:szCs w:val="20"/>
        </w:rPr>
        <w:t xml:space="preserve"> familial</w:t>
      </w:r>
      <w:r>
        <w:rPr>
          <w:rFonts w:asciiTheme="minorHAnsi" w:eastAsiaTheme="minorEastAsia" w:hAnsiTheme="minorHAnsi"/>
          <w:sz w:val="20"/>
          <w:szCs w:val="20"/>
        </w:rPr>
        <w:t>e</w:t>
      </w:r>
      <w:r w:rsidRPr="00ED144B">
        <w:rPr>
          <w:rFonts w:asciiTheme="minorHAnsi" w:eastAsiaTheme="minorEastAsia" w:hAnsiTheme="minorHAnsi"/>
          <w:sz w:val="20"/>
          <w:szCs w:val="20"/>
        </w:rPr>
        <w:t xml:space="preserve"> avec le soutien des leaders d’opinion (leaders politi</w:t>
      </w:r>
      <w:r w:rsidR="00716D84">
        <w:rPr>
          <w:rFonts w:asciiTheme="minorHAnsi" w:eastAsiaTheme="minorEastAsia" w:hAnsiTheme="minorHAnsi"/>
          <w:sz w:val="20"/>
          <w:szCs w:val="20"/>
        </w:rPr>
        <w:t>ques</w:t>
      </w:r>
      <w:r w:rsidRPr="00ED144B">
        <w:rPr>
          <w:rFonts w:asciiTheme="minorHAnsi" w:eastAsiaTheme="minorEastAsia" w:hAnsiTheme="minorHAnsi"/>
          <w:sz w:val="20"/>
          <w:szCs w:val="20"/>
        </w:rPr>
        <w:t>, coutumiers et religieux)</w:t>
      </w:r>
      <w:r w:rsidR="00716D84">
        <w:rPr>
          <w:rFonts w:asciiTheme="minorHAnsi" w:eastAsiaTheme="minorEastAsia" w:hAnsiTheme="minorHAnsi"/>
          <w:sz w:val="20"/>
          <w:szCs w:val="20"/>
        </w:rPr>
        <w:t>,</w:t>
      </w:r>
      <w:r w:rsidRPr="00ED144B">
        <w:rPr>
          <w:rFonts w:asciiTheme="minorHAnsi" w:eastAsiaTheme="minorEastAsia" w:hAnsiTheme="minorHAnsi"/>
          <w:sz w:val="20"/>
          <w:szCs w:val="20"/>
        </w:rPr>
        <w:t xml:space="preserve"> combinée à un accès aux moyens</w:t>
      </w:r>
      <w:r w:rsidR="00716D84">
        <w:rPr>
          <w:rFonts w:asciiTheme="minorHAnsi" w:eastAsiaTheme="minorEastAsia" w:hAnsiTheme="minorHAnsi"/>
          <w:sz w:val="20"/>
          <w:szCs w:val="20"/>
        </w:rPr>
        <w:t xml:space="preserve"> permettant le contrôle des naissances</w:t>
      </w:r>
      <w:r w:rsidRPr="00ED144B">
        <w:rPr>
          <w:rFonts w:asciiTheme="minorHAnsi" w:eastAsiaTheme="minorEastAsia" w:hAnsiTheme="minorHAnsi"/>
          <w:sz w:val="20"/>
          <w:szCs w:val="20"/>
        </w:rPr>
        <w:t>,</w:t>
      </w:r>
    </w:p>
    <w:p w:rsidR="00C23AD9" w:rsidRPr="00ED144B" w:rsidRDefault="00C23AD9" w:rsidP="002E3A02">
      <w:pPr>
        <w:pStyle w:val="ListParagraph"/>
        <w:numPr>
          <w:ilvl w:val="0"/>
          <w:numId w:val="16"/>
        </w:numPr>
        <w:tabs>
          <w:tab w:val="left" w:pos="993"/>
        </w:tabs>
        <w:ind w:left="720"/>
        <w:jc w:val="both"/>
        <w:rPr>
          <w:sz w:val="20"/>
          <w:szCs w:val="20"/>
        </w:rPr>
      </w:pPr>
      <w:r w:rsidRPr="00ED144B">
        <w:rPr>
          <w:rFonts w:asciiTheme="minorHAnsi" w:eastAsiaTheme="minorEastAsia" w:hAnsiTheme="minorHAnsi"/>
          <w:sz w:val="20"/>
          <w:szCs w:val="20"/>
        </w:rPr>
        <w:t xml:space="preserve">éducation des jeunes, et notamment des jeunes filles, </w:t>
      </w:r>
      <w:r w:rsidR="00716D84">
        <w:rPr>
          <w:rFonts w:asciiTheme="minorHAnsi" w:eastAsiaTheme="minorEastAsia" w:hAnsiTheme="minorHAnsi"/>
          <w:sz w:val="20"/>
          <w:szCs w:val="20"/>
        </w:rPr>
        <w:t>pour favoriser l’</w:t>
      </w:r>
      <w:r w:rsidRPr="00ED144B">
        <w:rPr>
          <w:rFonts w:asciiTheme="minorHAnsi" w:eastAsiaTheme="minorEastAsia" w:hAnsiTheme="minorHAnsi"/>
          <w:sz w:val="20"/>
          <w:szCs w:val="20"/>
        </w:rPr>
        <w:t>accès à l’emploi</w:t>
      </w:r>
      <w:r w:rsidR="00402011">
        <w:rPr>
          <w:rFonts w:asciiTheme="minorHAnsi" w:eastAsiaTheme="minorEastAsia" w:hAnsiTheme="minorHAnsi"/>
          <w:sz w:val="20"/>
          <w:szCs w:val="20"/>
        </w:rPr>
        <w:t xml:space="preserve"> et la</w:t>
      </w:r>
      <w:r w:rsidR="00716D84">
        <w:rPr>
          <w:rFonts w:asciiTheme="minorHAnsi" w:eastAsiaTheme="minorEastAsia" w:hAnsiTheme="minorHAnsi"/>
          <w:sz w:val="20"/>
          <w:szCs w:val="20"/>
        </w:rPr>
        <w:t xml:space="preserve"> </w:t>
      </w:r>
      <w:r w:rsidR="00BB59E8">
        <w:rPr>
          <w:rFonts w:asciiTheme="minorHAnsi" w:eastAsiaTheme="minorEastAsia" w:hAnsiTheme="minorHAnsi"/>
          <w:sz w:val="20"/>
          <w:szCs w:val="20"/>
        </w:rPr>
        <w:t>détermination</w:t>
      </w:r>
      <w:r w:rsidR="00402011">
        <w:rPr>
          <w:rFonts w:asciiTheme="minorHAnsi" w:eastAsiaTheme="minorEastAsia" w:hAnsiTheme="minorHAnsi"/>
          <w:sz w:val="20"/>
          <w:szCs w:val="20"/>
        </w:rPr>
        <w:t xml:space="preserve"> d</w:t>
      </w:r>
      <w:r w:rsidRPr="00ED144B">
        <w:rPr>
          <w:rFonts w:asciiTheme="minorHAnsi" w:eastAsiaTheme="minorEastAsia" w:hAnsiTheme="minorHAnsi"/>
          <w:sz w:val="20"/>
          <w:szCs w:val="20"/>
        </w:rPr>
        <w:t>’objectif</w:t>
      </w:r>
      <w:r w:rsidR="00402011">
        <w:rPr>
          <w:rFonts w:asciiTheme="minorHAnsi" w:eastAsiaTheme="minorEastAsia" w:hAnsiTheme="minorHAnsi"/>
          <w:sz w:val="20"/>
          <w:szCs w:val="20"/>
        </w:rPr>
        <w:t>s raisonnables</w:t>
      </w:r>
      <w:r w:rsidRPr="00ED144B">
        <w:rPr>
          <w:rFonts w:asciiTheme="minorHAnsi" w:eastAsiaTheme="minorEastAsia" w:hAnsiTheme="minorHAnsi"/>
          <w:sz w:val="20"/>
          <w:szCs w:val="20"/>
        </w:rPr>
        <w:t xml:space="preserve"> en termes de nombre d’enfants</w:t>
      </w:r>
      <w:r w:rsidR="00402011">
        <w:rPr>
          <w:rFonts w:asciiTheme="minorHAnsi" w:eastAsiaTheme="minorEastAsia" w:hAnsiTheme="minorHAnsi"/>
          <w:sz w:val="20"/>
          <w:szCs w:val="20"/>
        </w:rPr>
        <w:t xml:space="preserve"> par famille</w:t>
      </w:r>
      <w:r w:rsidRPr="00ED144B">
        <w:rPr>
          <w:rFonts w:asciiTheme="minorHAnsi" w:eastAsiaTheme="minorEastAsia" w:hAnsiTheme="minorHAnsi"/>
          <w:sz w:val="20"/>
          <w:szCs w:val="20"/>
        </w:rPr>
        <w:t>.</w:t>
      </w:r>
    </w:p>
    <w:p w:rsidR="00E55A9C" w:rsidRDefault="00E55A9C" w:rsidP="00716D84">
      <w:pPr>
        <w:spacing w:after="0"/>
        <w:jc w:val="both"/>
        <w:rPr>
          <w:sz w:val="20"/>
          <w:lang w:eastAsia="en-US"/>
        </w:rPr>
      </w:pPr>
    </w:p>
    <w:p w:rsidR="001100E7" w:rsidRDefault="00402011" w:rsidP="00ED144B">
      <w:pPr>
        <w:spacing w:after="0"/>
        <w:jc w:val="both"/>
        <w:rPr>
          <w:sz w:val="20"/>
          <w:lang w:eastAsia="en-US"/>
        </w:rPr>
      </w:pPr>
      <w:r>
        <w:rPr>
          <w:sz w:val="20"/>
          <w:lang w:eastAsia="en-US"/>
        </w:rPr>
        <w:t xml:space="preserve">Des synergies avec le PIREDD du Kwilu seront </w:t>
      </w:r>
      <w:r w:rsidR="00E55A9C">
        <w:rPr>
          <w:sz w:val="20"/>
          <w:lang w:eastAsia="en-US"/>
        </w:rPr>
        <w:t>recherchées en sus</w:t>
      </w:r>
      <w:r w:rsidR="00C460E0">
        <w:rPr>
          <w:sz w:val="20"/>
          <w:lang w:eastAsia="en-US"/>
        </w:rPr>
        <w:t>,</w:t>
      </w:r>
      <w:r w:rsidR="00E55A9C">
        <w:rPr>
          <w:sz w:val="20"/>
          <w:lang w:eastAsia="en-US"/>
        </w:rPr>
        <w:t xml:space="preserve"> en raison de </w:t>
      </w:r>
      <w:r w:rsidR="00E55A9C" w:rsidRPr="00E55A9C">
        <w:rPr>
          <w:sz w:val="20"/>
          <w:lang w:eastAsia="en-US"/>
        </w:rPr>
        <w:t>migration</w:t>
      </w:r>
      <w:r w:rsidR="00E55A9C">
        <w:rPr>
          <w:sz w:val="20"/>
          <w:lang w:eastAsia="en-US"/>
        </w:rPr>
        <w:t>s</w:t>
      </w:r>
      <w:r w:rsidR="00E55A9C" w:rsidRPr="00E55A9C">
        <w:rPr>
          <w:sz w:val="20"/>
          <w:lang w:eastAsia="en-US"/>
        </w:rPr>
        <w:t xml:space="preserve"> </w:t>
      </w:r>
      <w:r w:rsidR="00E55A9C">
        <w:rPr>
          <w:sz w:val="20"/>
          <w:lang w:eastAsia="en-US"/>
        </w:rPr>
        <w:t>importantes</w:t>
      </w:r>
      <w:r w:rsidR="00E55A9C" w:rsidRPr="00E55A9C">
        <w:rPr>
          <w:sz w:val="20"/>
          <w:lang w:eastAsia="en-US"/>
        </w:rPr>
        <w:t xml:space="preserve"> vers la Province du Mai-Ndombe en provenance de la zone savanicole du Kwilu (Masi Manimba, Idiofa, Bulungu) et même de la forêt totalement anthropisée du nord d’Idiofa,</w:t>
      </w:r>
      <w:r w:rsidR="00E55A9C">
        <w:rPr>
          <w:sz w:val="20"/>
          <w:lang w:eastAsia="en-US"/>
        </w:rPr>
        <w:t xml:space="preserve"> sur la</w:t>
      </w:r>
      <w:r w:rsidR="00E55A9C" w:rsidRPr="00E55A9C">
        <w:rPr>
          <w:sz w:val="20"/>
          <w:lang w:eastAsia="en-US"/>
        </w:rPr>
        <w:t xml:space="preserve"> rive gauche du Kasaï. Les zones les plus menacées par cette migration sont les forêts de Kwa</w:t>
      </w:r>
      <w:r w:rsidR="00E55A9C">
        <w:rPr>
          <w:sz w:val="20"/>
          <w:lang w:eastAsia="en-US"/>
        </w:rPr>
        <w:t>mouth et celles du sud d’Oshwe.</w:t>
      </w:r>
    </w:p>
    <w:p w:rsidR="00EE0CA3" w:rsidRDefault="00EE0CA3" w:rsidP="00EE0CA3">
      <w:pPr>
        <w:spacing w:after="0"/>
        <w:jc w:val="both"/>
        <w:rPr>
          <w:sz w:val="20"/>
          <w:lang w:eastAsia="en-US"/>
        </w:rPr>
      </w:pPr>
    </w:p>
    <w:p w:rsidR="00EE0CA3" w:rsidRDefault="00EE0CA3" w:rsidP="00EE0CA3">
      <w:pPr>
        <w:spacing w:after="0"/>
        <w:jc w:val="both"/>
        <w:rPr>
          <w:sz w:val="20"/>
          <w:lang w:eastAsia="en-US"/>
        </w:rPr>
      </w:pPr>
      <w:r>
        <w:rPr>
          <w:sz w:val="20"/>
          <w:lang w:eastAsia="en-US"/>
        </w:rPr>
        <w:t>Les sessions de sensibilisation aux méthodes de la PF seront étendues à</w:t>
      </w:r>
      <w:r w:rsidRPr="00EE0CA3">
        <w:rPr>
          <w:sz w:val="20"/>
          <w:lang w:eastAsia="en-US"/>
        </w:rPr>
        <w:t xml:space="preserve"> la prévention d'Ebola et du VIH SIDA</w:t>
      </w:r>
      <w:r>
        <w:rPr>
          <w:sz w:val="20"/>
          <w:lang w:eastAsia="en-US"/>
        </w:rPr>
        <w:t>.</w:t>
      </w:r>
    </w:p>
    <w:p w:rsidR="00E55A9C" w:rsidRDefault="00E55A9C" w:rsidP="00E55A9C">
      <w:pPr>
        <w:spacing w:after="0"/>
        <w:jc w:val="both"/>
        <w:rPr>
          <w:sz w:val="20"/>
          <w:lang w:eastAsia="en-US"/>
        </w:rPr>
      </w:pPr>
    </w:p>
    <w:tbl>
      <w:tblPr>
        <w:tblW w:w="5050" w:type="pct"/>
        <w:tblLook w:val="04A0" w:firstRow="1" w:lastRow="0" w:firstColumn="1" w:lastColumn="0" w:noHBand="0" w:noVBand="1"/>
      </w:tblPr>
      <w:tblGrid>
        <w:gridCol w:w="448"/>
        <w:gridCol w:w="4846"/>
        <w:gridCol w:w="607"/>
        <w:gridCol w:w="607"/>
        <w:gridCol w:w="607"/>
        <w:gridCol w:w="607"/>
        <w:gridCol w:w="607"/>
        <w:gridCol w:w="607"/>
        <w:gridCol w:w="607"/>
        <w:gridCol w:w="605"/>
      </w:tblGrid>
      <w:tr w:rsidR="00E55A9C" w:rsidRPr="00BE6983" w:rsidTr="00B72836">
        <w:trPr>
          <w:tblHeader/>
        </w:trPr>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55A9C" w:rsidRPr="00BE6983" w:rsidRDefault="00E55A9C" w:rsidP="00FA0CE8">
            <w:pPr>
              <w:spacing w:after="0" w:line="240" w:lineRule="auto"/>
              <w:jc w:val="both"/>
              <w:rPr>
                <w:rFonts w:cs="Times New Roman"/>
                <w:sz w:val="20"/>
                <w:szCs w:val="20"/>
              </w:rPr>
            </w:pPr>
          </w:p>
        </w:tc>
        <w:tc>
          <w:tcPr>
            <w:tcW w:w="238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b/>
                <w:sz w:val="20"/>
                <w:szCs w:val="20"/>
              </w:rPr>
            </w:pPr>
            <w:r w:rsidRPr="00BE6983">
              <w:rPr>
                <w:rFonts w:cs="Times New Roman"/>
                <w:b/>
                <w:sz w:val="20"/>
                <w:szCs w:val="20"/>
              </w:rPr>
              <w:t>Activité</w:t>
            </w:r>
          </w:p>
        </w:tc>
        <w:tc>
          <w:tcPr>
            <w:tcW w:w="2391"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55A9C" w:rsidRPr="00BE6983" w:rsidRDefault="00E55A9C" w:rsidP="00FA0CE8">
            <w:pPr>
              <w:spacing w:after="0" w:line="240" w:lineRule="auto"/>
              <w:jc w:val="center"/>
              <w:rPr>
                <w:rFonts w:cs="Times New Roman"/>
                <w:b/>
                <w:sz w:val="20"/>
                <w:szCs w:val="20"/>
              </w:rPr>
            </w:pPr>
            <w:r w:rsidRPr="00BE6983">
              <w:rPr>
                <w:rFonts w:cs="Times New Roman"/>
                <w:b/>
                <w:sz w:val="20"/>
                <w:szCs w:val="20"/>
              </w:rPr>
              <w:t>Semestres</w:t>
            </w:r>
          </w:p>
        </w:tc>
      </w:tr>
      <w:tr w:rsidR="00E55A9C" w:rsidRPr="00BE6983" w:rsidTr="00B72836">
        <w:trPr>
          <w:tblHeader/>
        </w:trPr>
        <w:tc>
          <w:tcPr>
            <w:tcW w:w="2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55A9C" w:rsidRPr="00BE6983" w:rsidRDefault="00E55A9C" w:rsidP="00FA0CE8">
            <w:pPr>
              <w:spacing w:after="0" w:line="240" w:lineRule="auto"/>
              <w:jc w:val="both"/>
              <w:rPr>
                <w:rFonts w:cs="Times New Roman"/>
                <w:sz w:val="20"/>
                <w:szCs w:val="20"/>
              </w:rPr>
            </w:pPr>
          </w:p>
        </w:tc>
        <w:tc>
          <w:tcPr>
            <w:tcW w:w="238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55A9C" w:rsidRPr="00BE6983" w:rsidRDefault="00E55A9C" w:rsidP="00FA0CE8">
            <w:pPr>
              <w:spacing w:after="0" w:line="240" w:lineRule="auto"/>
              <w:jc w:val="both"/>
              <w:rPr>
                <w:rFonts w:cs="Times New Roman"/>
                <w:sz w:val="20"/>
                <w:szCs w:val="20"/>
              </w:rPr>
            </w:pP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1</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3</w:t>
            </w:r>
          </w:p>
        </w:tc>
        <w:tc>
          <w:tcPr>
            <w:tcW w:w="59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4</w:t>
            </w:r>
          </w:p>
        </w:tc>
      </w:tr>
      <w:tr w:rsidR="00E55A9C" w:rsidRPr="00BE6983" w:rsidTr="00B7283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5A9C" w:rsidRPr="00BE6983" w:rsidRDefault="00E55A9C" w:rsidP="00FA0CE8">
            <w:pPr>
              <w:spacing w:after="0" w:line="240" w:lineRule="auto"/>
              <w:rPr>
                <w:rFonts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5A9C" w:rsidRPr="00BE6983" w:rsidRDefault="00E55A9C" w:rsidP="00FA0CE8">
            <w:pPr>
              <w:spacing w:after="0" w:line="240" w:lineRule="auto"/>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1</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2</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3</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4</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5</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6</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7</w:t>
            </w: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5A9C" w:rsidRPr="00BE6983" w:rsidRDefault="00E55A9C" w:rsidP="00FA0CE8">
            <w:pPr>
              <w:spacing w:after="0" w:line="240" w:lineRule="auto"/>
              <w:jc w:val="center"/>
              <w:rPr>
                <w:rFonts w:cs="Times New Roman"/>
                <w:sz w:val="20"/>
                <w:szCs w:val="20"/>
              </w:rPr>
            </w:pPr>
            <w:r w:rsidRPr="00BE6983">
              <w:rPr>
                <w:rFonts w:cs="Times New Roman"/>
                <w:sz w:val="20"/>
                <w:szCs w:val="20"/>
              </w:rPr>
              <w:t>8</w:t>
            </w:r>
          </w:p>
        </w:tc>
      </w:tr>
      <w:tr w:rsidR="00E55A9C" w:rsidRPr="00BE6983" w:rsidTr="00B72836">
        <w:tc>
          <w:tcPr>
            <w:tcW w:w="221" w:type="pct"/>
            <w:tcBorders>
              <w:top w:val="single" w:sz="4" w:space="0" w:color="auto"/>
              <w:left w:val="single" w:sz="4" w:space="0" w:color="auto"/>
              <w:bottom w:val="single" w:sz="4" w:space="0" w:color="auto"/>
              <w:right w:val="single" w:sz="4" w:space="0" w:color="auto"/>
            </w:tcBorders>
            <w:hideMark/>
          </w:tcPr>
          <w:p w:rsidR="00E55A9C" w:rsidRPr="00BE6983" w:rsidRDefault="00E55A9C" w:rsidP="00FA0CE8">
            <w:pPr>
              <w:spacing w:after="0" w:line="240" w:lineRule="auto"/>
              <w:jc w:val="both"/>
              <w:rPr>
                <w:rFonts w:cs="Times New Roman"/>
                <w:sz w:val="20"/>
                <w:szCs w:val="20"/>
              </w:rPr>
            </w:pPr>
            <w:r w:rsidRPr="00BE6983">
              <w:rPr>
                <w:rFonts w:cs="Times New Roman"/>
                <w:sz w:val="20"/>
                <w:szCs w:val="20"/>
              </w:rPr>
              <w:t>1</w:t>
            </w:r>
          </w:p>
        </w:tc>
        <w:tc>
          <w:tcPr>
            <w:tcW w:w="2388" w:type="pct"/>
            <w:tcBorders>
              <w:top w:val="single" w:sz="4" w:space="0" w:color="auto"/>
              <w:left w:val="single" w:sz="4" w:space="0" w:color="auto"/>
              <w:bottom w:val="single" w:sz="4" w:space="0" w:color="auto"/>
              <w:right w:val="single" w:sz="4" w:space="0" w:color="auto"/>
            </w:tcBorders>
            <w:vAlign w:val="center"/>
            <w:hideMark/>
          </w:tcPr>
          <w:p w:rsidR="00E55A9C" w:rsidRPr="005F78DC" w:rsidRDefault="005F78DC" w:rsidP="005F78DC">
            <w:pPr>
              <w:spacing w:after="0" w:line="240" w:lineRule="auto"/>
              <w:rPr>
                <w:rFonts w:cs="Times New Roman"/>
                <w:sz w:val="20"/>
                <w:szCs w:val="20"/>
              </w:rPr>
            </w:pPr>
            <w:r>
              <w:rPr>
                <w:rFonts w:cs="Times New Roman"/>
                <w:sz w:val="20"/>
                <w:szCs w:val="20"/>
              </w:rPr>
              <w:t>Elaboration des TdRs pour les 8 ONGs à recruter. Travail à réaliser conjointement avec le Ministère de la Santé</w:t>
            </w: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r>
      <w:tr w:rsidR="00E55A9C" w:rsidRPr="00BE6983" w:rsidTr="00B72836">
        <w:tc>
          <w:tcPr>
            <w:tcW w:w="221" w:type="pct"/>
            <w:tcBorders>
              <w:top w:val="single" w:sz="4" w:space="0" w:color="auto"/>
              <w:left w:val="single" w:sz="4" w:space="0" w:color="auto"/>
              <w:bottom w:val="single" w:sz="4" w:space="0" w:color="auto"/>
              <w:right w:val="single" w:sz="4" w:space="0" w:color="auto"/>
            </w:tcBorders>
            <w:hideMark/>
          </w:tcPr>
          <w:p w:rsidR="00E55A9C" w:rsidRPr="00BE6983" w:rsidRDefault="00E55A9C" w:rsidP="00FA0CE8">
            <w:pPr>
              <w:spacing w:after="0" w:line="240" w:lineRule="auto"/>
              <w:jc w:val="both"/>
              <w:rPr>
                <w:rFonts w:cs="Times New Roman"/>
                <w:sz w:val="20"/>
                <w:szCs w:val="20"/>
              </w:rPr>
            </w:pPr>
            <w:r w:rsidRPr="00BE6983">
              <w:rPr>
                <w:rFonts w:cs="Times New Roman"/>
                <w:sz w:val="20"/>
                <w:szCs w:val="20"/>
              </w:rPr>
              <w:t>2</w:t>
            </w:r>
          </w:p>
        </w:tc>
        <w:tc>
          <w:tcPr>
            <w:tcW w:w="2388" w:type="pct"/>
            <w:tcBorders>
              <w:top w:val="single" w:sz="4" w:space="0" w:color="auto"/>
              <w:left w:val="single" w:sz="4" w:space="0" w:color="auto"/>
              <w:bottom w:val="single" w:sz="4" w:space="0" w:color="auto"/>
              <w:right w:val="single" w:sz="4" w:space="0" w:color="auto"/>
            </w:tcBorders>
            <w:vAlign w:val="center"/>
            <w:hideMark/>
          </w:tcPr>
          <w:p w:rsidR="00E55A9C" w:rsidRPr="00BE6983" w:rsidRDefault="00B72836" w:rsidP="00FA0CE8">
            <w:pPr>
              <w:spacing w:after="0" w:line="240" w:lineRule="auto"/>
              <w:rPr>
                <w:rFonts w:cs="Times New Roman"/>
                <w:sz w:val="20"/>
                <w:szCs w:val="20"/>
              </w:rPr>
            </w:pPr>
            <w:r>
              <w:rPr>
                <w:rFonts w:cs="Times New Roman"/>
                <w:sz w:val="20"/>
                <w:szCs w:val="20"/>
              </w:rPr>
              <w:t>Recrutement des ONGs</w:t>
            </w: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E55A9C" w:rsidRPr="00BE6983" w:rsidRDefault="00E55A9C" w:rsidP="00FA0CE8">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E55A9C" w:rsidRPr="00BE6983" w:rsidRDefault="00E55A9C" w:rsidP="00FA0CE8">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rsidR="00E55A9C" w:rsidRPr="00BE6983" w:rsidRDefault="00E55A9C" w:rsidP="00FA0CE8">
            <w:pPr>
              <w:spacing w:after="0" w:line="240" w:lineRule="auto"/>
              <w:jc w:val="both"/>
              <w:rPr>
                <w:rFonts w:cs="Times New Roman"/>
                <w:color w:val="F2F2F2" w:themeColor="background1" w:themeShade="F2"/>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r>
      <w:tr w:rsidR="00E55A9C" w:rsidRPr="00BE6983" w:rsidTr="00B72836">
        <w:tc>
          <w:tcPr>
            <w:tcW w:w="221" w:type="pct"/>
            <w:tcBorders>
              <w:top w:val="single" w:sz="4" w:space="0" w:color="auto"/>
              <w:left w:val="single" w:sz="4" w:space="0" w:color="auto"/>
              <w:bottom w:val="single" w:sz="4" w:space="0" w:color="auto"/>
              <w:right w:val="single" w:sz="4" w:space="0" w:color="auto"/>
            </w:tcBorders>
            <w:hideMark/>
          </w:tcPr>
          <w:p w:rsidR="00E55A9C" w:rsidRPr="00BE6983" w:rsidRDefault="00B72836" w:rsidP="00FA0CE8">
            <w:pPr>
              <w:spacing w:after="0" w:line="240" w:lineRule="auto"/>
              <w:jc w:val="both"/>
              <w:rPr>
                <w:rFonts w:cs="Times New Roman"/>
                <w:sz w:val="20"/>
                <w:szCs w:val="20"/>
              </w:rPr>
            </w:pPr>
            <w:r>
              <w:rPr>
                <w:rFonts w:cs="Times New Roman"/>
                <w:sz w:val="20"/>
                <w:szCs w:val="20"/>
              </w:rPr>
              <w:t>3</w:t>
            </w:r>
          </w:p>
        </w:tc>
        <w:tc>
          <w:tcPr>
            <w:tcW w:w="2388" w:type="pct"/>
            <w:tcBorders>
              <w:top w:val="single" w:sz="4" w:space="0" w:color="auto"/>
              <w:left w:val="single" w:sz="4" w:space="0" w:color="auto"/>
              <w:bottom w:val="single" w:sz="4" w:space="0" w:color="auto"/>
              <w:right w:val="single" w:sz="4" w:space="0" w:color="auto"/>
            </w:tcBorders>
            <w:vAlign w:val="center"/>
            <w:hideMark/>
          </w:tcPr>
          <w:p w:rsidR="00E55A9C" w:rsidRPr="00BE6983" w:rsidRDefault="00E55A9C" w:rsidP="00B72836">
            <w:pPr>
              <w:spacing w:after="0" w:line="240" w:lineRule="auto"/>
              <w:rPr>
                <w:rFonts w:cs="Times New Roman"/>
                <w:sz w:val="20"/>
                <w:szCs w:val="20"/>
              </w:rPr>
            </w:pPr>
            <w:r>
              <w:rPr>
                <w:rFonts w:cs="Times New Roman"/>
                <w:sz w:val="20"/>
                <w:szCs w:val="20"/>
              </w:rPr>
              <w:t xml:space="preserve">Réalisation des </w:t>
            </w:r>
            <w:r w:rsidR="00B72836">
              <w:rPr>
                <w:rFonts w:cs="Times New Roman"/>
                <w:sz w:val="20"/>
                <w:szCs w:val="20"/>
              </w:rPr>
              <w:t>activités</w:t>
            </w: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r>
      <w:tr w:rsidR="00E55A9C" w:rsidRPr="00BE6983" w:rsidTr="00B72836">
        <w:tc>
          <w:tcPr>
            <w:tcW w:w="221" w:type="pct"/>
            <w:tcBorders>
              <w:top w:val="single" w:sz="4" w:space="0" w:color="auto"/>
              <w:left w:val="single" w:sz="4" w:space="0" w:color="auto"/>
              <w:bottom w:val="single" w:sz="4" w:space="0" w:color="auto"/>
              <w:right w:val="single" w:sz="4" w:space="0" w:color="auto"/>
            </w:tcBorders>
            <w:hideMark/>
          </w:tcPr>
          <w:p w:rsidR="00E55A9C" w:rsidRPr="00BE6983" w:rsidRDefault="00B72836" w:rsidP="00FA0CE8">
            <w:pPr>
              <w:spacing w:after="0" w:line="240" w:lineRule="auto"/>
              <w:jc w:val="both"/>
              <w:rPr>
                <w:rFonts w:cs="Times New Roman"/>
                <w:sz w:val="20"/>
                <w:szCs w:val="20"/>
              </w:rPr>
            </w:pPr>
            <w:r>
              <w:rPr>
                <w:rFonts w:cs="Times New Roman"/>
                <w:sz w:val="20"/>
                <w:szCs w:val="20"/>
              </w:rPr>
              <w:t>4</w:t>
            </w:r>
          </w:p>
        </w:tc>
        <w:tc>
          <w:tcPr>
            <w:tcW w:w="2388" w:type="pct"/>
            <w:tcBorders>
              <w:top w:val="single" w:sz="4" w:space="0" w:color="auto"/>
              <w:left w:val="single" w:sz="4" w:space="0" w:color="auto"/>
              <w:bottom w:val="single" w:sz="4" w:space="0" w:color="auto"/>
              <w:right w:val="single" w:sz="4" w:space="0" w:color="auto"/>
            </w:tcBorders>
            <w:vAlign w:val="center"/>
            <w:hideMark/>
          </w:tcPr>
          <w:p w:rsidR="00E55A9C" w:rsidRPr="00BE6983" w:rsidRDefault="00B72836" w:rsidP="00FA0CE8">
            <w:pPr>
              <w:spacing w:after="0" w:line="240" w:lineRule="auto"/>
              <w:rPr>
                <w:rFonts w:cs="Times New Roman"/>
                <w:sz w:val="20"/>
                <w:szCs w:val="20"/>
              </w:rPr>
            </w:pPr>
            <w:r>
              <w:rPr>
                <w:rFonts w:cs="Times New Roman"/>
                <w:sz w:val="20"/>
                <w:szCs w:val="20"/>
              </w:rPr>
              <w:t>S</w:t>
            </w:r>
            <w:r w:rsidR="00E55A9C" w:rsidRPr="00BE6983">
              <w:rPr>
                <w:rFonts w:cs="Times New Roman"/>
                <w:sz w:val="20"/>
                <w:szCs w:val="20"/>
              </w:rPr>
              <w:t>uivi-évaluation</w:t>
            </w:r>
          </w:p>
        </w:tc>
        <w:tc>
          <w:tcPr>
            <w:tcW w:w="299" w:type="pct"/>
            <w:tcBorders>
              <w:top w:val="single" w:sz="4" w:space="0" w:color="auto"/>
              <w:left w:val="single" w:sz="4" w:space="0" w:color="auto"/>
              <w:bottom w:val="single" w:sz="4" w:space="0" w:color="auto"/>
              <w:right w:val="single" w:sz="4" w:space="0" w:color="auto"/>
            </w:tcBorders>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55A9C" w:rsidRPr="00BE6983" w:rsidRDefault="00E55A9C" w:rsidP="00FA0CE8">
            <w:pPr>
              <w:spacing w:after="0" w:line="240" w:lineRule="auto"/>
              <w:jc w:val="both"/>
              <w:rPr>
                <w:rFonts w:cs="Times New Roman"/>
                <w:sz w:val="20"/>
                <w:szCs w:val="20"/>
              </w:rPr>
            </w:pPr>
          </w:p>
        </w:tc>
      </w:tr>
    </w:tbl>
    <w:p w:rsidR="006E5293" w:rsidRDefault="006E5293" w:rsidP="00D33E12">
      <w:pPr>
        <w:spacing w:after="0"/>
        <w:rPr>
          <w:b/>
          <w:sz w:val="20"/>
          <w:lang w:eastAsia="en-US"/>
        </w:rPr>
      </w:pPr>
    </w:p>
    <w:p w:rsidR="000A4530" w:rsidRPr="000F2DE3" w:rsidRDefault="000A4530" w:rsidP="00D33E12">
      <w:pPr>
        <w:spacing w:after="0"/>
        <w:rPr>
          <w:b/>
          <w:sz w:val="20"/>
          <w:lang w:eastAsia="en-US"/>
        </w:rPr>
      </w:pPr>
      <w:r w:rsidRPr="000F2DE3">
        <w:rPr>
          <w:b/>
          <w:sz w:val="20"/>
          <w:lang w:eastAsia="en-US"/>
        </w:rPr>
        <w:t>Stratégie d’intervention pour l’atteinte des sept objectifs proposés et détaillés ci-dessus</w:t>
      </w:r>
    </w:p>
    <w:p w:rsidR="000A4530" w:rsidRPr="000F2DE3" w:rsidRDefault="000A4530" w:rsidP="00D33E12">
      <w:pPr>
        <w:spacing w:after="0"/>
        <w:rPr>
          <w:b/>
          <w:sz w:val="20"/>
          <w:lang w:eastAsia="en-US"/>
        </w:rPr>
      </w:pPr>
    </w:p>
    <w:p w:rsidR="000A4530" w:rsidRPr="000F2DE3" w:rsidRDefault="000A4530" w:rsidP="002E3A02">
      <w:pPr>
        <w:pStyle w:val="ListParagraph"/>
        <w:numPr>
          <w:ilvl w:val="0"/>
          <w:numId w:val="72"/>
        </w:numPr>
        <w:tabs>
          <w:tab w:val="left" w:pos="450"/>
        </w:tabs>
        <w:jc w:val="both"/>
        <w:rPr>
          <w:rFonts w:asciiTheme="minorHAnsi" w:eastAsiaTheme="minorEastAsia" w:hAnsiTheme="minorHAnsi"/>
          <w:b/>
          <w:color w:val="2E74B5" w:themeColor="accent1" w:themeShade="BF"/>
          <w:sz w:val="20"/>
          <w:szCs w:val="20"/>
        </w:rPr>
      </w:pPr>
      <w:r w:rsidRPr="000F2DE3">
        <w:rPr>
          <w:rFonts w:asciiTheme="minorHAnsi" w:eastAsiaTheme="minorEastAsia" w:hAnsiTheme="minorHAnsi"/>
          <w:b/>
          <w:color w:val="2E74B5" w:themeColor="accent1" w:themeShade="BF"/>
          <w:sz w:val="20"/>
          <w:szCs w:val="20"/>
        </w:rPr>
        <w:t>Genre</w:t>
      </w:r>
    </w:p>
    <w:p w:rsidR="00CD77E9" w:rsidRPr="000F2DE3" w:rsidRDefault="00CD77E9" w:rsidP="00006382">
      <w:pPr>
        <w:pStyle w:val="ListParagraph"/>
        <w:tabs>
          <w:tab w:val="left" w:pos="450"/>
        </w:tabs>
        <w:jc w:val="both"/>
        <w:rPr>
          <w:rFonts w:asciiTheme="minorHAnsi" w:eastAsiaTheme="minorEastAsia" w:hAnsiTheme="minorHAnsi"/>
          <w:b/>
          <w:color w:val="2E74B5" w:themeColor="accent1" w:themeShade="BF"/>
          <w:sz w:val="20"/>
          <w:szCs w:val="20"/>
        </w:rPr>
      </w:pPr>
    </w:p>
    <w:p w:rsidR="000A4530" w:rsidRPr="000F2DE3" w:rsidRDefault="00CD77E9" w:rsidP="00006382">
      <w:pPr>
        <w:spacing w:after="0"/>
        <w:jc w:val="both"/>
        <w:rPr>
          <w:sz w:val="20"/>
          <w:lang w:eastAsia="en-US"/>
        </w:rPr>
      </w:pPr>
      <w:r w:rsidRPr="000F2DE3">
        <w:rPr>
          <w:sz w:val="20"/>
          <w:lang w:eastAsia="en-US"/>
        </w:rPr>
        <w:t xml:space="preserve">Les femmes ont une responsabilité centrale vis-à-vis de la reproduction familiale. Elles seront à ce titre les cibles privilégiées des programmes de planning familial. </w:t>
      </w:r>
      <w:r w:rsidR="000A4530" w:rsidRPr="000F2DE3">
        <w:rPr>
          <w:sz w:val="20"/>
          <w:lang w:eastAsia="en-US"/>
        </w:rPr>
        <w:t>Dans toutes les activités génératrices de revenus (agriculture, pêche, cueillette, etc.),</w:t>
      </w:r>
      <w:r w:rsidRPr="000F2DE3">
        <w:rPr>
          <w:sz w:val="20"/>
          <w:lang w:eastAsia="en-US"/>
        </w:rPr>
        <w:t xml:space="preserve"> elles </w:t>
      </w:r>
      <w:r w:rsidR="000A4530" w:rsidRPr="000F2DE3">
        <w:rPr>
          <w:sz w:val="20"/>
          <w:lang w:eastAsia="en-US"/>
        </w:rPr>
        <w:t xml:space="preserve">jouent </w:t>
      </w:r>
      <w:r w:rsidR="00650B6E" w:rsidRPr="000F2DE3">
        <w:rPr>
          <w:sz w:val="20"/>
          <w:lang w:eastAsia="en-US"/>
        </w:rPr>
        <w:t>aussi</w:t>
      </w:r>
      <w:r w:rsidRPr="000F2DE3">
        <w:rPr>
          <w:sz w:val="20"/>
          <w:lang w:eastAsia="en-US"/>
        </w:rPr>
        <w:t xml:space="preserve"> </w:t>
      </w:r>
      <w:r w:rsidR="000A4530" w:rsidRPr="000F2DE3">
        <w:rPr>
          <w:sz w:val="20"/>
          <w:lang w:eastAsia="en-US"/>
        </w:rPr>
        <w:t>dans le Mai-Ndombe un rôle essentiel</w:t>
      </w:r>
      <w:r w:rsidR="009162C6" w:rsidRPr="000F2DE3">
        <w:rPr>
          <w:sz w:val="20"/>
          <w:lang w:eastAsia="en-US"/>
        </w:rPr>
        <w:t xml:space="preserve">. Le changement de techniques culturales passera donc inévitablement par une adhésion des femmes qui, garantes de </w:t>
      </w:r>
      <w:r w:rsidR="000A4530" w:rsidRPr="000F2DE3">
        <w:rPr>
          <w:sz w:val="20"/>
          <w:lang w:eastAsia="en-US"/>
        </w:rPr>
        <w:t xml:space="preserve">la sécurité de la famille et </w:t>
      </w:r>
      <w:r w:rsidR="009162C6" w:rsidRPr="000F2DE3">
        <w:rPr>
          <w:sz w:val="20"/>
          <w:lang w:eastAsia="en-US"/>
        </w:rPr>
        <w:t>de</w:t>
      </w:r>
      <w:r w:rsidR="000A4530" w:rsidRPr="000F2DE3">
        <w:rPr>
          <w:sz w:val="20"/>
          <w:lang w:eastAsia="en-US"/>
        </w:rPr>
        <w:t xml:space="preserve"> l’éducation des enfants</w:t>
      </w:r>
      <w:r w:rsidR="009162C6" w:rsidRPr="000F2DE3">
        <w:rPr>
          <w:sz w:val="20"/>
          <w:lang w:eastAsia="en-US"/>
        </w:rPr>
        <w:t>, ne seront pas forcement prêtes à prendre trop de risques. Un tiens vaut mieux que deux tu l’auras.</w:t>
      </w:r>
      <w:r w:rsidR="000A4530" w:rsidRPr="000F2DE3">
        <w:rPr>
          <w:sz w:val="20"/>
          <w:lang w:eastAsia="en-US"/>
        </w:rPr>
        <w:t xml:space="preserve"> </w:t>
      </w:r>
      <w:r w:rsidR="009162C6" w:rsidRPr="000F2DE3">
        <w:rPr>
          <w:sz w:val="20"/>
          <w:lang w:eastAsia="en-US"/>
        </w:rPr>
        <w:t>Le projet Mai-</w:t>
      </w:r>
      <w:r w:rsidR="000A4530" w:rsidRPr="000F2DE3">
        <w:rPr>
          <w:sz w:val="20"/>
          <w:lang w:eastAsia="en-US"/>
        </w:rPr>
        <w:t>Ndombe</w:t>
      </w:r>
      <w:r w:rsidRPr="000F2DE3">
        <w:rPr>
          <w:sz w:val="20"/>
          <w:lang w:eastAsia="en-US"/>
        </w:rPr>
        <w:t>, en promouvant</w:t>
      </w:r>
      <w:r w:rsidR="000A4530" w:rsidRPr="000F2DE3">
        <w:rPr>
          <w:sz w:val="20"/>
          <w:lang w:eastAsia="en-US"/>
        </w:rPr>
        <w:t xml:space="preserve"> des évolutions s</w:t>
      </w:r>
      <w:r w:rsidR="009162C6" w:rsidRPr="000F2DE3">
        <w:rPr>
          <w:sz w:val="20"/>
          <w:lang w:eastAsia="en-US"/>
        </w:rPr>
        <w:t xml:space="preserve">ignificatives </w:t>
      </w:r>
      <w:r w:rsidRPr="000F2DE3">
        <w:rPr>
          <w:sz w:val="20"/>
          <w:lang w:eastAsia="en-US"/>
        </w:rPr>
        <w:t>des</w:t>
      </w:r>
      <w:r w:rsidR="000A4530" w:rsidRPr="000F2DE3">
        <w:rPr>
          <w:sz w:val="20"/>
          <w:lang w:eastAsia="en-US"/>
        </w:rPr>
        <w:t xml:space="preserve"> techniques agricoles</w:t>
      </w:r>
      <w:r w:rsidRPr="000F2DE3">
        <w:rPr>
          <w:sz w:val="20"/>
          <w:lang w:eastAsia="en-US"/>
        </w:rPr>
        <w:t xml:space="preserve">, ne pourra donc réussir qu’en </w:t>
      </w:r>
      <w:r w:rsidRPr="000F2DE3">
        <w:rPr>
          <w:sz w:val="20"/>
          <w:lang w:eastAsia="en-US"/>
        </w:rPr>
        <w:lastRenderedPageBreak/>
        <w:t>bénéficiant de</w:t>
      </w:r>
      <w:r w:rsidR="000A4530" w:rsidRPr="000F2DE3">
        <w:rPr>
          <w:sz w:val="20"/>
          <w:lang w:eastAsia="en-US"/>
        </w:rPr>
        <w:t xml:space="preserve"> </w:t>
      </w:r>
      <w:r w:rsidRPr="000F2DE3">
        <w:rPr>
          <w:sz w:val="20"/>
          <w:lang w:eastAsia="en-US"/>
        </w:rPr>
        <w:t>leur collaboration. L</w:t>
      </w:r>
      <w:r w:rsidR="000A4530" w:rsidRPr="000F2DE3">
        <w:rPr>
          <w:sz w:val="20"/>
          <w:lang w:eastAsia="en-US"/>
        </w:rPr>
        <w:t xml:space="preserve">eur implication pleine et entière dans la programmation et la mise en œuvre de ces changements </w:t>
      </w:r>
      <w:r w:rsidRPr="000F2DE3">
        <w:rPr>
          <w:sz w:val="20"/>
          <w:lang w:eastAsia="en-US"/>
        </w:rPr>
        <w:t xml:space="preserve">sera capital. Tout changement devra pouvoir être perçu comme une </w:t>
      </w:r>
      <w:r w:rsidR="000A4530" w:rsidRPr="000F2DE3">
        <w:rPr>
          <w:sz w:val="20"/>
          <w:lang w:eastAsia="en-US"/>
        </w:rPr>
        <w:t>amélioration de leurs conditions de vie et une meilleure reconnaissance de leur rôle dans la société. A cette fin, le projet a prévu deux types de mesures :</w:t>
      </w:r>
    </w:p>
    <w:p w:rsidR="008001BF" w:rsidRPr="000F2DE3" w:rsidRDefault="000A4530" w:rsidP="002E3A02">
      <w:pPr>
        <w:pStyle w:val="ListParagraph"/>
        <w:numPr>
          <w:ilvl w:val="0"/>
          <w:numId w:val="73"/>
        </w:numPr>
        <w:jc w:val="both"/>
        <w:rPr>
          <w:rFonts w:asciiTheme="minorHAnsi" w:eastAsiaTheme="minorEastAsia" w:hAnsiTheme="minorHAnsi"/>
          <w:sz w:val="20"/>
          <w:szCs w:val="20"/>
        </w:rPr>
      </w:pPr>
      <w:r w:rsidRPr="000F2DE3">
        <w:rPr>
          <w:rFonts w:asciiTheme="minorHAnsi" w:eastAsiaTheme="minorEastAsia" w:hAnsiTheme="minorHAnsi"/>
          <w:sz w:val="20"/>
          <w:szCs w:val="20"/>
        </w:rPr>
        <w:t>les statuts des Comités Locaux de Développement (CLD) prévoi</w:t>
      </w:r>
      <w:r w:rsidR="0078715B" w:rsidRPr="000F2DE3">
        <w:rPr>
          <w:rFonts w:asciiTheme="minorHAnsi" w:eastAsiaTheme="minorEastAsia" w:hAnsiTheme="minorHAnsi"/>
          <w:sz w:val="20"/>
          <w:szCs w:val="20"/>
        </w:rPr>
        <w:t>ront</w:t>
      </w:r>
      <w:r w:rsidRPr="000F2DE3">
        <w:rPr>
          <w:rFonts w:asciiTheme="minorHAnsi" w:eastAsiaTheme="minorEastAsia" w:hAnsiTheme="minorHAnsi"/>
          <w:sz w:val="20"/>
          <w:szCs w:val="20"/>
        </w:rPr>
        <w:t xml:space="preserve"> que dans chaque village des associations féminines s</w:t>
      </w:r>
      <w:r w:rsidR="0078715B" w:rsidRPr="000F2DE3">
        <w:rPr>
          <w:rFonts w:asciiTheme="minorHAnsi" w:eastAsiaTheme="minorEastAsia" w:hAnsiTheme="minorHAnsi"/>
          <w:sz w:val="20"/>
          <w:szCs w:val="20"/>
        </w:rPr>
        <w:t>oient</w:t>
      </w:r>
      <w:r w:rsidRPr="000F2DE3">
        <w:rPr>
          <w:rFonts w:asciiTheme="minorHAnsi" w:eastAsiaTheme="minorEastAsia" w:hAnsiTheme="minorHAnsi"/>
          <w:sz w:val="20"/>
          <w:szCs w:val="20"/>
        </w:rPr>
        <w:t xml:space="preserve"> créées, donnant ain</w:t>
      </w:r>
      <w:r w:rsidR="0078715B" w:rsidRPr="000F2DE3">
        <w:rPr>
          <w:rFonts w:asciiTheme="minorHAnsi" w:eastAsiaTheme="minorEastAsia" w:hAnsiTheme="minorHAnsi"/>
          <w:sz w:val="20"/>
          <w:szCs w:val="20"/>
        </w:rPr>
        <w:t>si aux femmes la possibilité de s’exprimer au sein de la communauté, d’ex</w:t>
      </w:r>
      <w:r w:rsidRPr="000F2DE3">
        <w:rPr>
          <w:rFonts w:asciiTheme="minorHAnsi" w:eastAsiaTheme="minorEastAsia" w:hAnsiTheme="minorHAnsi"/>
          <w:sz w:val="20"/>
          <w:szCs w:val="20"/>
        </w:rPr>
        <w:t xml:space="preserve">poser leurs problèmes et de devenir une force de proposition déterminante au sein du village. Ces statuts </w:t>
      </w:r>
      <w:r w:rsidR="0078715B" w:rsidRPr="000F2DE3">
        <w:rPr>
          <w:rFonts w:asciiTheme="minorHAnsi" w:eastAsiaTheme="minorEastAsia" w:hAnsiTheme="minorHAnsi"/>
          <w:sz w:val="20"/>
          <w:szCs w:val="20"/>
        </w:rPr>
        <w:t>stipuleront</w:t>
      </w:r>
      <w:r w:rsidRPr="000F2DE3">
        <w:rPr>
          <w:rFonts w:asciiTheme="minorHAnsi" w:eastAsiaTheme="minorEastAsia" w:hAnsiTheme="minorHAnsi"/>
          <w:sz w:val="20"/>
          <w:szCs w:val="20"/>
        </w:rPr>
        <w:t xml:space="preserve"> que les présidentes de ces associations féminines sont membres de droit des Conseils de Direction des CLD. Ainsi les femmes seront directement impliquées dans</w:t>
      </w:r>
      <w:r w:rsidR="0078715B" w:rsidRPr="000F2DE3">
        <w:rPr>
          <w:rFonts w:asciiTheme="minorHAnsi" w:eastAsiaTheme="minorEastAsia" w:hAnsiTheme="minorHAnsi"/>
          <w:sz w:val="20"/>
          <w:szCs w:val="20"/>
        </w:rPr>
        <w:t xml:space="preserve"> le</w:t>
      </w:r>
      <w:r w:rsidRPr="000F2DE3">
        <w:rPr>
          <w:rFonts w:asciiTheme="minorHAnsi" w:eastAsiaTheme="minorEastAsia" w:hAnsiTheme="minorHAnsi"/>
          <w:sz w:val="20"/>
          <w:szCs w:val="20"/>
        </w:rPr>
        <w:t xml:space="preserve"> processus de planification de la gestion des ressources naturelles</w:t>
      </w:r>
      <w:r w:rsidR="0078715B" w:rsidRPr="000F2DE3">
        <w:rPr>
          <w:rFonts w:asciiTheme="minorHAnsi" w:eastAsiaTheme="minorEastAsia" w:hAnsiTheme="minorHAnsi"/>
          <w:sz w:val="20"/>
          <w:szCs w:val="20"/>
        </w:rPr>
        <w:t>, mais aussi dans la mise en œuvre des PSG en étant parties prenantes des contrats PSE à intervenir. Elles auront bien évidemment à</w:t>
      </w:r>
      <w:r w:rsidRPr="000F2DE3">
        <w:rPr>
          <w:rFonts w:asciiTheme="minorHAnsi" w:eastAsiaTheme="minorEastAsia" w:hAnsiTheme="minorHAnsi"/>
          <w:sz w:val="20"/>
          <w:szCs w:val="20"/>
        </w:rPr>
        <w:t xml:space="preserve"> défendre leurs intérêts dans l</w:t>
      </w:r>
      <w:r w:rsidR="0078715B" w:rsidRPr="000F2DE3">
        <w:rPr>
          <w:rFonts w:asciiTheme="minorHAnsi" w:eastAsiaTheme="minorEastAsia" w:hAnsiTheme="minorHAnsi"/>
          <w:sz w:val="20"/>
          <w:szCs w:val="20"/>
        </w:rPr>
        <w:t xml:space="preserve">a négociation de ces </w:t>
      </w:r>
      <w:r w:rsidRPr="000F2DE3">
        <w:rPr>
          <w:rFonts w:asciiTheme="minorHAnsi" w:eastAsiaTheme="minorEastAsia" w:hAnsiTheme="minorHAnsi"/>
          <w:sz w:val="20"/>
          <w:szCs w:val="20"/>
        </w:rPr>
        <w:t>contrats</w:t>
      </w:r>
      <w:r w:rsidR="0078715B" w:rsidRPr="000F2DE3">
        <w:rPr>
          <w:rFonts w:asciiTheme="minorHAnsi" w:eastAsiaTheme="minorEastAsia" w:hAnsiTheme="minorHAnsi"/>
          <w:sz w:val="20"/>
          <w:szCs w:val="20"/>
        </w:rPr>
        <w:t xml:space="preserve">, et l’ALE les y aidera. </w:t>
      </w:r>
      <w:r w:rsidRPr="000F2DE3">
        <w:rPr>
          <w:rFonts w:asciiTheme="minorHAnsi" w:eastAsiaTheme="minorEastAsia" w:hAnsiTheme="minorHAnsi"/>
          <w:sz w:val="20"/>
          <w:szCs w:val="20"/>
        </w:rPr>
        <w:t xml:space="preserve"> C</w:t>
      </w:r>
      <w:r w:rsidR="0078715B" w:rsidRPr="000F2DE3">
        <w:rPr>
          <w:rFonts w:asciiTheme="minorHAnsi" w:eastAsiaTheme="minorEastAsia" w:hAnsiTheme="minorHAnsi"/>
          <w:sz w:val="20"/>
          <w:szCs w:val="20"/>
        </w:rPr>
        <w:t>ette implication sera</w:t>
      </w:r>
      <w:r w:rsidRPr="000F2DE3">
        <w:rPr>
          <w:rFonts w:asciiTheme="minorHAnsi" w:eastAsiaTheme="minorEastAsia" w:hAnsiTheme="minorHAnsi"/>
          <w:sz w:val="20"/>
          <w:szCs w:val="20"/>
        </w:rPr>
        <w:t xml:space="preserve"> particulièrement </w:t>
      </w:r>
      <w:r w:rsidR="008001BF" w:rsidRPr="000F2DE3">
        <w:rPr>
          <w:rFonts w:asciiTheme="minorHAnsi" w:eastAsiaTheme="minorEastAsia" w:hAnsiTheme="minorHAnsi"/>
          <w:sz w:val="20"/>
          <w:szCs w:val="20"/>
        </w:rPr>
        <w:t>déterminante</w:t>
      </w:r>
      <w:r w:rsidR="0078715B" w:rsidRPr="000F2DE3">
        <w:rPr>
          <w:rFonts w:asciiTheme="minorHAnsi" w:eastAsiaTheme="minorEastAsia" w:hAnsiTheme="minorHAnsi"/>
          <w:sz w:val="20"/>
          <w:szCs w:val="20"/>
        </w:rPr>
        <w:t xml:space="preserve"> dans</w:t>
      </w:r>
      <w:r w:rsidRPr="000F2DE3">
        <w:rPr>
          <w:rFonts w:asciiTheme="minorHAnsi" w:eastAsiaTheme="minorEastAsia" w:hAnsiTheme="minorHAnsi"/>
          <w:sz w:val="20"/>
          <w:szCs w:val="20"/>
        </w:rPr>
        <w:t xml:space="preserve"> </w:t>
      </w:r>
      <w:r w:rsidR="0078715B" w:rsidRPr="000F2DE3">
        <w:rPr>
          <w:rFonts w:asciiTheme="minorHAnsi" w:eastAsiaTheme="minorEastAsia" w:hAnsiTheme="minorHAnsi"/>
          <w:sz w:val="20"/>
          <w:szCs w:val="20"/>
        </w:rPr>
        <w:t>le</w:t>
      </w:r>
      <w:r w:rsidRPr="000F2DE3">
        <w:rPr>
          <w:rFonts w:asciiTheme="minorHAnsi" w:eastAsiaTheme="minorEastAsia" w:hAnsiTheme="minorHAnsi"/>
          <w:sz w:val="20"/>
          <w:szCs w:val="20"/>
        </w:rPr>
        <w:t xml:space="preserve"> processus de réaffectation de l’usage des terres </w:t>
      </w:r>
      <w:r w:rsidR="0078715B" w:rsidRPr="000F2DE3">
        <w:rPr>
          <w:rFonts w:asciiTheme="minorHAnsi" w:eastAsiaTheme="minorEastAsia" w:hAnsiTheme="minorHAnsi"/>
          <w:sz w:val="20"/>
          <w:szCs w:val="20"/>
        </w:rPr>
        <w:t>dans la phase d’élaboration des PSG</w:t>
      </w:r>
      <w:r w:rsidRPr="000F2DE3">
        <w:rPr>
          <w:rFonts w:asciiTheme="minorHAnsi" w:eastAsiaTheme="minorEastAsia" w:hAnsiTheme="minorHAnsi"/>
          <w:sz w:val="20"/>
          <w:szCs w:val="20"/>
        </w:rPr>
        <w:t xml:space="preserve"> (plantations agroforestières, cultures pérennes, mises en défens)</w:t>
      </w:r>
      <w:r w:rsidR="008001BF" w:rsidRPr="000F2DE3">
        <w:rPr>
          <w:rFonts w:asciiTheme="minorHAnsi" w:eastAsiaTheme="minorEastAsia" w:hAnsiTheme="minorHAnsi"/>
          <w:sz w:val="20"/>
          <w:szCs w:val="20"/>
        </w:rPr>
        <w:t xml:space="preserve"> pour préserver </w:t>
      </w:r>
      <w:r w:rsidRPr="000F2DE3">
        <w:rPr>
          <w:rFonts w:asciiTheme="minorHAnsi" w:eastAsiaTheme="minorEastAsia" w:hAnsiTheme="minorHAnsi"/>
          <w:sz w:val="20"/>
          <w:szCs w:val="20"/>
        </w:rPr>
        <w:t>leurs intérêts et leurs espaces vitaux. Deux espaces sont</w:t>
      </w:r>
      <w:r w:rsidR="008001BF" w:rsidRPr="000F2DE3">
        <w:rPr>
          <w:rFonts w:asciiTheme="minorHAnsi" w:eastAsiaTheme="minorEastAsia" w:hAnsiTheme="minorHAnsi"/>
          <w:sz w:val="20"/>
          <w:szCs w:val="20"/>
        </w:rPr>
        <w:t xml:space="preserve"> plus particulièrement concernés :</w:t>
      </w:r>
    </w:p>
    <w:p w:rsidR="008001BF" w:rsidRPr="000F2DE3" w:rsidRDefault="000A4530" w:rsidP="002E3A02">
      <w:pPr>
        <w:pStyle w:val="ListParagraph"/>
        <w:numPr>
          <w:ilvl w:val="1"/>
          <w:numId w:val="73"/>
        </w:numPr>
        <w:jc w:val="both"/>
        <w:rPr>
          <w:rFonts w:asciiTheme="minorHAnsi" w:eastAsiaTheme="minorEastAsia" w:hAnsiTheme="minorHAnsi"/>
          <w:sz w:val="20"/>
          <w:szCs w:val="20"/>
        </w:rPr>
      </w:pPr>
      <w:r w:rsidRPr="000F2DE3">
        <w:rPr>
          <w:rFonts w:asciiTheme="minorHAnsi" w:eastAsiaTheme="minorEastAsia" w:hAnsiTheme="minorHAnsi"/>
          <w:sz w:val="20"/>
          <w:szCs w:val="20"/>
        </w:rPr>
        <w:t>les terres proches des villages où elles conduisen</w:t>
      </w:r>
      <w:r w:rsidR="008001BF" w:rsidRPr="000F2DE3">
        <w:rPr>
          <w:rFonts w:asciiTheme="minorHAnsi" w:eastAsiaTheme="minorEastAsia" w:hAnsiTheme="minorHAnsi"/>
          <w:sz w:val="20"/>
          <w:szCs w:val="20"/>
        </w:rPr>
        <w:t>t leurs cultures vivrières, et</w:t>
      </w:r>
    </w:p>
    <w:p w:rsidR="008001BF" w:rsidRPr="000F2DE3" w:rsidRDefault="000A4530" w:rsidP="002E3A02">
      <w:pPr>
        <w:pStyle w:val="ListParagraph"/>
        <w:numPr>
          <w:ilvl w:val="1"/>
          <w:numId w:val="73"/>
        </w:numPr>
        <w:jc w:val="both"/>
        <w:rPr>
          <w:rFonts w:asciiTheme="minorHAnsi" w:eastAsiaTheme="minorEastAsia" w:hAnsiTheme="minorHAnsi"/>
          <w:sz w:val="20"/>
          <w:szCs w:val="20"/>
        </w:rPr>
      </w:pPr>
      <w:r w:rsidRPr="000F2DE3">
        <w:rPr>
          <w:rFonts w:asciiTheme="minorHAnsi" w:eastAsiaTheme="minorEastAsia" w:hAnsiTheme="minorHAnsi"/>
          <w:sz w:val="20"/>
          <w:szCs w:val="20"/>
        </w:rPr>
        <w:t xml:space="preserve">les terres où elles procèdent à des activités </w:t>
      </w:r>
      <w:r w:rsidR="008001BF" w:rsidRPr="000F2DE3">
        <w:rPr>
          <w:rFonts w:asciiTheme="minorHAnsi" w:eastAsiaTheme="minorEastAsia" w:hAnsiTheme="minorHAnsi"/>
          <w:sz w:val="20"/>
          <w:szCs w:val="20"/>
        </w:rPr>
        <w:t>de collecte, tout aussi vitales.</w:t>
      </w:r>
    </w:p>
    <w:p w:rsidR="008001BF" w:rsidRPr="000F2DE3" w:rsidRDefault="008001BF" w:rsidP="00006382">
      <w:pPr>
        <w:spacing w:after="0" w:line="240" w:lineRule="auto"/>
        <w:ind w:left="708"/>
        <w:jc w:val="both"/>
        <w:rPr>
          <w:sz w:val="20"/>
          <w:szCs w:val="20"/>
        </w:rPr>
      </w:pPr>
      <w:r w:rsidRPr="000F2DE3">
        <w:rPr>
          <w:sz w:val="20"/>
          <w:szCs w:val="20"/>
        </w:rPr>
        <w:t xml:space="preserve">Dans les deux cas, si ces espaces devaient être réduits du fait des décisions d’aménagement du terroir villageois, </w:t>
      </w:r>
      <w:r w:rsidR="000A4530" w:rsidRPr="000F2DE3">
        <w:rPr>
          <w:sz w:val="20"/>
          <w:szCs w:val="20"/>
        </w:rPr>
        <w:t>des alternatives d</w:t>
      </w:r>
      <w:r w:rsidR="008E4311" w:rsidRPr="000F2DE3">
        <w:rPr>
          <w:sz w:val="20"/>
          <w:szCs w:val="20"/>
        </w:rPr>
        <w:t>evront</w:t>
      </w:r>
      <w:r w:rsidR="000A4530" w:rsidRPr="000F2DE3">
        <w:rPr>
          <w:sz w:val="20"/>
          <w:szCs w:val="20"/>
        </w:rPr>
        <w:t xml:space="preserve"> être obligatoirement trouvées et négociées </w:t>
      </w:r>
      <w:r w:rsidRPr="000F2DE3">
        <w:rPr>
          <w:sz w:val="20"/>
          <w:szCs w:val="20"/>
        </w:rPr>
        <w:t>pour compenser ces pertes d’accès.</w:t>
      </w:r>
    </w:p>
    <w:p w:rsidR="000A4530" w:rsidRPr="000F2DE3" w:rsidRDefault="000A4530" w:rsidP="002E3A02">
      <w:pPr>
        <w:pStyle w:val="ListParagraph"/>
        <w:numPr>
          <w:ilvl w:val="0"/>
          <w:numId w:val="73"/>
        </w:numPr>
        <w:jc w:val="both"/>
        <w:rPr>
          <w:rFonts w:asciiTheme="minorHAnsi" w:eastAsiaTheme="minorEastAsia" w:hAnsiTheme="minorHAnsi"/>
          <w:sz w:val="20"/>
          <w:szCs w:val="20"/>
        </w:rPr>
      </w:pPr>
      <w:r w:rsidRPr="000F2DE3">
        <w:rPr>
          <w:rFonts w:asciiTheme="minorHAnsi" w:eastAsiaTheme="minorEastAsia" w:hAnsiTheme="minorHAnsi"/>
          <w:sz w:val="20"/>
          <w:szCs w:val="20"/>
        </w:rPr>
        <w:t xml:space="preserve">le projet prévoit également qu’une partie (10% incompressibles)  des contrats de Paiements pour Services Environnementaux liés à la mise en œuvre des </w:t>
      </w:r>
      <w:r w:rsidR="008001BF" w:rsidRPr="000F2DE3">
        <w:rPr>
          <w:rFonts w:asciiTheme="minorHAnsi" w:eastAsiaTheme="minorEastAsia" w:hAnsiTheme="minorHAnsi"/>
          <w:sz w:val="20"/>
          <w:szCs w:val="20"/>
        </w:rPr>
        <w:t>PSG</w:t>
      </w:r>
      <w:r w:rsidRPr="000F2DE3">
        <w:rPr>
          <w:rFonts w:asciiTheme="minorHAnsi" w:eastAsiaTheme="minorEastAsia" w:hAnsiTheme="minorHAnsi"/>
          <w:sz w:val="20"/>
          <w:szCs w:val="20"/>
        </w:rPr>
        <w:t xml:space="preserve"> s</w:t>
      </w:r>
      <w:r w:rsidR="008001BF" w:rsidRPr="000F2DE3">
        <w:rPr>
          <w:rFonts w:asciiTheme="minorHAnsi" w:eastAsiaTheme="minorEastAsia" w:hAnsiTheme="minorHAnsi"/>
          <w:sz w:val="20"/>
          <w:szCs w:val="20"/>
        </w:rPr>
        <w:t>oit</w:t>
      </w:r>
      <w:r w:rsidRPr="000F2DE3">
        <w:rPr>
          <w:rFonts w:asciiTheme="minorHAnsi" w:eastAsiaTheme="minorEastAsia" w:hAnsiTheme="minorHAnsi"/>
          <w:sz w:val="20"/>
          <w:szCs w:val="20"/>
        </w:rPr>
        <w:t xml:space="preserve"> consacrée aux femmes et à leurs priorités. Elles s</w:t>
      </w:r>
      <w:r w:rsidR="008001BF" w:rsidRPr="000F2DE3">
        <w:rPr>
          <w:rFonts w:asciiTheme="minorHAnsi" w:eastAsiaTheme="minorEastAsia" w:hAnsiTheme="minorHAnsi"/>
          <w:sz w:val="20"/>
          <w:szCs w:val="20"/>
        </w:rPr>
        <w:t xml:space="preserve">eront concernées </w:t>
      </w:r>
      <w:r w:rsidRPr="000F2DE3">
        <w:rPr>
          <w:rFonts w:asciiTheme="minorHAnsi" w:eastAsiaTheme="minorEastAsia" w:hAnsiTheme="minorHAnsi"/>
          <w:sz w:val="20"/>
          <w:szCs w:val="20"/>
        </w:rPr>
        <w:t>par la totalité des paiements, en tan</w:t>
      </w:r>
      <w:r w:rsidR="008001BF" w:rsidRPr="000F2DE3">
        <w:rPr>
          <w:rFonts w:asciiTheme="minorHAnsi" w:eastAsiaTheme="minorEastAsia" w:hAnsiTheme="minorHAnsi"/>
          <w:sz w:val="20"/>
          <w:szCs w:val="20"/>
        </w:rPr>
        <w:t>t que membres de la communauté</w:t>
      </w:r>
      <w:r w:rsidR="008E4311" w:rsidRPr="000F2DE3">
        <w:rPr>
          <w:rStyle w:val="FootnoteReference"/>
          <w:rFonts w:asciiTheme="minorHAnsi" w:eastAsiaTheme="minorEastAsia" w:hAnsiTheme="minorHAnsi"/>
          <w:sz w:val="20"/>
          <w:szCs w:val="20"/>
        </w:rPr>
        <w:footnoteReference w:id="23"/>
      </w:r>
      <w:r w:rsidR="008001BF" w:rsidRPr="000F2DE3">
        <w:rPr>
          <w:rFonts w:asciiTheme="minorHAnsi" w:eastAsiaTheme="minorEastAsia" w:hAnsiTheme="minorHAnsi"/>
          <w:sz w:val="20"/>
          <w:szCs w:val="20"/>
        </w:rPr>
        <w:t xml:space="preserve"> qu’il s’agisse</w:t>
      </w:r>
      <w:r w:rsidRPr="000F2DE3">
        <w:rPr>
          <w:rFonts w:asciiTheme="minorHAnsi" w:eastAsiaTheme="minorEastAsia" w:hAnsiTheme="minorHAnsi"/>
          <w:sz w:val="20"/>
          <w:szCs w:val="20"/>
        </w:rPr>
        <w:t xml:space="preserve"> d’investissements collectifs</w:t>
      </w:r>
      <w:r w:rsidR="008001BF" w:rsidRPr="000F2DE3">
        <w:rPr>
          <w:rFonts w:asciiTheme="minorHAnsi" w:eastAsiaTheme="minorEastAsia" w:hAnsiTheme="minorHAnsi"/>
          <w:sz w:val="20"/>
          <w:szCs w:val="20"/>
        </w:rPr>
        <w:t xml:space="preserve"> ou de</w:t>
      </w:r>
      <w:r w:rsidRPr="000F2DE3">
        <w:rPr>
          <w:rFonts w:asciiTheme="minorHAnsi" w:eastAsiaTheme="minorEastAsia" w:hAnsiTheme="minorHAnsi"/>
          <w:sz w:val="20"/>
          <w:szCs w:val="20"/>
        </w:rPr>
        <w:t xml:space="preserve"> changements </w:t>
      </w:r>
      <w:r w:rsidR="008001BF" w:rsidRPr="000F2DE3">
        <w:rPr>
          <w:rFonts w:asciiTheme="minorHAnsi" w:eastAsiaTheme="minorEastAsia" w:hAnsiTheme="minorHAnsi"/>
          <w:sz w:val="20"/>
          <w:szCs w:val="20"/>
        </w:rPr>
        <w:t xml:space="preserve"> de </w:t>
      </w:r>
      <w:r w:rsidRPr="000F2DE3">
        <w:rPr>
          <w:rFonts w:asciiTheme="minorHAnsi" w:eastAsiaTheme="minorEastAsia" w:hAnsiTheme="minorHAnsi"/>
          <w:sz w:val="20"/>
          <w:szCs w:val="20"/>
        </w:rPr>
        <w:t>techniques</w:t>
      </w:r>
      <w:r w:rsidR="008001BF" w:rsidRPr="000F2DE3">
        <w:rPr>
          <w:rFonts w:asciiTheme="minorHAnsi" w:eastAsiaTheme="minorEastAsia" w:hAnsiTheme="minorHAnsi"/>
          <w:sz w:val="20"/>
          <w:szCs w:val="20"/>
        </w:rPr>
        <w:t xml:space="preserve"> culturales</w:t>
      </w:r>
      <w:r w:rsidRPr="000F2DE3">
        <w:rPr>
          <w:rFonts w:asciiTheme="minorHAnsi" w:eastAsiaTheme="minorEastAsia" w:hAnsiTheme="minorHAnsi"/>
          <w:sz w:val="20"/>
          <w:szCs w:val="20"/>
        </w:rPr>
        <w:t xml:space="preserve"> </w:t>
      </w:r>
      <w:r w:rsidR="008001BF" w:rsidRPr="000F2DE3">
        <w:rPr>
          <w:rFonts w:asciiTheme="minorHAnsi" w:eastAsiaTheme="minorEastAsia" w:hAnsiTheme="minorHAnsi"/>
          <w:sz w:val="20"/>
          <w:szCs w:val="20"/>
        </w:rPr>
        <w:t>dans les</w:t>
      </w:r>
      <w:r w:rsidRPr="000F2DE3">
        <w:rPr>
          <w:rFonts w:asciiTheme="minorHAnsi" w:eastAsiaTheme="minorEastAsia" w:hAnsiTheme="minorHAnsi"/>
          <w:sz w:val="20"/>
          <w:szCs w:val="20"/>
        </w:rPr>
        <w:t xml:space="preserve"> processus de production familiaux, </w:t>
      </w:r>
      <w:r w:rsidR="008001BF" w:rsidRPr="000F2DE3">
        <w:rPr>
          <w:rFonts w:asciiTheme="minorHAnsi" w:eastAsiaTheme="minorEastAsia" w:hAnsiTheme="minorHAnsi"/>
          <w:sz w:val="20"/>
          <w:szCs w:val="20"/>
        </w:rPr>
        <w:t xml:space="preserve">mais </w:t>
      </w:r>
      <w:r w:rsidRPr="000F2DE3">
        <w:rPr>
          <w:rFonts w:asciiTheme="minorHAnsi" w:eastAsiaTheme="minorEastAsia" w:hAnsiTheme="minorHAnsi"/>
          <w:sz w:val="20"/>
          <w:szCs w:val="20"/>
        </w:rPr>
        <w:t>elles pourront faire valoir</w:t>
      </w:r>
      <w:r w:rsidR="008001BF" w:rsidRPr="000F2DE3">
        <w:rPr>
          <w:rFonts w:asciiTheme="minorHAnsi" w:eastAsiaTheme="minorEastAsia" w:hAnsiTheme="minorHAnsi"/>
          <w:sz w:val="20"/>
          <w:szCs w:val="20"/>
        </w:rPr>
        <w:t xml:space="preserve"> en sus</w:t>
      </w:r>
      <w:r w:rsidRPr="000F2DE3">
        <w:rPr>
          <w:rFonts w:asciiTheme="minorHAnsi" w:eastAsiaTheme="minorEastAsia" w:hAnsiTheme="minorHAnsi"/>
          <w:sz w:val="20"/>
          <w:szCs w:val="20"/>
        </w:rPr>
        <w:t xml:space="preserve"> leurs propres intérêts en demandant</w:t>
      </w:r>
      <w:r w:rsidR="008E4311" w:rsidRPr="000F2DE3">
        <w:rPr>
          <w:rFonts w:asciiTheme="minorHAnsi" w:eastAsiaTheme="minorEastAsia" w:hAnsiTheme="minorHAnsi"/>
          <w:sz w:val="20"/>
          <w:szCs w:val="20"/>
        </w:rPr>
        <w:t xml:space="preserve"> des financements spécifiques (activités de transformation, </w:t>
      </w:r>
      <w:r w:rsidRPr="000F2DE3">
        <w:rPr>
          <w:rFonts w:asciiTheme="minorHAnsi" w:eastAsiaTheme="minorEastAsia" w:hAnsiTheme="minorHAnsi"/>
          <w:sz w:val="20"/>
          <w:szCs w:val="20"/>
        </w:rPr>
        <w:t>rénovation des établissements de santé,</w:t>
      </w:r>
      <w:r w:rsidR="008E4311" w:rsidRPr="000F2DE3">
        <w:rPr>
          <w:rFonts w:asciiTheme="minorHAnsi" w:eastAsiaTheme="minorEastAsia" w:hAnsiTheme="minorHAnsi"/>
          <w:sz w:val="20"/>
          <w:szCs w:val="20"/>
        </w:rPr>
        <w:t xml:space="preserve"> </w:t>
      </w:r>
      <w:r w:rsidRPr="000F2DE3">
        <w:rPr>
          <w:rFonts w:asciiTheme="minorHAnsi" w:eastAsiaTheme="minorEastAsia" w:hAnsiTheme="minorHAnsi"/>
          <w:sz w:val="20"/>
          <w:szCs w:val="20"/>
        </w:rPr>
        <w:t>maternités</w:t>
      </w:r>
      <w:r w:rsidR="008E4311" w:rsidRPr="000F2DE3">
        <w:rPr>
          <w:rFonts w:asciiTheme="minorHAnsi" w:eastAsiaTheme="minorEastAsia" w:hAnsiTheme="minorHAnsi"/>
          <w:sz w:val="20"/>
          <w:szCs w:val="20"/>
        </w:rPr>
        <w:t>,</w:t>
      </w:r>
      <w:r w:rsidRPr="000F2DE3">
        <w:rPr>
          <w:rFonts w:asciiTheme="minorHAnsi" w:eastAsiaTheme="minorEastAsia" w:hAnsiTheme="minorHAnsi"/>
          <w:sz w:val="20"/>
          <w:szCs w:val="20"/>
        </w:rPr>
        <w:t xml:space="preserve"> etc</w:t>
      </w:r>
      <w:r w:rsidR="008E4311" w:rsidRPr="000F2DE3">
        <w:rPr>
          <w:rFonts w:asciiTheme="minorHAnsi" w:eastAsiaTheme="minorEastAsia" w:hAnsiTheme="minorHAnsi"/>
          <w:sz w:val="20"/>
          <w:szCs w:val="20"/>
        </w:rPr>
        <w:t>.</w:t>
      </w:r>
      <w:r w:rsidRPr="000F2DE3">
        <w:rPr>
          <w:rFonts w:asciiTheme="minorHAnsi" w:eastAsiaTheme="minorEastAsia" w:hAnsiTheme="minorHAnsi"/>
          <w:sz w:val="20"/>
          <w:szCs w:val="20"/>
        </w:rPr>
        <w:t xml:space="preserve"> Les animateurs du projet ou ses sous-traitants veilleront à accompagner les femmes dans la formulation de tels projets. </w:t>
      </w:r>
    </w:p>
    <w:p w:rsidR="008E4311" w:rsidRPr="000F2DE3" w:rsidRDefault="008E4311" w:rsidP="00006382">
      <w:pPr>
        <w:spacing w:after="0"/>
        <w:jc w:val="both"/>
        <w:rPr>
          <w:sz w:val="20"/>
          <w:lang w:eastAsia="en-US"/>
        </w:rPr>
      </w:pPr>
    </w:p>
    <w:p w:rsidR="000A4530" w:rsidRPr="000F2DE3" w:rsidRDefault="008E4311" w:rsidP="002E3A02">
      <w:pPr>
        <w:pStyle w:val="ListParagraph"/>
        <w:numPr>
          <w:ilvl w:val="0"/>
          <w:numId w:val="72"/>
        </w:numPr>
        <w:tabs>
          <w:tab w:val="left" w:pos="450"/>
        </w:tabs>
        <w:jc w:val="both"/>
        <w:rPr>
          <w:rFonts w:asciiTheme="minorHAnsi" w:eastAsiaTheme="minorEastAsia" w:hAnsiTheme="minorHAnsi"/>
          <w:b/>
          <w:color w:val="2E74B5" w:themeColor="accent1" w:themeShade="BF"/>
          <w:sz w:val="20"/>
          <w:szCs w:val="20"/>
        </w:rPr>
      </w:pPr>
      <w:r w:rsidRPr="000F2DE3">
        <w:rPr>
          <w:rFonts w:asciiTheme="minorHAnsi" w:eastAsiaTheme="minorEastAsia" w:hAnsiTheme="minorHAnsi"/>
          <w:b/>
          <w:color w:val="2E74B5" w:themeColor="accent1" w:themeShade="BF"/>
          <w:sz w:val="20"/>
          <w:szCs w:val="20"/>
        </w:rPr>
        <w:t>Jeunes </w:t>
      </w:r>
    </w:p>
    <w:p w:rsidR="008E4311" w:rsidRPr="000F2DE3" w:rsidRDefault="008E4311" w:rsidP="00006382">
      <w:pPr>
        <w:pStyle w:val="ListParagraph"/>
        <w:tabs>
          <w:tab w:val="left" w:pos="450"/>
        </w:tabs>
        <w:jc w:val="both"/>
        <w:rPr>
          <w:rFonts w:asciiTheme="minorHAnsi" w:eastAsiaTheme="minorEastAsia" w:hAnsiTheme="minorHAnsi"/>
          <w:b/>
          <w:color w:val="2E74B5" w:themeColor="accent1" w:themeShade="BF"/>
          <w:sz w:val="20"/>
          <w:szCs w:val="20"/>
        </w:rPr>
      </w:pPr>
    </w:p>
    <w:p w:rsidR="000A4530" w:rsidRPr="000F2DE3" w:rsidRDefault="000A4530" w:rsidP="00006382">
      <w:pPr>
        <w:spacing w:after="0"/>
        <w:jc w:val="both"/>
        <w:rPr>
          <w:sz w:val="20"/>
          <w:lang w:eastAsia="en-US"/>
        </w:rPr>
      </w:pPr>
      <w:r w:rsidRPr="000F2DE3">
        <w:rPr>
          <w:sz w:val="20"/>
          <w:lang w:eastAsia="en-US"/>
        </w:rPr>
        <w:t>Les je</w:t>
      </w:r>
      <w:r w:rsidR="00650B6E" w:rsidRPr="000F2DE3">
        <w:rPr>
          <w:sz w:val="20"/>
          <w:lang w:eastAsia="en-US"/>
        </w:rPr>
        <w:t>unes, dans la société du Mai-</w:t>
      </w:r>
      <w:r w:rsidRPr="000F2DE3">
        <w:rPr>
          <w:sz w:val="20"/>
          <w:lang w:eastAsia="en-US"/>
        </w:rPr>
        <w:t>Ndombe</w:t>
      </w:r>
      <w:r w:rsidR="00650B6E" w:rsidRPr="000F2DE3">
        <w:rPr>
          <w:sz w:val="20"/>
          <w:lang w:eastAsia="en-US"/>
        </w:rPr>
        <w:t>,</w:t>
      </w:r>
      <w:r w:rsidRPr="000F2DE3">
        <w:rPr>
          <w:sz w:val="20"/>
          <w:lang w:eastAsia="en-US"/>
        </w:rPr>
        <w:t xml:space="preserve"> </w:t>
      </w:r>
      <w:r w:rsidR="00650B6E" w:rsidRPr="000F2DE3">
        <w:rPr>
          <w:sz w:val="20"/>
          <w:lang w:eastAsia="en-US"/>
        </w:rPr>
        <w:t>ont un impact spécifique sur le couvert forestier</w:t>
      </w:r>
      <w:r w:rsidRPr="000F2DE3">
        <w:rPr>
          <w:sz w:val="20"/>
          <w:lang w:eastAsia="en-US"/>
        </w:rPr>
        <w:t xml:space="preserve"> : ils sont les premiers à défricher la forêt afin d’y conquérir l’espace </w:t>
      </w:r>
      <w:r w:rsidR="00650B6E" w:rsidRPr="000F2DE3">
        <w:rPr>
          <w:sz w:val="20"/>
          <w:lang w:eastAsia="en-US"/>
        </w:rPr>
        <w:t>nécessaire</w:t>
      </w:r>
      <w:r w:rsidRPr="000F2DE3">
        <w:rPr>
          <w:sz w:val="20"/>
          <w:lang w:eastAsia="en-US"/>
        </w:rPr>
        <w:t xml:space="preserve"> à leur</w:t>
      </w:r>
      <w:r w:rsidR="00650B6E" w:rsidRPr="000F2DE3">
        <w:rPr>
          <w:sz w:val="20"/>
          <w:lang w:eastAsia="en-US"/>
        </w:rPr>
        <w:t>s</w:t>
      </w:r>
      <w:r w:rsidRPr="000F2DE3">
        <w:rPr>
          <w:sz w:val="20"/>
          <w:lang w:eastAsia="en-US"/>
        </w:rPr>
        <w:t xml:space="preserve"> culture</w:t>
      </w:r>
      <w:r w:rsidR="00650B6E" w:rsidRPr="000F2DE3">
        <w:rPr>
          <w:sz w:val="20"/>
          <w:lang w:eastAsia="en-US"/>
        </w:rPr>
        <w:t>s</w:t>
      </w:r>
      <w:r w:rsidRPr="000F2DE3">
        <w:rPr>
          <w:sz w:val="20"/>
          <w:lang w:eastAsia="en-US"/>
        </w:rPr>
        <w:t>. La dimension de leurs champs est d’autant plus grande qu’ils ont à ac</w:t>
      </w:r>
      <w:r w:rsidR="00650B6E" w:rsidRPr="000F2DE3">
        <w:rPr>
          <w:sz w:val="20"/>
          <w:lang w:eastAsia="en-US"/>
        </w:rPr>
        <w:t>quérir les outils de production et</w:t>
      </w:r>
      <w:r w:rsidRPr="000F2DE3">
        <w:rPr>
          <w:sz w:val="20"/>
          <w:lang w:eastAsia="en-US"/>
        </w:rPr>
        <w:t xml:space="preserve"> de transport (vélos, motos)</w:t>
      </w:r>
      <w:r w:rsidR="00650B6E" w:rsidRPr="000F2DE3">
        <w:rPr>
          <w:sz w:val="20"/>
          <w:lang w:eastAsia="en-US"/>
        </w:rPr>
        <w:t>,</w:t>
      </w:r>
      <w:r w:rsidRPr="000F2DE3">
        <w:rPr>
          <w:sz w:val="20"/>
          <w:lang w:eastAsia="en-US"/>
        </w:rPr>
        <w:t xml:space="preserve"> et </w:t>
      </w:r>
      <w:r w:rsidR="00650B6E" w:rsidRPr="000F2DE3">
        <w:rPr>
          <w:sz w:val="20"/>
          <w:lang w:eastAsia="en-US"/>
        </w:rPr>
        <w:t>qu’ils doivent</w:t>
      </w:r>
      <w:r w:rsidRPr="000F2DE3">
        <w:rPr>
          <w:sz w:val="20"/>
          <w:lang w:eastAsia="en-US"/>
        </w:rPr>
        <w:t xml:space="preserve"> payer la dot de leurs </w:t>
      </w:r>
      <w:r w:rsidR="00650B6E" w:rsidRPr="000F2DE3">
        <w:rPr>
          <w:sz w:val="20"/>
          <w:lang w:eastAsia="en-US"/>
        </w:rPr>
        <w:t>épouses</w:t>
      </w:r>
      <w:r w:rsidRPr="000F2DE3">
        <w:rPr>
          <w:sz w:val="20"/>
          <w:lang w:eastAsia="en-US"/>
        </w:rPr>
        <w:t xml:space="preserve">. Ils le font généralement </w:t>
      </w:r>
      <w:r w:rsidR="00650B6E" w:rsidRPr="000F2DE3">
        <w:rPr>
          <w:sz w:val="20"/>
          <w:lang w:eastAsia="en-US"/>
        </w:rPr>
        <w:t>en produisant de grandes quantités de</w:t>
      </w:r>
      <w:r w:rsidRPr="000F2DE3">
        <w:rPr>
          <w:sz w:val="20"/>
          <w:lang w:eastAsia="en-US"/>
        </w:rPr>
        <w:t xml:space="preserve"> charbon de bois et en s’impliquant dans les fronts pionniers à maïs. Les impliquer dans des activités d’agroforesterie, de production agricole et forestière durable relève donc de la plus grande priorité. Les mêmes dispositions que pour les femmes</w:t>
      </w:r>
      <w:r w:rsidR="009A0644" w:rsidRPr="000F2DE3">
        <w:rPr>
          <w:sz w:val="20"/>
          <w:lang w:eastAsia="en-US"/>
        </w:rPr>
        <w:t xml:space="preserve"> seront prises pour les jeunes. Ils feront partie de</w:t>
      </w:r>
      <w:r w:rsidRPr="000F2DE3">
        <w:rPr>
          <w:sz w:val="20"/>
          <w:lang w:eastAsia="en-US"/>
        </w:rPr>
        <w:t>s</w:t>
      </w:r>
      <w:r w:rsidR="00650B6E" w:rsidRPr="000F2DE3">
        <w:rPr>
          <w:sz w:val="20"/>
          <w:lang w:eastAsia="en-US"/>
        </w:rPr>
        <w:t xml:space="preserve"> organes de direction des CLD</w:t>
      </w:r>
      <w:r w:rsidR="009A0644" w:rsidRPr="000F2DE3">
        <w:rPr>
          <w:sz w:val="20"/>
          <w:lang w:eastAsia="en-US"/>
        </w:rPr>
        <w:t xml:space="preserve"> pour une meilleure participation dans l’élaboration des PSG, et bénéficieront d’un accès privilégié à des financements (10% des montants des PSE alloués aux CLD seront réservés aux jeunes) pour des activités spécifiques. </w:t>
      </w:r>
      <w:r w:rsidRPr="000F2DE3">
        <w:rPr>
          <w:sz w:val="20"/>
          <w:lang w:eastAsia="en-US"/>
        </w:rPr>
        <w:t>Les jeunes sont en général plus ouverts aux innovations</w:t>
      </w:r>
      <w:r w:rsidR="00035919" w:rsidRPr="000F2DE3">
        <w:rPr>
          <w:sz w:val="20"/>
          <w:lang w:eastAsia="en-US"/>
        </w:rPr>
        <w:t>. Ils sont aussi</w:t>
      </w:r>
      <w:r w:rsidRPr="000F2DE3">
        <w:rPr>
          <w:sz w:val="20"/>
          <w:lang w:eastAsia="en-US"/>
        </w:rPr>
        <w:t xml:space="preserve"> très intéressés par tout ce qui peut rapporter de l’argent</w:t>
      </w:r>
      <w:r w:rsidR="00035919" w:rsidRPr="000F2DE3">
        <w:rPr>
          <w:sz w:val="20"/>
          <w:lang w:eastAsia="en-US"/>
        </w:rPr>
        <w:t>. I</w:t>
      </w:r>
      <w:r w:rsidRPr="000F2DE3">
        <w:rPr>
          <w:sz w:val="20"/>
          <w:lang w:eastAsia="en-US"/>
        </w:rPr>
        <w:t>ls sont</w:t>
      </w:r>
      <w:r w:rsidR="00035919" w:rsidRPr="000F2DE3">
        <w:rPr>
          <w:sz w:val="20"/>
          <w:lang w:eastAsia="en-US"/>
        </w:rPr>
        <w:t xml:space="preserve"> néanmoins</w:t>
      </w:r>
      <w:r w:rsidRPr="000F2DE3">
        <w:rPr>
          <w:sz w:val="20"/>
          <w:lang w:eastAsia="en-US"/>
        </w:rPr>
        <w:t xml:space="preserve"> </w:t>
      </w:r>
      <w:r w:rsidR="00035919" w:rsidRPr="000F2DE3">
        <w:rPr>
          <w:sz w:val="20"/>
          <w:lang w:eastAsia="en-US"/>
        </w:rPr>
        <w:t>« pressés » et</w:t>
      </w:r>
      <w:r w:rsidRPr="000F2DE3">
        <w:rPr>
          <w:sz w:val="20"/>
          <w:lang w:eastAsia="en-US"/>
        </w:rPr>
        <w:t xml:space="preserve"> leur intérêt pour l</w:t>
      </w:r>
      <w:r w:rsidR="00035919" w:rsidRPr="000F2DE3">
        <w:rPr>
          <w:sz w:val="20"/>
          <w:lang w:eastAsia="en-US"/>
        </w:rPr>
        <w:t>es cultures à cycle court (</w:t>
      </w:r>
      <w:r w:rsidRPr="000F2DE3">
        <w:rPr>
          <w:sz w:val="20"/>
          <w:lang w:eastAsia="en-US"/>
        </w:rPr>
        <w:t>à retour monétaire rapide)</w:t>
      </w:r>
      <w:r w:rsidR="00035919" w:rsidRPr="000F2DE3">
        <w:rPr>
          <w:sz w:val="20"/>
          <w:lang w:eastAsia="en-US"/>
        </w:rPr>
        <w:t xml:space="preserve"> reste souvent plus affirmé que celui pour les cultures pérennes.</w:t>
      </w:r>
      <w:r w:rsidRPr="000F2DE3">
        <w:rPr>
          <w:sz w:val="20"/>
          <w:lang w:eastAsia="en-US"/>
        </w:rPr>
        <w:t xml:space="preserve"> </w:t>
      </w:r>
      <w:r w:rsidR="00035919" w:rsidRPr="000F2DE3">
        <w:rPr>
          <w:sz w:val="20"/>
          <w:lang w:eastAsia="en-US"/>
        </w:rPr>
        <w:t>L’</w:t>
      </w:r>
      <w:r w:rsidRPr="000F2DE3">
        <w:rPr>
          <w:sz w:val="20"/>
          <w:lang w:eastAsia="en-US"/>
        </w:rPr>
        <w:t>agroforesterie avec les cultur</w:t>
      </w:r>
      <w:r w:rsidR="00035919" w:rsidRPr="000F2DE3">
        <w:rPr>
          <w:sz w:val="20"/>
          <w:lang w:eastAsia="en-US"/>
        </w:rPr>
        <w:t>es vivrières de début de cycle devraient satisfaire leurs attentes.</w:t>
      </w:r>
    </w:p>
    <w:p w:rsidR="000A4530" w:rsidRPr="000F2DE3" w:rsidRDefault="000A4530" w:rsidP="00D33E12">
      <w:pPr>
        <w:spacing w:after="0"/>
        <w:rPr>
          <w:b/>
          <w:sz w:val="20"/>
          <w:lang w:eastAsia="en-US"/>
        </w:rPr>
      </w:pPr>
    </w:p>
    <w:p w:rsidR="003D6B63" w:rsidRPr="000F2DE3" w:rsidRDefault="005D0B4D" w:rsidP="002E3A02">
      <w:pPr>
        <w:pStyle w:val="ListParagraph"/>
        <w:numPr>
          <w:ilvl w:val="0"/>
          <w:numId w:val="72"/>
        </w:numPr>
        <w:tabs>
          <w:tab w:val="left" w:pos="450"/>
        </w:tabs>
        <w:jc w:val="both"/>
        <w:rPr>
          <w:rFonts w:asciiTheme="minorHAnsi" w:eastAsiaTheme="minorEastAsia" w:hAnsiTheme="minorHAnsi"/>
          <w:b/>
          <w:color w:val="2E74B5" w:themeColor="accent1" w:themeShade="BF"/>
          <w:sz w:val="20"/>
          <w:szCs w:val="20"/>
        </w:rPr>
      </w:pPr>
      <w:r w:rsidRPr="000F2DE3">
        <w:rPr>
          <w:rFonts w:asciiTheme="minorHAnsi" w:eastAsiaTheme="minorEastAsia" w:hAnsiTheme="minorHAnsi"/>
          <w:b/>
          <w:color w:val="2E74B5" w:themeColor="accent1" w:themeShade="BF"/>
          <w:sz w:val="20"/>
          <w:szCs w:val="20"/>
        </w:rPr>
        <w:t xml:space="preserve">Contrats / </w:t>
      </w:r>
      <w:r w:rsidR="003D6B63" w:rsidRPr="000F2DE3">
        <w:rPr>
          <w:rFonts w:asciiTheme="minorHAnsi" w:eastAsiaTheme="minorEastAsia" w:hAnsiTheme="minorHAnsi"/>
          <w:b/>
          <w:color w:val="2E74B5" w:themeColor="accent1" w:themeShade="BF"/>
          <w:sz w:val="20"/>
          <w:szCs w:val="20"/>
        </w:rPr>
        <w:t>Paiements pour services environnementaux (PSE)</w:t>
      </w:r>
    </w:p>
    <w:p w:rsidR="003D6B63" w:rsidRPr="000F2DE3" w:rsidRDefault="003D6B63" w:rsidP="00D33E12">
      <w:pPr>
        <w:spacing w:after="0"/>
        <w:rPr>
          <w:b/>
          <w:sz w:val="20"/>
          <w:lang w:eastAsia="en-US"/>
        </w:rPr>
      </w:pPr>
    </w:p>
    <w:p w:rsidR="00E75C6B" w:rsidRPr="000F2DE3" w:rsidRDefault="003D6B63" w:rsidP="00ED144B">
      <w:pPr>
        <w:spacing w:after="0"/>
        <w:jc w:val="both"/>
        <w:rPr>
          <w:sz w:val="20"/>
          <w:lang w:eastAsia="en-US"/>
        </w:rPr>
      </w:pPr>
      <w:r w:rsidRPr="000F2DE3">
        <w:rPr>
          <w:sz w:val="20"/>
          <w:lang w:eastAsia="en-US"/>
        </w:rPr>
        <w:t>Une des innovations majeure de ce programme est la systématisation des PSE pour la mise en œuvre des activités sur le terrain</w:t>
      </w:r>
      <w:r w:rsidR="001E65D2" w:rsidRPr="000F2DE3">
        <w:rPr>
          <w:sz w:val="20"/>
          <w:lang w:eastAsia="en-US"/>
        </w:rPr>
        <w:t xml:space="preserve"> par les communautés locales</w:t>
      </w:r>
      <w:r w:rsidRPr="000F2DE3">
        <w:rPr>
          <w:sz w:val="20"/>
          <w:lang w:eastAsia="en-US"/>
        </w:rPr>
        <w:t>. Sur la base des documents de planification dûment validés (PDD et PSG), des contrats seront signés entre le MECNDD, représenté par le PIF</w:t>
      </w:r>
      <w:r w:rsidR="002520C0" w:rsidRPr="000F2DE3">
        <w:rPr>
          <w:sz w:val="20"/>
          <w:lang w:eastAsia="en-US"/>
        </w:rPr>
        <w:t xml:space="preserve">, </w:t>
      </w:r>
      <w:r w:rsidR="00E22278" w:rsidRPr="000F2DE3">
        <w:rPr>
          <w:sz w:val="20"/>
          <w:lang w:eastAsia="en-US"/>
        </w:rPr>
        <w:t>avec le soutien de l’ALE</w:t>
      </w:r>
      <w:r w:rsidR="002520C0" w:rsidRPr="000F2DE3">
        <w:rPr>
          <w:rStyle w:val="FootnoteReference"/>
          <w:sz w:val="20"/>
          <w:lang w:eastAsia="en-US"/>
        </w:rPr>
        <w:footnoteReference w:id="24"/>
      </w:r>
      <w:r w:rsidRPr="000F2DE3">
        <w:rPr>
          <w:sz w:val="20"/>
          <w:lang w:eastAsia="en-US"/>
        </w:rPr>
        <w:t xml:space="preserve"> en charge de la mise œuvre </w:t>
      </w:r>
      <w:r w:rsidR="002520C0" w:rsidRPr="000F2DE3">
        <w:rPr>
          <w:sz w:val="20"/>
          <w:lang w:eastAsia="en-US"/>
        </w:rPr>
        <w:t>du PIREDD Mai-Ndombe</w:t>
      </w:r>
      <w:r w:rsidR="00E22278" w:rsidRPr="000F2DE3">
        <w:rPr>
          <w:sz w:val="20"/>
          <w:lang w:eastAsia="en-US"/>
        </w:rPr>
        <w:t xml:space="preserve"> pour leur négociation et leur mise en </w:t>
      </w:r>
      <w:r w:rsidR="00006382" w:rsidRPr="000F2DE3">
        <w:rPr>
          <w:sz w:val="20"/>
          <w:lang w:eastAsia="en-US"/>
        </w:rPr>
        <w:t>œuvre</w:t>
      </w:r>
      <w:r w:rsidR="002520C0" w:rsidRPr="000F2DE3">
        <w:rPr>
          <w:sz w:val="20"/>
          <w:lang w:eastAsia="en-US"/>
        </w:rPr>
        <w:t xml:space="preserve">, </w:t>
      </w:r>
      <w:r w:rsidRPr="000F2DE3">
        <w:rPr>
          <w:sz w:val="20"/>
          <w:lang w:eastAsia="en-US"/>
        </w:rPr>
        <w:t xml:space="preserve"> </w:t>
      </w:r>
      <w:r w:rsidR="00E209C2" w:rsidRPr="000F2DE3">
        <w:rPr>
          <w:sz w:val="20"/>
          <w:lang w:eastAsia="en-US"/>
        </w:rPr>
        <w:t>et les CLD</w:t>
      </w:r>
      <w:r w:rsidR="005D0B4D" w:rsidRPr="000F2DE3">
        <w:rPr>
          <w:sz w:val="20"/>
          <w:lang w:eastAsia="en-US"/>
        </w:rPr>
        <w:t xml:space="preserve"> soutenus par ailleurs par le </w:t>
      </w:r>
      <w:r w:rsidR="009260C5" w:rsidRPr="000F2DE3">
        <w:rPr>
          <w:sz w:val="20"/>
          <w:lang w:eastAsia="en-US"/>
        </w:rPr>
        <w:t>programme</w:t>
      </w:r>
      <w:r w:rsidR="005D0B4D" w:rsidRPr="000F2DE3">
        <w:rPr>
          <w:sz w:val="20"/>
          <w:lang w:eastAsia="en-US"/>
        </w:rPr>
        <w:t xml:space="preserve"> pour pouvoir honorer leurs contrats (mise à disposition des équipements de base pour les pépinières agroforestières, semence, encadrement et formation par des ONGs locales, etc.). La logique de ces contrats repose sur</w:t>
      </w:r>
      <w:r w:rsidR="009260C5" w:rsidRPr="000F2DE3">
        <w:rPr>
          <w:sz w:val="20"/>
          <w:lang w:eastAsia="en-US"/>
        </w:rPr>
        <w:t xml:space="preserve"> un </w:t>
      </w:r>
      <w:r w:rsidR="009260C5" w:rsidRPr="000F2DE3">
        <w:rPr>
          <w:sz w:val="20"/>
          <w:lang w:eastAsia="en-US"/>
        </w:rPr>
        <w:lastRenderedPageBreak/>
        <w:t>déclenchement</w:t>
      </w:r>
      <w:r w:rsidR="005D0B4D" w:rsidRPr="000F2DE3">
        <w:rPr>
          <w:sz w:val="20"/>
          <w:lang w:eastAsia="en-US"/>
        </w:rPr>
        <w:t xml:space="preserve"> des paiements </w:t>
      </w:r>
      <w:r w:rsidR="009260C5" w:rsidRPr="000F2DE3">
        <w:rPr>
          <w:sz w:val="20"/>
          <w:lang w:eastAsia="en-US"/>
        </w:rPr>
        <w:t xml:space="preserve">sous réserve de l’atteinte d’objectifs négociés en amont, mesurés et réceptionnés sur le terrain une fois réputés réalisés. Cette approche permet d’aborder une diversité de sujets allant de la protection des investissements contre les feux de brousse à la lutte contre l’exploitation artisanale illégale des bois. Les contrats incorporeront en effet des clauses conditionnant certains paiements (deuxième, ou troisième) au bon entretien des pare-feu, ou à l’absence d’exploitation illégale </w:t>
      </w:r>
      <w:r w:rsidR="00472FFD" w:rsidRPr="000F2DE3">
        <w:rPr>
          <w:sz w:val="20"/>
          <w:lang w:eastAsia="en-US"/>
        </w:rPr>
        <w:t xml:space="preserve">dûment </w:t>
      </w:r>
      <w:r w:rsidR="009260C5" w:rsidRPr="000F2DE3">
        <w:rPr>
          <w:sz w:val="20"/>
          <w:lang w:eastAsia="en-US"/>
        </w:rPr>
        <w:t>constatée à l’échelle du terroir villageois.</w:t>
      </w:r>
      <w:r w:rsidR="009A4ABA" w:rsidRPr="000F2DE3">
        <w:rPr>
          <w:sz w:val="20"/>
          <w:lang w:eastAsia="en-US"/>
        </w:rPr>
        <w:t xml:space="preserve"> De manière plus générale, </w:t>
      </w:r>
      <w:r w:rsidR="00EA74FA" w:rsidRPr="000F2DE3">
        <w:rPr>
          <w:sz w:val="20"/>
          <w:lang w:eastAsia="en-US"/>
        </w:rPr>
        <w:t>le respect de la loi et des orientations des PSG est un préalable à la bonne exécution des termes du contrat, et donc de ses clauses financières.</w:t>
      </w:r>
    </w:p>
    <w:p w:rsidR="00E75C6B" w:rsidRPr="000F2DE3" w:rsidRDefault="00E75C6B" w:rsidP="00ED144B">
      <w:pPr>
        <w:spacing w:after="0"/>
        <w:jc w:val="both"/>
        <w:rPr>
          <w:sz w:val="20"/>
          <w:lang w:eastAsia="en-US"/>
        </w:rPr>
      </w:pPr>
    </w:p>
    <w:p w:rsidR="00630879" w:rsidRPr="000F2DE3" w:rsidRDefault="00630879"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Ces contrats constituent à ce titre le socle de la lutte contre l’exploitation illégale des bois dans les territoires ruraux</w:t>
      </w:r>
      <w:r w:rsidR="00E75C6B" w:rsidRPr="000F2DE3">
        <w:rPr>
          <w:sz w:val="20"/>
          <w:lang w:eastAsia="en-US"/>
        </w:rPr>
        <w:t>. Les communautés sur le terrain seront en effet les premières à s’opposer aux pratiques illégales de certains, car les soutenir les priverait de revenus attendus.</w:t>
      </w:r>
    </w:p>
    <w:p w:rsidR="00E75C6B" w:rsidRPr="000F2DE3" w:rsidRDefault="00E75C6B" w:rsidP="00ED144B">
      <w:pPr>
        <w:spacing w:after="0"/>
        <w:jc w:val="both"/>
        <w:rPr>
          <w:sz w:val="20"/>
          <w:lang w:eastAsia="en-US"/>
        </w:rPr>
      </w:pPr>
    </w:p>
    <w:p w:rsidR="00EA74FA" w:rsidRPr="000F2DE3" w:rsidRDefault="00EA74FA" w:rsidP="00ED144B">
      <w:pPr>
        <w:spacing w:after="0"/>
        <w:jc w:val="both"/>
        <w:rPr>
          <w:sz w:val="20"/>
          <w:lang w:eastAsia="en-US"/>
        </w:rPr>
      </w:pPr>
      <w:r w:rsidRPr="000F2DE3">
        <w:rPr>
          <w:sz w:val="20"/>
          <w:lang w:eastAsia="en-US"/>
        </w:rPr>
        <w:t>Est présenté ci-dessous un extrait du modèle de contrat</w:t>
      </w:r>
      <w:r w:rsidR="00C52E77" w:rsidRPr="000F2DE3">
        <w:rPr>
          <w:sz w:val="20"/>
          <w:lang w:eastAsia="en-US"/>
        </w:rPr>
        <w:t xml:space="preserve"> « Reboisement »</w:t>
      </w:r>
      <w:r w:rsidRPr="000F2DE3">
        <w:rPr>
          <w:sz w:val="20"/>
          <w:lang w:eastAsia="en-US"/>
        </w:rPr>
        <w:t xml:space="preserve"> actuellement en place dans le</w:t>
      </w:r>
      <w:r w:rsidRPr="000F2DE3">
        <w:t xml:space="preserve"> </w:t>
      </w:r>
      <w:r w:rsidRPr="000F2DE3">
        <w:rPr>
          <w:sz w:val="20"/>
          <w:lang w:eastAsia="en-US"/>
        </w:rPr>
        <w:t xml:space="preserve">District du Plateau dans le cadre du PGAPF, lui-même </w:t>
      </w:r>
      <w:r w:rsidR="00C52E77" w:rsidRPr="000F2DE3">
        <w:rPr>
          <w:sz w:val="20"/>
          <w:lang w:eastAsia="en-US"/>
        </w:rPr>
        <w:t>présenté</w:t>
      </w:r>
      <w:r w:rsidRPr="000F2DE3">
        <w:rPr>
          <w:sz w:val="20"/>
          <w:lang w:eastAsia="en-US"/>
        </w:rPr>
        <w:t xml:space="preserve"> dans l’Annexe 8.</w:t>
      </w:r>
      <w:r w:rsidR="0009077D" w:rsidRPr="000F2DE3">
        <w:rPr>
          <w:sz w:val="20"/>
          <w:lang w:eastAsia="en-US"/>
        </w:rPr>
        <w:t xml:space="preserve"> </w:t>
      </w:r>
      <w:r w:rsidR="006E5293" w:rsidRPr="000F2DE3">
        <w:rPr>
          <w:sz w:val="20"/>
          <w:lang w:eastAsia="en-US"/>
        </w:rPr>
        <w:t>Ce</w:t>
      </w:r>
      <w:r w:rsidR="0009077D" w:rsidRPr="000F2DE3">
        <w:rPr>
          <w:sz w:val="20"/>
          <w:lang w:eastAsia="en-US"/>
        </w:rPr>
        <w:t xml:space="preserve"> sont des contrats de ce type qui seront généralisés avec les 600 CLD du District du Mai-Ndombe</w:t>
      </w:r>
      <w:r w:rsidR="00EB1FD0" w:rsidRPr="000F2DE3">
        <w:rPr>
          <w:sz w:val="20"/>
          <w:lang w:eastAsia="en-US"/>
        </w:rPr>
        <w:t>.</w:t>
      </w:r>
      <w:r w:rsidR="00E22278" w:rsidRPr="000F2DE3">
        <w:rPr>
          <w:sz w:val="20"/>
          <w:lang w:eastAsia="en-US"/>
        </w:rPr>
        <w:t xml:space="preserve"> Les retours  d’expérience du PGAPF issus de la mise en œuvre des premiers contrats seront systématiquement pris en compte pour une amélioration de la forme et du fond des modèles de contrats à intervenir.</w:t>
      </w:r>
    </w:p>
    <w:p w:rsidR="00EB1FD0" w:rsidRPr="000F2DE3" w:rsidRDefault="00EB1FD0" w:rsidP="00ED144B">
      <w:pPr>
        <w:spacing w:after="0"/>
        <w:jc w:val="both"/>
        <w:rPr>
          <w:sz w:val="20"/>
          <w:lang w:eastAsia="en-US"/>
        </w:rPr>
      </w:pPr>
    </w:p>
    <w:p w:rsidR="009A4ABA" w:rsidRPr="000F2DE3" w:rsidRDefault="00EA74FA"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 </w:t>
      </w:r>
      <w:r w:rsidR="009A4ABA" w:rsidRPr="000F2DE3">
        <w:rPr>
          <w:sz w:val="20"/>
          <w:lang w:eastAsia="en-US"/>
        </w:rPr>
        <w:t>Le CLD et la communauté s’engagent à adhérer aux valeurs de conservation à savoir :</w:t>
      </w:r>
    </w:p>
    <w:p w:rsidR="009A4ABA" w:rsidRPr="000F2DE3" w:rsidRDefault="009A4ABA"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w:t>
      </w:r>
      <w:r w:rsidRPr="000F2DE3">
        <w:rPr>
          <w:sz w:val="20"/>
          <w:lang w:eastAsia="en-US"/>
        </w:rPr>
        <w:tab/>
        <w:t xml:space="preserve">Respecter la loi sur la chasse, et lutter contre le braconnage, </w:t>
      </w:r>
    </w:p>
    <w:p w:rsidR="009A4ABA" w:rsidRPr="000F2DE3" w:rsidRDefault="009A4ABA"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w:t>
      </w:r>
      <w:r w:rsidRPr="000F2DE3">
        <w:rPr>
          <w:sz w:val="20"/>
          <w:lang w:eastAsia="en-US"/>
        </w:rPr>
        <w:tab/>
        <w:t>Dénoncer les auteurs des feux de brousses</w:t>
      </w:r>
      <w:r w:rsidR="00EA74FA" w:rsidRPr="000F2DE3">
        <w:rPr>
          <w:sz w:val="20"/>
          <w:lang w:eastAsia="en-US"/>
        </w:rPr>
        <w:t>,</w:t>
      </w:r>
      <w:r w:rsidRPr="000F2DE3">
        <w:rPr>
          <w:sz w:val="20"/>
          <w:lang w:eastAsia="en-US"/>
        </w:rPr>
        <w:t xml:space="preserve">  </w:t>
      </w:r>
    </w:p>
    <w:p w:rsidR="009A4ABA" w:rsidRPr="000F2DE3" w:rsidRDefault="009A4ABA"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w:t>
      </w:r>
      <w:r w:rsidRPr="000F2DE3">
        <w:rPr>
          <w:sz w:val="20"/>
          <w:lang w:eastAsia="en-US"/>
        </w:rPr>
        <w:tab/>
        <w:t>Respecter les dispositions de la loi sur la pêche,</w:t>
      </w:r>
    </w:p>
    <w:p w:rsidR="009A4ABA" w:rsidRPr="000F2DE3" w:rsidRDefault="009A4ABA"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w:t>
      </w:r>
      <w:r w:rsidRPr="000F2DE3">
        <w:rPr>
          <w:sz w:val="20"/>
          <w:lang w:eastAsia="en-US"/>
        </w:rPr>
        <w:tab/>
        <w:t>Identifier et délimiter les zones de protection (frayères et sources d’eau)</w:t>
      </w:r>
      <w:r w:rsidR="00EA74FA" w:rsidRPr="000F2DE3">
        <w:rPr>
          <w:sz w:val="20"/>
          <w:lang w:eastAsia="en-US"/>
        </w:rPr>
        <w:t xml:space="preserve"> et les protéger effectivement,</w:t>
      </w:r>
    </w:p>
    <w:p w:rsidR="009A4ABA" w:rsidRPr="000F2DE3" w:rsidRDefault="009A4ABA"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w:t>
      </w:r>
      <w:r w:rsidRPr="000F2DE3">
        <w:rPr>
          <w:sz w:val="20"/>
          <w:lang w:eastAsia="en-US"/>
        </w:rPr>
        <w:tab/>
        <w:t>Faire le suivi et la surv</w:t>
      </w:r>
      <w:r w:rsidR="00EA74FA" w:rsidRPr="000F2DE3">
        <w:rPr>
          <w:sz w:val="20"/>
          <w:lang w:eastAsia="en-US"/>
        </w:rPr>
        <w:t>eillance des  forêts du Terroir,</w:t>
      </w:r>
    </w:p>
    <w:p w:rsidR="009A4ABA" w:rsidRDefault="009A4ABA" w:rsidP="00ED144B">
      <w:pPr>
        <w:pBdr>
          <w:top w:val="single" w:sz="4" w:space="1" w:color="auto"/>
          <w:left w:val="single" w:sz="4" w:space="4" w:color="auto"/>
          <w:bottom w:val="single" w:sz="4" w:space="1" w:color="auto"/>
          <w:right w:val="single" w:sz="4" w:space="4" w:color="auto"/>
        </w:pBdr>
        <w:spacing w:after="0"/>
        <w:jc w:val="both"/>
        <w:rPr>
          <w:sz w:val="20"/>
          <w:lang w:eastAsia="en-US"/>
        </w:rPr>
      </w:pPr>
      <w:r w:rsidRPr="000F2DE3">
        <w:rPr>
          <w:sz w:val="20"/>
          <w:lang w:eastAsia="en-US"/>
        </w:rPr>
        <w:t>•</w:t>
      </w:r>
      <w:r w:rsidRPr="000F2DE3">
        <w:rPr>
          <w:sz w:val="20"/>
          <w:lang w:eastAsia="en-US"/>
        </w:rPr>
        <w:tab/>
        <w:t>Respecter le Plan de Gestion de</w:t>
      </w:r>
      <w:r w:rsidR="00EA74FA" w:rsidRPr="000F2DE3">
        <w:rPr>
          <w:sz w:val="20"/>
          <w:lang w:eastAsia="en-US"/>
        </w:rPr>
        <w:t>s</w:t>
      </w:r>
      <w:r w:rsidRPr="000F2DE3">
        <w:rPr>
          <w:sz w:val="20"/>
          <w:lang w:eastAsia="en-US"/>
        </w:rPr>
        <w:t xml:space="preserve"> Ressources Naturelles</w:t>
      </w:r>
      <w:r w:rsidR="00EA74FA" w:rsidRPr="000F2DE3">
        <w:rPr>
          <w:sz w:val="20"/>
          <w:lang w:eastAsia="en-US"/>
        </w:rPr>
        <w:t>. »</w:t>
      </w:r>
    </w:p>
    <w:p w:rsidR="003D6B63" w:rsidRPr="00ED144B" w:rsidRDefault="003D6B63" w:rsidP="00ED144B">
      <w:pPr>
        <w:spacing w:after="0"/>
        <w:jc w:val="both"/>
        <w:rPr>
          <w:sz w:val="20"/>
          <w:lang w:eastAsia="en-US"/>
        </w:rPr>
      </w:pPr>
    </w:p>
    <w:p w:rsidR="003D6B63" w:rsidRPr="00006382" w:rsidRDefault="0009077D" w:rsidP="002E3A02">
      <w:pPr>
        <w:pStyle w:val="ListParagraph"/>
        <w:numPr>
          <w:ilvl w:val="0"/>
          <w:numId w:val="72"/>
        </w:numPr>
        <w:tabs>
          <w:tab w:val="left" w:pos="450"/>
        </w:tabs>
        <w:jc w:val="both"/>
        <w:rPr>
          <w:rFonts w:asciiTheme="minorHAnsi" w:eastAsiaTheme="minorEastAsia" w:hAnsiTheme="minorHAnsi"/>
          <w:b/>
          <w:color w:val="2E74B5" w:themeColor="accent1" w:themeShade="BF"/>
          <w:sz w:val="20"/>
          <w:szCs w:val="20"/>
        </w:rPr>
      </w:pPr>
      <w:r w:rsidRPr="00006382">
        <w:rPr>
          <w:rFonts w:asciiTheme="minorHAnsi" w:eastAsiaTheme="minorEastAsia" w:hAnsiTheme="minorHAnsi"/>
          <w:b/>
          <w:color w:val="2E74B5" w:themeColor="accent1" w:themeShade="BF"/>
          <w:sz w:val="20"/>
          <w:szCs w:val="20"/>
        </w:rPr>
        <w:t>Collaboration avec les programmes sectoriels du Fonds National REDD+ (FONAREDD)</w:t>
      </w:r>
    </w:p>
    <w:p w:rsidR="0009077D" w:rsidRDefault="0009077D" w:rsidP="00D33E12">
      <w:pPr>
        <w:spacing w:after="0"/>
        <w:rPr>
          <w:b/>
          <w:sz w:val="20"/>
          <w:lang w:eastAsia="en-US"/>
        </w:rPr>
      </w:pPr>
    </w:p>
    <w:p w:rsidR="00EC079D" w:rsidRDefault="0009077D" w:rsidP="00ED144B">
      <w:pPr>
        <w:spacing w:after="0"/>
        <w:jc w:val="both"/>
        <w:rPr>
          <w:sz w:val="20"/>
          <w:lang w:eastAsia="en-US"/>
        </w:rPr>
      </w:pPr>
      <w:r>
        <w:rPr>
          <w:sz w:val="20"/>
          <w:lang w:eastAsia="en-US"/>
        </w:rPr>
        <w:t>L’UC-PIF et l’ALE en charge de la gestion au jour le jour du PIREDD Mai-Ndombe travailleront en étroite collaboration avec</w:t>
      </w:r>
      <w:r w:rsidR="000F74CA">
        <w:rPr>
          <w:sz w:val="20"/>
          <w:lang w:eastAsia="en-US"/>
        </w:rPr>
        <w:t xml:space="preserve"> tous</w:t>
      </w:r>
      <w:r>
        <w:rPr>
          <w:sz w:val="20"/>
          <w:lang w:eastAsia="en-US"/>
        </w:rPr>
        <w:t xml:space="preserve"> les programmes sectoriels lancés</w:t>
      </w:r>
      <w:r w:rsidR="004B18D1">
        <w:rPr>
          <w:sz w:val="20"/>
          <w:lang w:eastAsia="en-US"/>
        </w:rPr>
        <w:t xml:space="preserve"> par le FONAREDD, et plus particulièrement avec ceux traitant de </w:t>
      </w:r>
      <w:r>
        <w:rPr>
          <w:sz w:val="20"/>
          <w:lang w:eastAsia="en-US"/>
        </w:rPr>
        <w:t>l’</w:t>
      </w:r>
      <w:r w:rsidR="004B18D1">
        <w:rPr>
          <w:sz w:val="20"/>
          <w:lang w:eastAsia="en-US"/>
        </w:rPr>
        <w:t>Aménagement</w:t>
      </w:r>
      <w:r>
        <w:rPr>
          <w:sz w:val="20"/>
          <w:lang w:eastAsia="en-US"/>
        </w:rPr>
        <w:t xml:space="preserve"> du Territoire</w:t>
      </w:r>
      <w:r w:rsidR="000F74CA">
        <w:rPr>
          <w:sz w:val="20"/>
          <w:lang w:eastAsia="en-US"/>
        </w:rPr>
        <w:t xml:space="preserve"> (PNUD)</w:t>
      </w:r>
      <w:r>
        <w:rPr>
          <w:sz w:val="20"/>
          <w:lang w:eastAsia="en-US"/>
        </w:rPr>
        <w:t>, de</w:t>
      </w:r>
      <w:r w:rsidR="00EB1FD0">
        <w:rPr>
          <w:sz w:val="20"/>
          <w:lang w:eastAsia="en-US"/>
        </w:rPr>
        <w:t xml:space="preserve"> la Réforme Foncière, de</w:t>
      </w:r>
      <w:r>
        <w:rPr>
          <w:sz w:val="20"/>
          <w:lang w:eastAsia="en-US"/>
        </w:rPr>
        <w:t xml:space="preserve"> l’Agriculture</w:t>
      </w:r>
      <w:r w:rsidR="000F74CA">
        <w:rPr>
          <w:sz w:val="20"/>
          <w:lang w:eastAsia="en-US"/>
        </w:rPr>
        <w:t xml:space="preserve"> (</w:t>
      </w:r>
      <w:r w:rsidR="00EB1FD0">
        <w:rPr>
          <w:sz w:val="20"/>
          <w:lang w:eastAsia="en-US"/>
        </w:rPr>
        <w:t>FAO</w:t>
      </w:r>
      <w:r w:rsidR="000F74CA">
        <w:rPr>
          <w:sz w:val="20"/>
          <w:lang w:eastAsia="en-US"/>
        </w:rPr>
        <w:t>)</w:t>
      </w:r>
      <w:r w:rsidR="00EB1FD0">
        <w:rPr>
          <w:sz w:val="20"/>
          <w:lang w:eastAsia="en-US"/>
        </w:rPr>
        <w:t>,</w:t>
      </w:r>
      <w:r w:rsidR="00D33F8D">
        <w:rPr>
          <w:sz w:val="20"/>
          <w:lang w:eastAsia="en-US"/>
        </w:rPr>
        <w:t xml:space="preserve"> de la Gouvernance (Société Civile - PNUD),</w:t>
      </w:r>
      <w:r w:rsidR="00EB1FD0">
        <w:rPr>
          <w:sz w:val="20"/>
          <w:lang w:eastAsia="en-US"/>
        </w:rPr>
        <w:t xml:space="preserve"> de la </w:t>
      </w:r>
      <w:r w:rsidR="000F74CA">
        <w:rPr>
          <w:sz w:val="20"/>
          <w:lang w:eastAsia="en-US"/>
        </w:rPr>
        <w:t>Forêt</w:t>
      </w:r>
      <w:r w:rsidR="00EB1FD0">
        <w:rPr>
          <w:sz w:val="20"/>
          <w:lang w:eastAsia="en-US"/>
        </w:rPr>
        <w:t xml:space="preserve"> (Gestion durable</w:t>
      </w:r>
      <w:r w:rsidR="000F74CA">
        <w:rPr>
          <w:sz w:val="20"/>
          <w:lang w:eastAsia="en-US"/>
        </w:rPr>
        <w:t xml:space="preserve"> - </w:t>
      </w:r>
      <w:r w:rsidR="00EB1FD0">
        <w:rPr>
          <w:sz w:val="20"/>
          <w:lang w:eastAsia="en-US"/>
        </w:rPr>
        <w:t xml:space="preserve">AFD, </w:t>
      </w:r>
      <w:r w:rsidR="000D6782" w:rsidRPr="000D6782">
        <w:rPr>
          <w:sz w:val="20"/>
          <w:lang w:eastAsia="en-US"/>
        </w:rPr>
        <w:t xml:space="preserve">Système National de Surveillance des Forêts </w:t>
      </w:r>
      <w:r w:rsidR="000D6782">
        <w:rPr>
          <w:sz w:val="20"/>
          <w:lang w:eastAsia="en-US"/>
        </w:rPr>
        <w:t>(</w:t>
      </w:r>
      <w:r w:rsidR="00EB1FD0">
        <w:rPr>
          <w:sz w:val="20"/>
          <w:lang w:eastAsia="en-US"/>
        </w:rPr>
        <w:t>SNSF</w:t>
      </w:r>
      <w:r w:rsidR="000D6782">
        <w:rPr>
          <w:sz w:val="20"/>
          <w:lang w:eastAsia="en-US"/>
        </w:rPr>
        <w:t>)</w:t>
      </w:r>
      <w:r w:rsidR="000F74CA">
        <w:rPr>
          <w:sz w:val="20"/>
          <w:lang w:eastAsia="en-US"/>
        </w:rPr>
        <w:t xml:space="preserve"> - </w:t>
      </w:r>
      <w:r w:rsidR="00EB1FD0">
        <w:rPr>
          <w:sz w:val="20"/>
          <w:lang w:eastAsia="en-US"/>
        </w:rPr>
        <w:t>FAO, PA</w:t>
      </w:r>
      <w:r w:rsidR="000F74CA">
        <w:rPr>
          <w:sz w:val="20"/>
          <w:lang w:eastAsia="en-US"/>
        </w:rPr>
        <w:t xml:space="preserve"> - </w:t>
      </w:r>
      <w:r w:rsidR="00EB1FD0">
        <w:rPr>
          <w:sz w:val="20"/>
          <w:lang w:eastAsia="en-US"/>
        </w:rPr>
        <w:t xml:space="preserve">Banque mondiale), et de la Planification Familiale. Cette collaboration fonctionnera </w:t>
      </w:r>
      <w:r w:rsidR="000F74CA">
        <w:rPr>
          <w:sz w:val="20"/>
          <w:lang w:eastAsia="en-US"/>
        </w:rPr>
        <w:t xml:space="preserve">à différents niveaux. Il s’agira de veiller à ce que les orientations prises par </w:t>
      </w:r>
      <w:r w:rsidR="00EB1FD0">
        <w:rPr>
          <w:sz w:val="20"/>
          <w:lang w:eastAsia="en-US"/>
        </w:rPr>
        <w:t>l</w:t>
      </w:r>
      <w:r w:rsidR="000F74CA">
        <w:rPr>
          <w:sz w:val="20"/>
          <w:lang w:eastAsia="en-US"/>
        </w:rPr>
        <w:t>e</w:t>
      </w:r>
      <w:r w:rsidR="00EB1FD0">
        <w:rPr>
          <w:sz w:val="20"/>
          <w:lang w:eastAsia="en-US"/>
        </w:rPr>
        <w:t xml:space="preserve"> PIREDD Mai-Ndombe s’inscrivent dans le sens </w:t>
      </w:r>
      <w:r w:rsidR="000C4700">
        <w:rPr>
          <w:sz w:val="20"/>
          <w:lang w:eastAsia="en-US"/>
        </w:rPr>
        <w:t xml:space="preserve">et l’esprit </w:t>
      </w:r>
      <w:r w:rsidR="00EB1FD0">
        <w:rPr>
          <w:sz w:val="20"/>
          <w:lang w:eastAsia="en-US"/>
        </w:rPr>
        <w:t xml:space="preserve">des </w:t>
      </w:r>
      <w:r w:rsidR="000F74CA">
        <w:rPr>
          <w:sz w:val="20"/>
          <w:lang w:eastAsia="en-US"/>
        </w:rPr>
        <w:t>recommandations et/ou de la feuille de route</w:t>
      </w:r>
      <w:r w:rsidR="00EB1FD0">
        <w:rPr>
          <w:sz w:val="20"/>
          <w:lang w:eastAsia="en-US"/>
        </w:rPr>
        <w:t xml:space="preserve"> </w:t>
      </w:r>
      <w:r w:rsidR="000F74CA">
        <w:rPr>
          <w:sz w:val="20"/>
          <w:lang w:eastAsia="en-US"/>
        </w:rPr>
        <w:t>nationale</w:t>
      </w:r>
      <w:r w:rsidR="000C4700">
        <w:rPr>
          <w:sz w:val="20"/>
          <w:lang w:eastAsia="en-US"/>
        </w:rPr>
        <w:t>. Inversement</w:t>
      </w:r>
      <w:r w:rsidR="000F74CA">
        <w:rPr>
          <w:sz w:val="20"/>
          <w:lang w:eastAsia="en-US"/>
        </w:rPr>
        <w:t>, les programmes sectoriels devront de leur côté se nourrir des acquis et expériences réussies du PIREDD Mai-Ndombe</w:t>
      </w:r>
      <w:r w:rsidR="000C4700">
        <w:rPr>
          <w:sz w:val="20"/>
          <w:lang w:eastAsia="en-US"/>
        </w:rPr>
        <w:t xml:space="preserve">, notamment </w:t>
      </w:r>
      <w:r w:rsidR="00882E58">
        <w:rPr>
          <w:sz w:val="20"/>
          <w:lang w:eastAsia="en-US"/>
        </w:rPr>
        <w:t>de ses</w:t>
      </w:r>
      <w:r w:rsidR="000C4700">
        <w:rPr>
          <w:sz w:val="20"/>
          <w:lang w:eastAsia="en-US"/>
        </w:rPr>
        <w:t xml:space="preserve"> approches</w:t>
      </w:r>
      <w:r w:rsidR="00993837">
        <w:rPr>
          <w:sz w:val="20"/>
          <w:lang w:eastAsia="en-US"/>
        </w:rPr>
        <w:t xml:space="preserve"> et initiatives</w:t>
      </w:r>
      <w:r w:rsidR="000C4700">
        <w:rPr>
          <w:sz w:val="20"/>
          <w:lang w:eastAsia="en-US"/>
        </w:rPr>
        <w:t xml:space="preserve"> novatrices. Pour ce faire, des rencontres seront programmées</w:t>
      </w:r>
      <w:r w:rsidR="00FC6C3A">
        <w:rPr>
          <w:sz w:val="20"/>
          <w:lang w:eastAsia="en-US"/>
        </w:rPr>
        <w:t xml:space="preserve"> à intervalles réguliers</w:t>
      </w:r>
      <w:r w:rsidR="000C4700">
        <w:rPr>
          <w:sz w:val="20"/>
          <w:lang w:eastAsia="en-US"/>
        </w:rPr>
        <w:t xml:space="preserve"> afin de s’assurer de la bonne communication entre </w:t>
      </w:r>
      <w:r w:rsidR="00EC079D">
        <w:rPr>
          <w:sz w:val="20"/>
          <w:lang w:eastAsia="en-US"/>
        </w:rPr>
        <w:t>programmes.</w:t>
      </w:r>
    </w:p>
    <w:p w:rsidR="00EC079D" w:rsidRDefault="00EC079D" w:rsidP="00ED144B">
      <w:pPr>
        <w:spacing w:after="0"/>
        <w:jc w:val="both"/>
        <w:rPr>
          <w:sz w:val="20"/>
          <w:lang w:eastAsia="en-US"/>
        </w:rPr>
      </w:pPr>
    </w:p>
    <w:p w:rsidR="000F74CA" w:rsidRPr="000F2DE3" w:rsidRDefault="000F74CA" w:rsidP="00ED144B">
      <w:pPr>
        <w:spacing w:after="0"/>
        <w:jc w:val="both"/>
        <w:rPr>
          <w:sz w:val="20"/>
          <w:lang w:eastAsia="en-US"/>
        </w:rPr>
      </w:pPr>
      <w:r w:rsidRPr="000F2DE3">
        <w:rPr>
          <w:sz w:val="20"/>
          <w:lang w:eastAsia="en-US"/>
        </w:rPr>
        <w:t xml:space="preserve">Enfin, les chronogrammes des </w:t>
      </w:r>
      <w:r w:rsidR="000C4700" w:rsidRPr="000F2DE3">
        <w:rPr>
          <w:sz w:val="20"/>
          <w:lang w:eastAsia="en-US"/>
        </w:rPr>
        <w:t xml:space="preserve">différents </w:t>
      </w:r>
      <w:r w:rsidRPr="000F2DE3">
        <w:rPr>
          <w:sz w:val="20"/>
          <w:lang w:eastAsia="en-US"/>
        </w:rPr>
        <w:t>programmes devront s’aligner pour mieux</w:t>
      </w:r>
      <w:r w:rsidR="000C4700" w:rsidRPr="000F2DE3">
        <w:rPr>
          <w:sz w:val="20"/>
          <w:lang w:eastAsia="en-US"/>
        </w:rPr>
        <w:t xml:space="preserve"> bénéficier de possibles synergies</w:t>
      </w:r>
      <w:r w:rsidR="00882E58" w:rsidRPr="000F2DE3">
        <w:rPr>
          <w:sz w:val="20"/>
          <w:lang w:eastAsia="en-US"/>
        </w:rPr>
        <w:t xml:space="preserve"> opérationnelles</w:t>
      </w:r>
      <w:r w:rsidRPr="000F2DE3">
        <w:rPr>
          <w:sz w:val="20"/>
          <w:lang w:eastAsia="en-US"/>
        </w:rPr>
        <w:t>.</w:t>
      </w:r>
      <w:r w:rsidR="00AD14FC" w:rsidRPr="000F2DE3">
        <w:rPr>
          <w:sz w:val="20"/>
          <w:lang w:eastAsia="en-US"/>
        </w:rPr>
        <w:t xml:space="preserve"> C’est notamment</w:t>
      </w:r>
      <w:r w:rsidR="000C4700" w:rsidRPr="000F2DE3">
        <w:rPr>
          <w:sz w:val="20"/>
          <w:lang w:eastAsia="en-US"/>
        </w:rPr>
        <w:t xml:space="preserve"> le cas avec le programme sur la Gestion Durable des </w:t>
      </w:r>
      <w:r w:rsidR="00FC6C3A" w:rsidRPr="000F2DE3">
        <w:rPr>
          <w:sz w:val="20"/>
          <w:lang w:eastAsia="en-US"/>
        </w:rPr>
        <w:t>Forêts</w:t>
      </w:r>
      <w:r w:rsidR="000C4700" w:rsidRPr="000F2DE3">
        <w:rPr>
          <w:sz w:val="20"/>
          <w:lang w:eastAsia="en-US"/>
        </w:rPr>
        <w:t xml:space="preserve"> soutenu par l</w:t>
      </w:r>
      <w:r w:rsidR="00FC6C3A" w:rsidRPr="000F2DE3">
        <w:rPr>
          <w:sz w:val="20"/>
          <w:lang w:eastAsia="en-US"/>
        </w:rPr>
        <w:t>’</w:t>
      </w:r>
      <w:r w:rsidR="000C4700" w:rsidRPr="000F2DE3">
        <w:rPr>
          <w:sz w:val="20"/>
          <w:lang w:eastAsia="en-US"/>
        </w:rPr>
        <w:t>AFD</w:t>
      </w:r>
      <w:r w:rsidR="006E19DF" w:rsidRPr="000F2DE3">
        <w:rPr>
          <w:rStyle w:val="FootnoteReference"/>
          <w:sz w:val="20"/>
          <w:lang w:eastAsia="en-US"/>
        </w:rPr>
        <w:footnoteReference w:id="25"/>
      </w:r>
      <w:r w:rsidR="00FC6C3A" w:rsidRPr="000F2DE3">
        <w:rPr>
          <w:sz w:val="20"/>
          <w:lang w:eastAsia="en-US"/>
        </w:rPr>
        <w:t xml:space="preserve">, et plus </w:t>
      </w:r>
      <w:r w:rsidR="00882E58" w:rsidRPr="000F2DE3">
        <w:rPr>
          <w:sz w:val="20"/>
          <w:lang w:eastAsia="en-US"/>
        </w:rPr>
        <w:t>particulièrement</w:t>
      </w:r>
      <w:r w:rsidR="00FC6C3A" w:rsidRPr="000F2DE3">
        <w:rPr>
          <w:sz w:val="20"/>
          <w:lang w:eastAsia="en-US"/>
        </w:rPr>
        <w:t xml:space="preserve"> </w:t>
      </w:r>
      <w:r w:rsidR="00882E58" w:rsidRPr="000F2DE3">
        <w:rPr>
          <w:sz w:val="20"/>
          <w:lang w:eastAsia="en-US"/>
        </w:rPr>
        <w:t xml:space="preserve">avec </w:t>
      </w:r>
      <w:r w:rsidR="00FC6C3A" w:rsidRPr="000F2DE3">
        <w:rPr>
          <w:sz w:val="20"/>
          <w:lang w:eastAsia="en-US"/>
        </w:rPr>
        <w:t xml:space="preserve">ses trois composantes </w:t>
      </w:r>
      <w:r w:rsidR="00882E58" w:rsidRPr="000F2DE3">
        <w:rPr>
          <w:sz w:val="20"/>
          <w:lang w:eastAsia="en-US"/>
        </w:rPr>
        <w:t>opérationnelles qui traitent :</w:t>
      </w:r>
    </w:p>
    <w:p w:rsidR="00882E58" w:rsidRPr="000F2DE3" w:rsidRDefault="00882E58" w:rsidP="002E3A02">
      <w:pPr>
        <w:pStyle w:val="ListParagraph"/>
        <w:numPr>
          <w:ilvl w:val="0"/>
          <w:numId w:val="15"/>
        </w:numPr>
        <w:autoSpaceDE w:val="0"/>
        <w:autoSpaceDN w:val="0"/>
        <w:adjustRightInd w:val="0"/>
        <w:jc w:val="both"/>
        <w:rPr>
          <w:sz w:val="20"/>
          <w:lang w:eastAsia="en-US"/>
        </w:rPr>
      </w:pPr>
      <w:r w:rsidRPr="000F2DE3">
        <w:rPr>
          <w:rFonts w:asciiTheme="minorHAnsi" w:eastAsiaTheme="minorEastAsia" w:hAnsiTheme="minorHAnsi" w:cstheme="minorBidi"/>
          <w:sz w:val="20"/>
          <w:szCs w:val="22"/>
          <w:lang w:eastAsia="en-US"/>
        </w:rPr>
        <w:t>de l’appui au</w:t>
      </w:r>
      <w:r w:rsidR="00FC6C3A" w:rsidRPr="000F2DE3">
        <w:rPr>
          <w:rFonts w:asciiTheme="minorHAnsi" w:eastAsiaTheme="minorEastAsia" w:hAnsiTheme="minorHAnsi" w:cstheme="minorBidi"/>
          <w:sz w:val="20"/>
          <w:szCs w:val="22"/>
          <w:lang w:eastAsia="en-US"/>
        </w:rPr>
        <w:t xml:space="preserve"> développement d’un secteur d’artisans du secteur forêt/bois capables de répondre</w:t>
      </w:r>
      <w:r w:rsidRPr="000F2DE3">
        <w:rPr>
          <w:rFonts w:asciiTheme="minorHAnsi" w:eastAsiaTheme="minorEastAsia" w:hAnsiTheme="minorHAnsi" w:cstheme="minorBidi"/>
          <w:sz w:val="20"/>
          <w:szCs w:val="22"/>
          <w:lang w:eastAsia="en-US"/>
        </w:rPr>
        <w:t xml:space="preserve"> </w:t>
      </w:r>
      <w:r w:rsidR="00FC6C3A" w:rsidRPr="000F2DE3">
        <w:rPr>
          <w:rFonts w:asciiTheme="minorHAnsi" w:eastAsiaTheme="minorEastAsia" w:hAnsiTheme="minorHAnsi" w:cstheme="minorBidi"/>
          <w:sz w:val="20"/>
          <w:szCs w:val="22"/>
          <w:lang w:eastAsia="en-US"/>
        </w:rPr>
        <w:t>dans un cadre légal et avec des pratiques durables et performantes à la demande du marché national</w:t>
      </w:r>
      <w:r w:rsidRPr="000F2DE3">
        <w:rPr>
          <w:rFonts w:asciiTheme="minorHAnsi" w:eastAsiaTheme="minorEastAsia" w:hAnsiTheme="minorHAnsi" w:cstheme="minorBidi"/>
          <w:sz w:val="20"/>
          <w:szCs w:val="22"/>
          <w:lang w:eastAsia="en-US"/>
        </w:rPr>
        <w:t xml:space="preserve"> </w:t>
      </w:r>
      <w:r w:rsidR="00FC6C3A" w:rsidRPr="000F2DE3">
        <w:rPr>
          <w:rFonts w:asciiTheme="minorHAnsi" w:eastAsiaTheme="minorEastAsia" w:hAnsiTheme="minorHAnsi" w:cstheme="minorBidi"/>
          <w:sz w:val="20"/>
          <w:szCs w:val="22"/>
          <w:lang w:eastAsia="en-US"/>
        </w:rPr>
        <w:t>en bois d’</w:t>
      </w:r>
      <w:r w:rsidRPr="000F2DE3">
        <w:rPr>
          <w:rFonts w:asciiTheme="minorHAnsi" w:eastAsiaTheme="minorEastAsia" w:hAnsiTheme="minorHAnsi" w:cstheme="minorBidi"/>
          <w:sz w:val="20"/>
          <w:szCs w:val="22"/>
          <w:lang w:eastAsia="en-US"/>
        </w:rPr>
        <w:t>œuvre</w:t>
      </w:r>
      <w:r w:rsidR="00FC6C3A" w:rsidRPr="000F2DE3">
        <w:rPr>
          <w:rFonts w:asciiTheme="minorHAnsi" w:eastAsiaTheme="minorEastAsia" w:hAnsiTheme="minorHAnsi" w:cstheme="minorBidi"/>
          <w:sz w:val="20"/>
          <w:szCs w:val="22"/>
          <w:lang w:eastAsia="en-US"/>
        </w:rPr>
        <w:t xml:space="preserve"> et de produits issus de la transformation</w:t>
      </w:r>
      <w:r w:rsidRPr="000F2DE3">
        <w:rPr>
          <w:rFonts w:asciiTheme="minorHAnsi" w:eastAsiaTheme="minorEastAsia" w:hAnsiTheme="minorHAnsi" w:cstheme="minorBidi"/>
          <w:sz w:val="20"/>
          <w:szCs w:val="22"/>
          <w:lang w:eastAsia="en-US"/>
        </w:rPr>
        <w:t>,</w:t>
      </w:r>
    </w:p>
    <w:p w:rsidR="00882E58" w:rsidRPr="000F2DE3" w:rsidRDefault="00882E58" w:rsidP="002E3A02">
      <w:pPr>
        <w:pStyle w:val="ListParagraph"/>
        <w:numPr>
          <w:ilvl w:val="0"/>
          <w:numId w:val="15"/>
        </w:numPr>
        <w:autoSpaceDE w:val="0"/>
        <w:autoSpaceDN w:val="0"/>
        <w:adjustRightInd w:val="0"/>
        <w:jc w:val="both"/>
        <w:rPr>
          <w:sz w:val="20"/>
          <w:lang w:eastAsia="en-US"/>
        </w:rPr>
      </w:pPr>
      <w:r w:rsidRPr="000F2DE3">
        <w:rPr>
          <w:rFonts w:asciiTheme="minorHAnsi" w:eastAsiaTheme="minorEastAsia" w:hAnsiTheme="minorHAnsi" w:cstheme="minorBidi"/>
          <w:sz w:val="20"/>
          <w:szCs w:val="22"/>
          <w:lang w:eastAsia="en-US"/>
        </w:rPr>
        <w:t>du soutien à</w:t>
      </w:r>
      <w:r w:rsidR="00FC6C3A" w:rsidRPr="000F2DE3">
        <w:rPr>
          <w:rFonts w:asciiTheme="minorHAnsi" w:eastAsiaTheme="minorEastAsia" w:hAnsiTheme="minorHAnsi" w:cstheme="minorBidi"/>
          <w:sz w:val="20"/>
          <w:szCs w:val="22"/>
          <w:lang w:eastAsia="en-US"/>
        </w:rPr>
        <w:t xml:space="preserve"> une production (exploitation durable) de bois d’</w:t>
      </w:r>
      <w:r w:rsidRPr="000F2DE3">
        <w:rPr>
          <w:rFonts w:asciiTheme="minorHAnsi" w:eastAsiaTheme="minorEastAsia" w:hAnsiTheme="minorHAnsi" w:cstheme="minorBidi"/>
          <w:sz w:val="20"/>
          <w:szCs w:val="22"/>
          <w:lang w:eastAsia="en-US"/>
        </w:rPr>
        <w:t>œuvre</w:t>
      </w:r>
      <w:r w:rsidR="00FC6C3A" w:rsidRPr="000F2DE3">
        <w:rPr>
          <w:rFonts w:asciiTheme="minorHAnsi" w:eastAsiaTheme="minorEastAsia" w:hAnsiTheme="minorHAnsi" w:cstheme="minorBidi"/>
          <w:sz w:val="20"/>
          <w:szCs w:val="22"/>
          <w:lang w:eastAsia="en-US"/>
        </w:rPr>
        <w:t xml:space="preserve"> issus de l’exploitation</w:t>
      </w:r>
      <w:r w:rsidRPr="000F2DE3">
        <w:rPr>
          <w:rFonts w:asciiTheme="minorHAnsi" w:eastAsiaTheme="minorEastAsia" w:hAnsiTheme="minorHAnsi" w:cstheme="minorBidi"/>
          <w:sz w:val="20"/>
          <w:szCs w:val="22"/>
          <w:lang w:eastAsia="en-US"/>
        </w:rPr>
        <w:t xml:space="preserve"> </w:t>
      </w:r>
      <w:r w:rsidR="00FC6C3A" w:rsidRPr="000F2DE3">
        <w:rPr>
          <w:rFonts w:asciiTheme="minorHAnsi" w:eastAsiaTheme="minorEastAsia" w:hAnsiTheme="minorHAnsi" w:cstheme="minorBidi"/>
          <w:sz w:val="20"/>
          <w:szCs w:val="22"/>
          <w:lang w:eastAsia="en-US"/>
        </w:rPr>
        <w:t>communautaire et/ou des ETD</w:t>
      </w:r>
      <w:r w:rsidRPr="000F2DE3">
        <w:rPr>
          <w:rFonts w:asciiTheme="minorHAnsi" w:eastAsiaTheme="minorEastAsia" w:hAnsiTheme="minorHAnsi" w:cstheme="minorBidi"/>
          <w:sz w:val="20"/>
          <w:szCs w:val="22"/>
          <w:lang w:eastAsia="en-US"/>
        </w:rPr>
        <w:t>,</w:t>
      </w:r>
    </w:p>
    <w:p w:rsidR="00FC6C3A" w:rsidRPr="000F2DE3" w:rsidRDefault="00882E58" w:rsidP="002E3A02">
      <w:pPr>
        <w:pStyle w:val="ListParagraph"/>
        <w:numPr>
          <w:ilvl w:val="0"/>
          <w:numId w:val="15"/>
        </w:numPr>
        <w:autoSpaceDE w:val="0"/>
        <w:autoSpaceDN w:val="0"/>
        <w:adjustRightInd w:val="0"/>
        <w:jc w:val="both"/>
        <w:rPr>
          <w:sz w:val="20"/>
          <w:lang w:eastAsia="en-US"/>
        </w:rPr>
      </w:pPr>
      <w:r w:rsidRPr="000F2DE3">
        <w:rPr>
          <w:rFonts w:asciiTheme="minorHAnsi" w:eastAsiaTheme="minorEastAsia" w:hAnsiTheme="minorHAnsi" w:cstheme="minorBidi"/>
          <w:sz w:val="20"/>
          <w:szCs w:val="22"/>
          <w:lang w:eastAsia="en-US"/>
        </w:rPr>
        <w:t>du renforcement dans les secteurs et les territoires des capacités de l’administration forestière locale et de l'administration décentralisée pour l’encadrement des activités forestières</w:t>
      </w:r>
      <w:r w:rsidR="006E19DF" w:rsidRPr="000F2DE3">
        <w:rPr>
          <w:rStyle w:val="FootnoteReference"/>
          <w:rFonts w:asciiTheme="minorHAnsi" w:eastAsiaTheme="minorEastAsia" w:hAnsiTheme="minorHAnsi" w:cstheme="minorBidi"/>
          <w:sz w:val="20"/>
          <w:szCs w:val="22"/>
          <w:lang w:eastAsia="en-US"/>
        </w:rPr>
        <w:footnoteReference w:id="26"/>
      </w:r>
      <w:r w:rsidRPr="000F2DE3">
        <w:rPr>
          <w:rFonts w:asciiTheme="minorHAnsi" w:eastAsiaTheme="minorEastAsia" w:hAnsiTheme="minorHAnsi" w:cstheme="minorBidi"/>
          <w:sz w:val="20"/>
          <w:szCs w:val="22"/>
          <w:lang w:eastAsia="en-US"/>
        </w:rPr>
        <w:t>.</w:t>
      </w:r>
    </w:p>
    <w:p w:rsidR="00882E58" w:rsidRPr="00006382" w:rsidRDefault="00882E58" w:rsidP="00ED144B">
      <w:pPr>
        <w:autoSpaceDE w:val="0"/>
        <w:autoSpaceDN w:val="0"/>
        <w:adjustRightInd w:val="0"/>
        <w:spacing w:after="0"/>
        <w:jc w:val="both"/>
        <w:rPr>
          <w:sz w:val="20"/>
          <w:highlight w:val="yellow"/>
          <w:lang w:eastAsia="en-US"/>
        </w:rPr>
      </w:pPr>
    </w:p>
    <w:p w:rsidR="00882E58" w:rsidRPr="000F2DE3" w:rsidRDefault="00882E58" w:rsidP="00ED144B">
      <w:pPr>
        <w:autoSpaceDE w:val="0"/>
        <w:autoSpaceDN w:val="0"/>
        <w:adjustRightInd w:val="0"/>
        <w:spacing w:after="0"/>
        <w:jc w:val="both"/>
        <w:rPr>
          <w:sz w:val="20"/>
          <w:lang w:eastAsia="en-US"/>
        </w:rPr>
      </w:pPr>
      <w:r w:rsidRPr="000F2DE3">
        <w:rPr>
          <w:sz w:val="20"/>
          <w:lang w:eastAsia="en-US"/>
        </w:rPr>
        <w:t xml:space="preserve">C’est en effet dans le processus de production des PSG que seront </w:t>
      </w:r>
      <w:r w:rsidR="00EC079D" w:rsidRPr="000F2DE3">
        <w:rPr>
          <w:sz w:val="20"/>
          <w:lang w:eastAsia="en-US"/>
        </w:rPr>
        <w:t>identifié</w:t>
      </w:r>
      <w:r w:rsidRPr="000F2DE3">
        <w:rPr>
          <w:sz w:val="20"/>
          <w:lang w:eastAsia="en-US"/>
        </w:rPr>
        <w:t xml:space="preserve">s les forêts communautaires, mais aussi l’espace rural susceptible d’exploitation artisanale durable. </w:t>
      </w:r>
      <w:r w:rsidR="00EC079D" w:rsidRPr="000F2DE3">
        <w:rPr>
          <w:sz w:val="20"/>
          <w:lang w:eastAsia="en-US"/>
        </w:rPr>
        <w:t>Il sera donc essentiel de se coordonner pour proposer et/ou tester dans les PSG</w:t>
      </w:r>
      <w:r w:rsidR="00993837" w:rsidRPr="000F2DE3">
        <w:rPr>
          <w:sz w:val="20"/>
          <w:lang w:eastAsia="en-US"/>
        </w:rPr>
        <w:t>, et les PSE en résultant,</w:t>
      </w:r>
      <w:r w:rsidR="00EC079D" w:rsidRPr="000F2DE3">
        <w:rPr>
          <w:sz w:val="20"/>
          <w:lang w:eastAsia="en-US"/>
        </w:rPr>
        <w:t xml:space="preserve"> des modalités de gestion forestière </w:t>
      </w:r>
      <w:r w:rsidR="00993837" w:rsidRPr="000F2DE3">
        <w:rPr>
          <w:sz w:val="20"/>
          <w:lang w:eastAsia="en-US"/>
        </w:rPr>
        <w:t>susceptibles d’être promues par</w:t>
      </w:r>
      <w:r w:rsidR="00EC079D" w:rsidRPr="000F2DE3">
        <w:rPr>
          <w:sz w:val="20"/>
          <w:lang w:eastAsia="en-US"/>
        </w:rPr>
        <w:t xml:space="preserve"> l’</w:t>
      </w:r>
      <w:r w:rsidR="00993837" w:rsidRPr="000F2DE3">
        <w:rPr>
          <w:sz w:val="20"/>
          <w:lang w:eastAsia="en-US"/>
        </w:rPr>
        <w:t>AFD</w:t>
      </w:r>
      <w:r w:rsidR="00EC079D" w:rsidRPr="000F2DE3">
        <w:rPr>
          <w:sz w:val="20"/>
          <w:lang w:eastAsia="en-US"/>
        </w:rPr>
        <w:t>. Enfin, les deux programmes proposent un renforcement des capacités de l’administration forestière décentralisée</w:t>
      </w:r>
      <w:r w:rsidR="00993837" w:rsidRPr="000F2DE3">
        <w:rPr>
          <w:sz w:val="20"/>
          <w:lang w:eastAsia="en-US"/>
        </w:rPr>
        <w:t>. Aussi, une clarification des périmètres d’intervention s’impose.</w:t>
      </w:r>
    </w:p>
    <w:p w:rsidR="00993837" w:rsidRPr="000F2DE3" w:rsidRDefault="00993837" w:rsidP="00ED144B">
      <w:pPr>
        <w:autoSpaceDE w:val="0"/>
        <w:autoSpaceDN w:val="0"/>
        <w:adjustRightInd w:val="0"/>
        <w:spacing w:after="0"/>
        <w:jc w:val="both"/>
        <w:rPr>
          <w:sz w:val="20"/>
          <w:lang w:eastAsia="en-US"/>
        </w:rPr>
      </w:pPr>
    </w:p>
    <w:p w:rsidR="001F22CB" w:rsidRDefault="001F22CB" w:rsidP="00ED144B">
      <w:pPr>
        <w:autoSpaceDE w:val="0"/>
        <w:autoSpaceDN w:val="0"/>
        <w:adjustRightInd w:val="0"/>
        <w:spacing w:after="0"/>
        <w:jc w:val="both"/>
        <w:rPr>
          <w:sz w:val="20"/>
          <w:lang w:eastAsia="en-US"/>
        </w:rPr>
      </w:pPr>
      <w:r w:rsidRPr="000F2DE3">
        <w:rPr>
          <w:sz w:val="20"/>
          <w:lang w:eastAsia="en-US"/>
        </w:rPr>
        <w:t>Les processus de production et d’enregistrement des PSG seront discutés quant à eux avec les agences responsables des programmes sectoriels traitant de l’Aménagement du Territoire et du Foncier</w:t>
      </w:r>
      <w:r w:rsidR="006E5293" w:rsidRPr="000F2DE3">
        <w:rPr>
          <w:sz w:val="20"/>
          <w:lang w:eastAsia="en-US"/>
        </w:rPr>
        <w:t>.</w:t>
      </w:r>
    </w:p>
    <w:p w:rsidR="000D6782" w:rsidRDefault="000D6782" w:rsidP="00ED144B">
      <w:pPr>
        <w:autoSpaceDE w:val="0"/>
        <w:autoSpaceDN w:val="0"/>
        <w:adjustRightInd w:val="0"/>
        <w:spacing w:after="0"/>
        <w:jc w:val="both"/>
        <w:rPr>
          <w:sz w:val="20"/>
          <w:lang w:eastAsia="en-US"/>
        </w:rPr>
      </w:pPr>
    </w:p>
    <w:p w:rsidR="000D6782" w:rsidRDefault="000D6782" w:rsidP="00ED144B">
      <w:pPr>
        <w:autoSpaceDE w:val="0"/>
        <w:autoSpaceDN w:val="0"/>
        <w:adjustRightInd w:val="0"/>
        <w:spacing w:after="0"/>
        <w:jc w:val="both"/>
        <w:rPr>
          <w:sz w:val="20"/>
          <w:lang w:eastAsia="en-US"/>
        </w:rPr>
      </w:pPr>
      <w:r>
        <w:rPr>
          <w:sz w:val="20"/>
          <w:lang w:eastAsia="en-US"/>
        </w:rPr>
        <w:t>Il serait souhaitable enfin que l</w:t>
      </w:r>
      <w:r w:rsidRPr="000D6782">
        <w:rPr>
          <w:sz w:val="20"/>
          <w:lang w:eastAsia="en-US"/>
        </w:rPr>
        <w:t>e programme sectoriel SNSF</w:t>
      </w:r>
      <w:r>
        <w:rPr>
          <w:sz w:val="20"/>
          <w:lang w:eastAsia="en-US"/>
        </w:rPr>
        <w:t xml:space="preserve"> supporte techniquement et financièrement la</w:t>
      </w:r>
      <w:r w:rsidRPr="00ED144B">
        <w:rPr>
          <w:sz w:val="20"/>
          <w:lang w:eastAsia="en-US"/>
        </w:rPr>
        <w:t xml:space="preserve"> mesure annuelle des réductions d’émission à l’échelle de la Province du Mai-Ndombe</w:t>
      </w:r>
      <w:r>
        <w:rPr>
          <w:sz w:val="20"/>
          <w:lang w:eastAsia="en-US"/>
        </w:rPr>
        <w:t xml:space="preserve"> selon la méthodologie décrite dans le document du Programme RE du Mai-Ndombe </w:t>
      </w:r>
      <w:r w:rsidRPr="00ED144B">
        <w:rPr>
          <w:sz w:val="20"/>
          <w:lang w:eastAsia="en-US"/>
        </w:rPr>
        <w:t xml:space="preserve"> (cf</w:t>
      </w:r>
      <w:r>
        <w:rPr>
          <w:sz w:val="20"/>
          <w:lang w:eastAsia="en-US"/>
        </w:rPr>
        <w:t>. annexe 4b</w:t>
      </w:r>
      <w:r w:rsidRPr="00ED144B">
        <w:rPr>
          <w:sz w:val="20"/>
          <w:lang w:eastAsia="en-US"/>
        </w:rPr>
        <w:t>)</w:t>
      </w:r>
      <w:r>
        <w:rPr>
          <w:sz w:val="20"/>
          <w:lang w:eastAsia="en-US"/>
        </w:rPr>
        <w:t xml:space="preserve">. Au-delà de l’intérêt pour les contrats d’achat /vente de </w:t>
      </w:r>
      <w:r w:rsidR="001E65D2">
        <w:rPr>
          <w:sz w:val="20"/>
          <w:lang w:eastAsia="en-US"/>
        </w:rPr>
        <w:t>réductions</w:t>
      </w:r>
      <w:r>
        <w:rPr>
          <w:sz w:val="20"/>
          <w:lang w:eastAsia="en-US"/>
        </w:rPr>
        <w:t xml:space="preserve"> d’</w:t>
      </w:r>
      <w:r w:rsidR="001E65D2">
        <w:rPr>
          <w:sz w:val="20"/>
          <w:lang w:eastAsia="en-US"/>
        </w:rPr>
        <w:t>émission susceptibles d’être signés par ailleurs</w:t>
      </w:r>
      <w:r>
        <w:rPr>
          <w:sz w:val="20"/>
          <w:lang w:eastAsia="en-US"/>
        </w:rPr>
        <w:t>, c</w:t>
      </w:r>
      <w:r w:rsidR="001E65D2">
        <w:rPr>
          <w:sz w:val="20"/>
          <w:lang w:eastAsia="en-US"/>
        </w:rPr>
        <w:t>ette mesure serait</w:t>
      </w:r>
      <w:r>
        <w:rPr>
          <w:sz w:val="20"/>
          <w:lang w:eastAsia="en-US"/>
        </w:rPr>
        <w:t xml:space="preserve"> essentielle pour produir</w:t>
      </w:r>
      <w:r w:rsidR="001E65D2">
        <w:rPr>
          <w:sz w:val="20"/>
          <w:lang w:eastAsia="en-US"/>
        </w:rPr>
        <w:t>e</w:t>
      </w:r>
      <w:r w:rsidRPr="00ED144B">
        <w:rPr>
          <w:sz w:val="20"/>
          <w:lang w:eastAsia="en-US"/>
        </w:rPr>
        <w:t xml:space="preserve"> de façon régulière des données sur le poid</w:t>
      </w:r>
      <w:r w:rsidR="001E65D2">
        <w:rPr>
          <w:sz w:val="20"/>
          <w:lang w:eastAsia="en-US"/>
        </w:rPr>
        <w:t>s relatif</w:t>
      </w:r>
      <w:r w:rsidRPr="00ED144B">
        <w:rPr>
          <w:sz w:val="20"/>
          <w:lang w:eastAsia="en-US"/>
        </w:rPr>
        <w:t xml:space="preserve"> des différents moteurs de la déforestation et de la dégradation forestière (déforestation planifiée, déforestation non planifiée, dégradation planifiée et absorption telles que définies dans le Document du Programme de </w:t>
      </w:r>
      <w:r w:rsidR="001E65D2">
        <w:rPr>
          <w:sz w:val="20"/>
          <w:lang w:eastAsia="en-US"/>
        </w:rPr>
        <w:t>RE</w:t>
      </w:r>
      <w:r w:rsidRPr="00ED144B">
        <w:rPr>
          <w:sz w:val="20"/>
          <w:lang w:eastAsia="en-US"/>
        </w:rPr>
        <w:t xml:space="preserve"> du Mai-Ndombe, Mai 2016), mais aussi sur l’impact des activités (plantations forestières, plantations agroforestières, exploitation forestière à faible impact, conservation). </w:t>
      </w:r>
      <w:r w:rsidR="001E65D2">
        <w:rPr>
          <w:sz w:val="20"/>
          <w:lang w:eastAsia="en-US"/>
        </w:rPr>
        <w:t>Ce suivi constituerait un</w:t>
      </w:r>
      <w:r w:rsidRPr="00ED144B">
        <w:rPr>
          <w:sz w:val="20"/>
          <w:lang w:eastAsia="en-US"/>
        </w:rPr>
        <w:t xml:space="preserve"> mécanisme d’a</w:t>
      </w:r>
      <w:r w:rsidR="001E65D2">
        <w:rPr>
          <w:sz w:val="20"/>
          <w:lang w:eastAsia="en-US"/>
        </w:rPr>
        <w:t>lerte sur l’évolution quantifiée des moteurs de la déforestation</w:t>
      </w:r>
      <w:r w:rsidRPr="00ED144B">
        <w:rPr>
          <w:sz w:val="20"/>
          <w:lang w:eastAsia="en-US"/>
        </w:rPr>
        <w:t>. Fort de cette information, le projet en tirera toutes les leçons pour orienter les priorités des Plans de Développement Durable et des Plans Simples de Gestion.</w:t>
      </w:r>
    </w:p>
    <w:p w:rsidR="001F22CB" w:rsidRDefault="001F22CB" w:rsidP="00ED144B">
      <w:pPr>
        <w:autoSpaceDE w:val="0"/>
        <w:autoSpaceDN w:val="0"/>
        <w:adjustRightInd w:val="0"/>
        <w:spacing w:after="0"/>
        <w:jc w:val="both"/>
        <w:rPr>
          <w:sz w:val="20"/>
          <w:lang w:eastAsia="en-US"/>
        </w:rPr>
      </w:pPr>
    </w:p>
    <w:p w:rsidR="00993837" w:rsidRPr="00006382" w:rsidRDefault="00993837" w:rsidP="002E3A02">
      <w:pPr>
        <w:pStyle w:val="ListParagraph"/>
        <w:numPr>
          <w:ilvl w:val="0"/>
          <w:numId w:val="72"/>
        </w:numPr>
        <w:tabs>
          <w:tab w:val="left" w:pos="450"/>
        </w:tabs>
        <w:jc w:val="both"/>
        <w:rPr>
          <w:rFonts w:asciiTheme="minorHAnsi" w:eastAsiaTheme="minorEastAsia" w:hAnsiTheme="minorHAnsi"/>
          <w:b/>
          <w:color w:val="2E74B5" w:themeColor="accent1" w:themeShade="BF"/>
          <w:sz w:val="20"/>
          <w:szCs w:val="20"/>
        </w:rPr>
      </w:pPr>
      <w:r w:rsidRPr="00006382">
        <w:rPr>
          <w:rFonts w:asciiTheme="minorHAnsi" w:eastAsiaTheme="minorEastAsia" w:hAnsiTheme="minorHAnsi"/>
          <w:b/>
          <w:color w:val="2E74B5" w:themeColor="accent1" w:themeShade="BF"/>
          <w:sz w:val="20"/>
          <w:szCs w:val="20"/>
        </w:rPr>
        <w:t>Collaboration avec les autres programmes intégrés REDD+ du Fonds National REDD+ (FONAREDD)</w:t>
      </w:r>
    </w:p>
    <w:p w:rsidR="00882E58" w:rsidRDefault="00882E58" w:rsidP="00ED144B">
      <w:pPr>
        <w:autoSpaceDE w:val="0"/>
        <w:autoSpaceDN w:val="0"/>
        <w:adjustRightInd w:val="0"/>
        <w:spacing w:after="0"/>
        <w:rPr>
          <w:sz w:val="20"/>
          <w:lang w:eastAsia="en-US"/>
        </w:rPr>
      </w:pPr>
    </w:p>
    <w:p w:rsidR="00F056EB" w:rsidRDefault="00944019" w:rsidP="00ED144B">
      <w:pPr>
        <w:autoSpaceDE w:val="0"/>
        <w:autoSpaceDN w:val="0"/>
        <w:adjustRightInd w:val="0"/>
        <w:spacing w:after="0"/>
        <w:jc w:val="both"/>
        <w:rPr>
          <w:sz w:val="20"/>
          <w:lang w:eastAsia="en-US"/>
        </w:rPr>
      </w:pPr>
      <w:r>
        <w:rPr>
          <w:sz w:val="20"/>
          <w:lang w:eastAsia="en-US"/>
        </w:rPr>
        <w:t>De même, une communication systématisée et renforcée sera  mise en place avec les autres PIREDD pour discuter d’</w:t>
      </w:r>
      <w:r w:rsidR="001F22CB">
        <w:rPr>
          <w:sz w:val="20"/>
          <w:lang w:eastAsia="en-US"/>
        </w:rPr>
        <w:t>éléments</w:t>
      </w:r>
      <w:r>
        <w:rPr>
          <w:sz w:val="20"/>
          <w:lang w:eastAsia="en-US"/>
        </w:rPr>
        <w:t xml:space="preserve"> </w:t>
      </w:r>
      <w:r w:rsidR="001F22CB">
        <w:rPr>
          <w:sz w:val="20"/>
          <w:lang w:eastAsia="en-US"/>
        </w:rPr>
        <w:t xml:space="preserve">méthodologiques (aménagement </w:t>
      </w:r>
      <w:r w:rsidR="006E5293">
        <w:rPr>
          <w:sz w:val="20"/>
          <w:lang w:eastAsia="en-US"/>
        </w:rPr>
        <w:t>participatif</w:t>
      </w:r>
      <w:r w:rsidR="001F22CB">
        <w:rPr>
          <w:sz w:val="20"/>
          <w:lang w:eastAsia="en-US"/>
        </w:rPr>
        <w:t xml:space="preserve"> des terroirs villageois, </w:t>
      </w:r>
      <w:r w:rsidR="006E5293">
        <w:rPr>
          <w:sz w:val="20"/>
          <w:lang w:eastAsia="en-US"/>
        </w:rPr>
        <w:t>etc.), techniques (itinéraires techniques agroforestiers, etc.), ou contractuels (clauses des PSE, etc.), pour s’enrichir mutuellement, mais aussi pour éviter tout « effet de lisière » qui pourrait menacer l’efficacité de programmes voisins aux propositions techniques et financières moins avantageuses</w:t>
      </w:r>
      <w:r w:rsidR="006E5293" w:rsidRPr="00ED144B">
        <w:rPr>
          <w:sz w:val="20"/>
          <w:lang w:eastAsia="en-US"/>
        </w:rPr>
        <w:t>.</w:t>
      </w:r>
    </w:p>
    <w:p w:rsidR="002201C0" w:rsidRDefault="002201C0" w:rsidP="00ED144B">
      <w:pPr>
        <w:autoSpaceDE w:val="0"/>
        <w:autoSpaceDN w:val="0"/>
        <w:adjustRightInd w:val="0"/>
        <w:spacing w:after="0"/>
        <w:jc w:val="both"/>
        <w:rPr>
          <w:sz w:val="20"/>
          <w:lang w:eastAsia="en-US"/>
        </w:rPr>
      </w:pPr>
    </w:p>
    <w:p w:rsidR="002201C0" w:rsidRPr="000F2DE3" w:rsidRDefault="00F93E1B" w:rsidP="002E3A02">
      <w:pPr>
        <w:pStyle w:val="ListParagraph"/>
        <w:numPr>
          <w:ilvl w:val="0"/>
          <w:numId w:val="72"/>
        </w:numPr>
        <w:tabs>
          <w:tab w:val="left" w:pos="450"/>
        </w:tabs>
        <w:jc w:val="both"/>
        <w:rPr>
          <w:b/>
          <w:color w:val="2E74B5" w:themeColor="accent1" w:themeShade="BF"/>
          <w:sz w:val="20"/>
          <w:szCs w:val="20"/>
        </w:rPr>
      </w:pPr>
      <w:r w:rsidRPr="000F2DE3">
        <w:rPr>
          <w:rFonts w:asciiTheme="minorHAnsi" w:eastAsiaTheme="minorEastAsia" w:hAnsiTheme="minorHAnsi"/>
          <w:b/>
          <w:color w:val="2E74B5" w:themeColor="accent1" w:themeShade="BF"/>
          <w:sz w:val="20"/>
          <w:szCs w:val="20"/>
        </w:rPr>
        <w:t>De la protection des forêts</w:t>
      </w:r>
    </w:p>
    <w:p w:rsidR="002201C0" w:rsidRPr="000F2DE3" w:rsidRDefault="002201C0" w:rsidP="00034C2E">
      <w:pPr>
        <w:pStyle w:val="ListParagraph"/>
        <w:tabs>
          <w:tab w:val="left" w:pos="450"/>
        </w:tabs>
        <w:jc w:val="both"/>
        <w:rPr>
          <w:b/>
          <w:color w:val="2E74B5" w:themeColor="accent1" w:themeShade="BF"/>
          <w:sz w:val="20"/>
          <w:szCs w:val="20"/>
        </w:rPr>
      </w:pPr>
    </w:p>
    <w:p w:rsidR="002201C0" w:rsidRPr="000F2DE3" w:rsidRDefault="00E77A84" w:rsidP="00034C2E">
      <w:pPr>
        <w:jc w:val="both"/>
        <w:rPr>
          <w:sz w:val="20"/>
          <w:lang w:eastAsia="en-US"/>
        </w:rPr>
      </w:pPr>
      <w:r w:rsidRPr="000F2DE3">
        <w:rPr>
          <w:sz w:val="20"/>
          <w:lang w:eastAsia="en-US"/>
        </w:rPr>
        <w:t>Toutes les</w:t>
      </w:r>
      <w:r w:rsidR="00034C2E" w:rsidRPr="000F2DE3">
        <w:rPr>
          <w:sz w:val="20"/>
          <w:lang w:eastAsia="en-US"/>
        </w:rPr>
        <w:t xml:space="preserve"> activités</w:t>
      </w:r>
      <w:r w:rsidRPr="000F2DE3">
        <w:rPr>
          <w:sz w:val="20"/>
          <w:lang w:eastAsia="en-US"/>
        </w:rPr>
        <w:t xml:space="preserve"> </w:t>
      </w:r>
      <w:r w:rsidR="00034C2E" w:rsidRPr="000F2DE3">
        <w:rPr>
          <w:sz w:val="20"/>
          <w:lang w:eastAsia="en-US"/>
        </w:rPr>
        <w:t>du PIREDD Mai-Ndombe</w:t>
      </w:r>
      <w:r w:rsidRPr="000F2DE3">
        <w:rPr>
          <w:sz w:val="20"/>
          <w:lang w:eastAsia="en-US"/>
        </w:rPr>
        <w:t xml:space="preserve"> </w:t>
      </w:r>
      <w:r w:rsidR="00F93E1B" w:rsidRPr="000F2DE3">
        <w:rPr>
          <w:sz w:val="20"/>
          <w:lang w:eastAsia="en-US"/>
        </w:rPr>
        <w:t>se concentreront sur</w:t>
      </w:r>
      <w:r w:rsidRPr="000F2DE3">
        <w:rPr>
          <w:sz w:val="20"/>
          <w:lang w:eastAsia="en-US"/>
        </w:rPr>
        <w:t xml:space="preserve"> la protection d</w:t>
      </w:r>
      <w:r w:rsidR="00034C2E" w:rsidRPr="000F2DE3">
        <w:rPr>
          <w:sz w:val="20"/>
          <w:lang w:eastAsia="en-US"/>
        </w:rPr>
        <w:t>es</w:t>
      </w:r>
      <w:r w:rsidRPr="000F2DE3">
        <w:rPr>
          <w:sz w:val="20"/>
          <w:lang w:eastAsia="en-US"/>
        </w:rPr>
        <w:t xml:space="preserve"> forêt</w:t>
      </w:r>
      <w:r w:rsidR="00034C2E" w:rsidRPr="000F2DE3">
        <w:rPr>
          <w:sz w:val="20"/>
          <w:lang w:eastAsia="en-US"/>
        </w:rPr>
        <w:t>s</w:t>
      </w:r>
      <w:r w:rsidR="00F93E1B" w:rsidRPr="000F2DE3">
        <w:rPr>
          <w:sz w:val="20"/>
          <w:lang w:eastAsia="en-US"/>
        </w:rPr>
        <w:t xml:space="preserve">. Pour les identifier précisément, le projet </w:t>
      </w:r>
      <w:r w:rsidR="00792FE3" w:rsidRPr="000F2DE3">
        <w:rPr>
          <w:sz w:val="20"/>
          <w:lang w:eastAsia="en-US"/>
        </w:rPr>
        <w:t>s’appuiera</w:t>
      </w:r>
      <w:r w:rsidR="00EB2212" w:rsidRPr="000F2DE3">
        <w:rPr>
          <w:sz w:val="20"/>
          <w:lang w:eastAsia="en-US"/>
        </w:rPr>
        <w:t xml:space="preserve"> en amont</w:t>
      </w:r>
      <w:r w:rsidR="00F93E1B" w:rsidRPr="000F2DE3">
        <w:rPr>
          <w:sz w:val="20"/>
          <w:lang w:eastAsia="en-US"/>
        </w:rPr>
        <w:t xml:space="preserve"> </w:t>
      </w:r>
      <w:r w:rsidR="00792FE3" w:rsidRPr="000F2DE3">
        <w:rPr>
          <w:sz w:val="20"/>
          <w:lang w:eastAsia="en-US"/>
        </w:rPr>
        <w:t xml:space="preserve">sur </w:t>
      </w:r>
      <w:r w:rsidR="00F93E1B" w:rsidRPr="000F2DE3">
        <w:rPr>
          <w:sz w:val="20"/>
          <w:lang w:eastAsia="en-US"/>
        </w:rPr>
        <w:t>une démarche d’</w:t>
      </w:r>
      <w:r w:rsidR="00792FE3" w:rsidRPr="000F2DE3">
        <w:rPr>
          <w:b/>
          <w:i/>
          <w:sz w:val="20"/>
          <w:lang w:eastAsia="en-US"/>
        </w:rPr>
        <w:t>A</w:t>
      </w:r>
      <w:r w:rsidRPr="000F2DE3">
        <w:rPr>
          <w:b/>
          <w:i/>
          <w:sz w:val="20"/>
          <w:lang w:eastAsia="en-US"/>
        </w:rPr>
        <w:t xml:space="preserve">ménagement du </w:t>
      </w:r>
      <w:r w:rsidR="00792FE3" w:rsidRPr="000F2DE3">
        <w:rPr>
          <w:b/>
          <w:i/>
          <w:sz w:val="20"/>
          <w:lang w:eastAsia="en-US"/>
        </w:rPr>
        <w:t>T</w:t>
      </w:r>
      <w:r w:rsidRPr="000F2DE3">
        <w:rPr>
          <w:b/>
          <w:i/>
          <w:sz w:val="20"/>
          <w:lang w:eastAsia="en-US"/>
        </w:rPr>
        <w:t>erritoire</w:t>
      </w:r>
      <w:r w:rsidR="00F93E1B" w:rsidRPr="000F2DE3">
        <w:rPr>
          <w:sz w:val="20"/>
          <w:lang w:eastAsia="en-US"/>
        </w:rPr>
        <w:t>. Cette approche</w:t>
      </w:r>
      <w:r w:rsidRPr="000F2DE3">
        <w:rPr>
          <w:sz w:val="20"/>
          <w:lang w:eastAsia="en-US"/>
        </w:rPr>
        <w:t xml:space="preserve"> permettra d’établir des règles d’usage </w:t>
      </w:r>
      <w:r w:rsidR="00F93E1B" w:rsidRPr="000F2DE3">
        <w:rPr>
          <w:sz w:val="20"/>
          <w:lang w:eastAsia="en-US"/>
        </w:rPr>
        <w:t>de</w:t>
      </w:r>
      <w:r w:rsidRPr="000F2DE3">
        <w:rPr>
          <w:sz w:val="20"/>
          <w:lang w:eastAsia="en-US"/>
        </w:rPr>
        <w:t xml:space="preserve"> l’espace</w:t>
      </w:r>
      <w:r w:rsidR="00792FE3" w:rsidRPr="000F2DE3">
        <w:rPr>
          <w:sz w:val="20"/>
          <w:lang w:eastAsia="en-US"/>
        </w:rPr>
        <w:t xml:space="preserve"> (par Territoire et Secteur)</w:t>
      </w:r>
      <w:r w:rsidRPr="000F2DE3">
        <w:rPr>
          <w:sz w:val="20"/>
          <w:lang w:eastAsia="en-US"/>
        </w:rPr>
        <w:t xml:space="preserve"> </w:t>
      </w:r>
      <w:r w:rsidR="00266449" w:rsidRPr="000F2DE3">
        <w:rPr>
          <w:sz w:val="20"/>
          <w:lang w:eastAsia="en-US"/>
        </w:rPr>
        <w:t xml:space="preserve">et </w:t>
      </w:r>
      <w:r w:rsidRPr="000F2DE3">
        <w:rPr>
          <w:sz w:val="20"/>
          <w:lang w:eastAsia="en-US"/>
        </w:rPr>
        <w:t>de l’ensemble des ressources végétales ligneuses et non ligneuses</w:t>
      </w:r>
      <w:r w:rsidR="00F93E1B" w:rsidRPr="000F2DE3">
        <w:rPr>
          <w:sz w:val="20"/>
          <w:lang w:eastAsia="en-US"/>
        </w:rPr>
        <w:t xml:space="preserve"> qu’il abrite</w:t>
      </w:r>
      <w:r w:rsidR="00EB2212" w:rsidRPr="000F2DE3">
        <w:rPr>
          <w:sz w:val="20"/>
          <w:lang w:eastAsia="en-US"/>
        </w:rPr>
        <w:t>, avec</w:t>
      </w:r>
      <w:r w:rsidRPr="000F2DE3">
        <w:rPr>
          <w:sz w:val="20"/>
          <w:lang w:eastAsia="en-US"/>
        </w:rPr>
        <w:t xml:space="preserve"> des aspects normatifs qui s’imposeront à l’ensemble des parties prenantes</w:t>
      </w:r>
      <w:r w:rsidR="00EB2212" w:rsidRPr="000F2DE3">
        <w:rPr>
          <w:sz w:val="20"/>
          <w:lang w:eastAsia="en-US"/>
        </w:rPr>
        <w:t xml:space="preserve">. Un </w:t>
      </w:r>
      <w:r w:rsidRPr="000F2DE3">
        <w:rPr>
          <w:sz w:val="20"/>
          <w:lang w:eastAsia="en-US"/>
        </w:rPr>
        <w:t>Edit provincial rendra opposable aux tiers les dispositions des plans de développement</w:t>
      </w:r>
      <w:r w:rsidR="00792FE3" w:rsidRPr="000F2DE3">
        <w:rPr>
          <w:sz w:val="20"/>
          <w:lang w:eastAsia="en-US"/>
        </w:rPr>
        <w:t xml:space="preserve"> durable</w:t>
      </w:r>
      <w:r w:rsidR="00EB2212" w:rsidRPr="000F2DE3">
        <w:rPr>
          <w:sz w:val="20"/>
          <w:lang w:eastAsia="en-US"/>
        </w:rPr>
        <w:t xml:space="preserve"> (PDD) tout en </w:t>
      </w:r>
      <w:r w:rsidR="00792FE3" w:rsidRPr="000F2DE3">
        <w:rPr>
          <w:sz w:val="20"/>
          <w:lang w:eastAsia="en-US"/>
        </w:rPr>
        <w:t>précisant</w:t>
      </w:r>
      <w:r w:rsidR="00EB2212" w:rsidRPr="000F2DE3">
        <w:rPr>
          <w:sz w:val="20"/>
          <w:lang w:eastAsia="en-US"/>
        </w:rPr>
        <w:t xml:space="preserve"> le rôle des</w:t>
      </w:r>
      <w:r w:rsidRPr="000F2DE3">
        <w:rPr>
          <w:sz w:val="20"/>
          <w:lang w:eastAsia="en-US"/>
        </w:rPr>
        <w:t xml:space="preserve"> Services Techniques de l’Environnement et du Cadastre</w:t>
      </w:r>
      <w:r w:rsidR="00792FE3" w:rsidRPr="000F2DE3">
        <w:rPr>
          <w:sz w:val="20"/>
          <w:lang w:eastAsia="en-US"/>
        </w:rPr>
        <w:t xml:space="preserve"> dans le suivi de leur bonne application. Des dispositions annexes pourront compléter l’Edit, notamment sur l’attribution des</w:t>
      </w:r>
      <w:r w:rsidRPr="000F2DE3">
        <w:rPr>
          <w:sz w:val="20"/>
          <w:lang w:eastAsia="en-US"/>
        </w:rPr>
        <w:t xml:space="preserve"> permis de coupe</w:t>
      </w:r>
      <w:r w:rsidR="00792FE3" w:rsidRPr="000F2DE3">
        <w:rPr>
          <w:sz w:val="20"/>
          <w:lang w:eastAsia="en-US"/>
        </w:rPr>
        <w:t xml:space="preserve"> artisanale</w:t>
      </w:r>
      <w:r w:rsidR="00266449" w:rsidRPr="000F2DE3">
        <w:rPr>
          <w:sz w:val="20"/>
          <w:lang w:eastAsia="en-US"/>
        </w:rPr>
        <w:t xml:space="preserve"> et de coupe de bois de feu et de carbonisation.</w:t>
      </w:r>
    </w:p>
    <w:p w:rsidR="009F1828" w:rsidRPr="000F2DE3" w:rsidRDefault="009F1828" w:rsidP="00034C2E">
      <w:pPr>
        <w:jc w:val="both"/>
        <w:rPr>
          <w:sz w:val="20"/>
          <w:lang w:eastAsia="en-US"/>
        </w:rPr>
      </w:pPr>
      <w:r w:rsidRPr="000F2DE3">
        <w:rPr>
          <w:sz w:val="20"/>
          <w:lang w:eastAsia="en-US"/>
        </w:rPr>
        <w:t xml:space="preserve">Les </w:t>
      </w:r>
      <w:r w:rsidR="00792FE3" w:rsidRPr="000F2DE3">
        <w:rPr>
          <w:sz w:val="20"/>
          <w:lang w:eastAsia="en-US"/>
        </w:rPr>
        <w:t>p</w:t>
      </w:r>
      <w:r w:rsidRPr="000F2DE3">
        <w:rPr>
          <w:sz w:val="20"/>
          <w:lang w:eastAsia="en-US"/>
        </w:rPr>
        <w:t xml:space="preserve">lans de </w:t>
      </w:r>
      <w:r w:rsidR="00792FE3" w:rsidRPr="000F2DE3">
        <w:rPr>
          <w:sz w:val="20"/>
          <w:lang w:eastAsia="en-US"/>
        </w:rPr>
        <w:t>d</w:t>
      </w:r>
      <w:r w:rsidRPr="000F2DE3">
        <w:rPr>
          <w:sz w:val="20"/>
          <w:lang w:eastAsia="en-US"/>
        </w:rPr>
        <w:t>éveloppement</w:t>
      </w:r>
      <w:r w:rsidR="00792FE3" w:rsidRPr="000F2DE3">
        <w:rPr>
          <w:sz w:val="20"/>
          <w:lang w:eastAsia="en-US"/>
        </w:rPr>
        <w:t xml:space="preserve"> durable (PDD)</w:t>
      </w:r>
      <w:r w:rsidR="00B82334" w:rsidRPr="000F2DE3">
        <w:rPr>
          <w:sz w:val="20"/>
          <w:lang w:eastAsia="en-US"/>
        </w:rPr>
        <w:t xml:space="preserve"> de Territoire et de Secteur</w:t>
      </w:r>
      <w:r w:rsidR="00792FE3" w:rsidRPr="000F2DE3">
        <w:rPr>
          <w:sz w:val="20"/>
          <w:lang w:eastAsia="en-US"/>
        </w:rPr>
        <w:t xml:space="preserve"> </w:t>
      </w:r>
      <w:r w:rsidRPr="000F2DE3">
        <w:rPr>
          <w:sz w:val="20"/>
          <w:lang w:eastAsia="en-US"/>
        </w:rPr>
        <w:t xml:space="preserve"> issus de</w:t>
      </w:r>
      <w:r w:rsidR="00792FE3" w:rsidRPr="000F2DE3">
        <w:rPr>
          <w:sz w:val="20"/>
          <w:lang w:eastAsia="en-US"/>
        </w:rPr>
        <w:t xml:space="preserve"> cette démarche d</w:t>
      </w:r>
      <w:r w:rsidR="00B82334" w:rsidRPr="000F2DE3">
        <w:rPr>
          <w:sz w:val="20"/>
          <w:lang w:eastAsia="en-US"/>
        </w:rPr>
        <w:t>’</w:t>
      </w:r>
      <w:r w:rsidRPr="000F2DE3">
        <w:rPr>
          <w:sz w:val="20"/>
          <w:lang w:eastAsia="en-US"/>
        </w:rPr>
        <w:t>Aménagement du Territoire pourront privilégier l’exploitation forestière communale ou communautaire</w:t>
      </w:r>
      <w:r w:rsidR="00B82334" w:rsidRPr="000F2DE3">
        <w:rPr>
          <w:sz w:val="20"/>
          <w:lang w:eastAsia="en-US"/>
        </w:rPr>
        <w:t xml:space="preserve"> durable</w:t>
      </w:r>
      <w:r w:rsidR="00DB3649" w:rsidRPr="000F2DE3">
        <w:rPr>
          <w:sz w:val="20"/>
          <w:lang w:eastAsia="en-US"/>
        </w:rPr>
        <w:t xml:space="preserve"> et/ou la conservation de la biodiversité</w:t>
      </w:r>
      <w:r w:rsidRPr="000F2DE3">
        <w:rPr>
          <w:sz w:val="20"/>
          <w:lang w:eastAsia="en-US"/>
        </w:rPr>
        <w:t xml:space="preserve">. </w:t>
      </w:r>
      <w:r w:rsidR="00DB3649" w:rsidRPr="000F2DE3">
        <w:rPr>
          <w:sz w:val="20"/>
          <w:lang w:eastAsia="en-US"/>
        </w:rPr>
        <w:t>Leur déclinaison locale sera détaillée dans le</w:t>
      </w:r>
      <w:r w:rsidR="00B74C8B" w:rsidRPr="000F2DE3">
        <w:rPr>
          <w:sz w:val="20"/>
          <w:lang w:eastAsia="en-US"/>
        </w:rPr>
        <w:t xml:space="preserve"> plan</w:t>
      </w:r>
      <w:r w:rsidR="00DB3649" w:rsidRPr="000F2DE3">
        <w:rPr>
          <w:sz w:val="20"/>
          <w:lang w:eastAsia="en-US"/>
        </w:rPr>
        <w:t xml:space="preserve"> simple de gestion (PSG) de chacun des 600 Comités de Développement Local (CLD) visés</w:t>
      </w:r>
      <w:r w:rsidR="00B74C8B" w:rsidRPr="000F2DE3">
        <w:rPr>
          <w:sz w:val="20"/>
          <w:lang w:eastAsia="en-US"/>
        </w:rPr>
        <w:t xml:space="preserve">. Les PSG pourront alors proposer la </w:t>
      </w:r>
      <w:r w:rsidRPr="000F2DE3">
        <w:rPr>
          <w:sz w:val="20"/>
          <w:lang w:eastAsia="en-US"/>
        </w:rPr>
        <w:t xml:space="preserve">création de </w:t>
      </w:r>
      <w:r w:rsidR="00DB3649" w:rsidRPr="000F2DE3">
        <w:rPr>
          <w:b/>
          <w:i/>
          <w:sz w:val="20"/>
          <w:lang w:eastAsia="en-US"/>
        </w:rPr>
        <w:t>c</w:t>
      </w:r>
      <w:r w:rsidRPr="000F2DE3">
        <w:rPr>
          <w:b/>
          <w:i/>
          <w:sz w:val="20"/>
          <w:lang w:eastAsia="en-US"/>
        </w:rPr>
        <w:t>oncessions forestière</w:t>
      </w:r>
      <w:r w:rsidR="00E0545A" w:rsidRPr="000F2DE3">
        <w:rPr>
          <w:b/>
          <w:i/>
          <w:sz w:val="20"/>
          <w:lang w:eastAsia="en-US"/>
        </w:rPr>
        <w:t>s</w:t>
      </w:r>
      <w:r w:rsidR="00DB3649" w:rsidRPr="000F2DE3">
        <w:rPr>
          <w:sz w:val="20"/>
          <w:lang w:eastAsia="en-US"/>
        </w:rPr>
        <w:t xml:space="preserve"> </w:t>
      </w:r>
      <w:r w:rsidR="00E0545A" w:rsidRPr="000F2DE3">
        <w:rPr>
          <w:sz w:val="20"/>
          <w:lang w:eastAsia="en-US"/>
        </w:rPr>
        <w:t xml:space="preserve">(d’exploitation </w:t>
      </w:r>
      <w:r w:rsidR="00B74C8B" w:rsidRPr="000F2DE3">
        <w:rPr>
          <w:sz w:val="20"/>
          <w:lang w:eastAsia="en-US"/>
        </w:rPr>
        <w:t>et/ou de conservation</w:t>
      </w:r>
      <w:r w:rsidR="00E0545A" w:rsidRPr="000F2DE3">
        <w:rPr>
          <w:sz w:val="20"/>
          <w:lang w:eastAsia="en-US"/>
        </w:rPr>
        <w:t>)</w:t>
      </w:r>
      <w:r w:rsidR="00881322" w:rsidRPr="000F2DE3">
        <w:t xml:space="preserve"> dans des nouvelles </w:t>
      </w:r>
      <w:r w:rsidR="00881322" w:rsidRPr="000F2DE3">
        <w:rPr>
          <w:b/>
          <w:i/>
          <w:sz w:val="20"/>
          <w:lang w:eastAsia="en-US"/>
        </w:rPr>
        <w:t xml:space="preserve">Forêts de production permanente </w:t>
      </w:r>
      <w:r w:rsidR="00881322" w:rsidRPr="000F2DE3">
        <w:rPr>
          <w:sz w:val="20"/>
          <w:lang w:eastAsia="en-US"/>
        </w:rPr>
        <w:t>telles que définies par le code forestier congolais</w:t>
      </w:r>
      <w:r w:rsidRPr="000F2DE3">
        <w:rPr>
          <w:sz w:val="20"/>
          <w:lang w:eastAsia="en-US"/>
        </w:rPr>
        <w:t>, et le projet aura dans ce cas l’obligation d’accompagner les parties prenantes</w:t>
      </w:r>
      <w:r w:rsidR="00B74C8B" w:rsidRPr="000F2DE3">
        <w:rPr>
          <w:sz w:val="20"/>
          <w:lang w:eastAsia="en-US"/>
        </w:rPr>
        <w:t xml:space="preserve"> (Communautés ou Entités Territoriales Décentralisées)</w:t>
      </w:r>
      <w:r w:rsidRPr="000F2DE3">
        <w:rPr>
          <w:sz w:val="20"/>
          <w:lang w:eastAsia="en-US"/>
        </w:rPr>
        <w:t xml:space="preserve"> dans </w:t>
      </w:r>
      <w:r w:rsidR="00E0545A" w:rsidRPr="000F2DE3">
        <w:rPr>
          <w:sz w:val="20"/>
          <w:lang w:eastAsia="en-US"/>
        </w:rPr>
        <w:t>l’aménagement</w:t>
      </w:r>
      <w:r w:rsidRPr="000F2DE3">
        <w:rPr>
          <w:sz w:val="20"/>
          <w:lang w:eastAsia="en-US"/>
        </w:rPr>
        <w:t xml:space="preserve"> de ces concessions, par des formations et des appuis divers que les </w:t>
      </w:r>
      <w:r w:rsidRPr="000F2DE3">
        <w:rPr>
          <w:sz w:val="20"/>
          <w:lang w:eastAsia="en-US"/>
        </w:rPr>
        <w:lastRenderedPageBreak/>
        <w:t>Paiements pour Services Environnementaux pourront prendre en charge</w:t>
      </w:r>
      <w:r w:rsidR="00B74C8B" w:rsidRPr="000F2DE3">
        <w:rPr>
          <w:sz w:val="20"/>
          <w:lang w:eastAsia="en-US"/>
        </w:rPr>
        <w:t xml:space="preserve">. </w:t>
      </w:r>
      <w:r w:rsidRPr="000F2DE3">
        <w:rPr>
          <w:sz w:val="20"/>
          <w:lang w:eastAsia="en-US"/>
        </w:rPr>
        <w:t>Les modalités de ce type d’activité seront définies en collaboration étroite avec le projet sectoriel « Gestion Durable des Forêts »</w:t>
      </w:r>
      <w:r w:rsidR="00E057A3" w:rsidRPr="000F2DE3">
        <w:rPr>
          <w:sz w:val="20"/>
          <w:lang w:eastAsia="en-US"/>
        </w:rPr>
        <w:t xml:space="preserve"> (GD</w:t>
      </w:r>
      <w:r w:rsidR="000F1B3A" w:rsidRPr="000F2DE3">
        <w:rPr>
          <w:sz w:val="20"/>
          <w:lang w:eastAsia="en-US"/>
        </w:rPr>
        <w:t>F)</w:t>
      </w:r>
      <w:r w:rsidRPr="000F2DE3">
        <w:rPr>
          <w:sz w:val="20"/>
          <w:lang w:eastAsia="en-US"/>
        </w:rPr>
        <w:t xml:space="preserve">. </w:t>
      </w:r>
    </w:p>
    <w:p w:rsidR="009F1828" w:rsidRPr="000F2DE3" w:rsidRDefault="009F1828" w:rsidP="00034C2E">
      <w:pPr>
        <w:jc w:val="both"/>
        <w:rPr>
          <w:sz w:val="20"/>
          <w:lang w:eastAsia="en-US"/>
        </w:rPr>
      </w:pPr>
      <w:r w:rsidRPr="000F2DE3">
        <w:rPr>
          <w:sz w:val="20"/>
          <w:lang w:eastAsia="en-US"/>
        </w:rPr>
        <w:t xml:space="preserve">D’autres activités, définies en partenariat étroit avec le </w:t>
      </w:r>
      <w:r w:rsidR="00B74C8B" w:rsidRPr="000F2DE3">
        <w:rPr>
          <w:sz w:val="20"/>
          <w:lang w:eastAsia="en-US"/>
        </w:rPr>
        <w:t xml:space="preserve">projet </w:t>
      </w:r>
      <w:r w:rsidR="00E057A3" w:rsidRPr="000F2DE3">
        <w:rPr>
          <w:sz w:val="20"/>
          <w:lang w:eastAsia="en-US"/>
        </w:rPr>
        <w:t>GD</w:t>
      </w:r>
      <w:r w:rsidR="000F1B3A" w:rsidRPr="000F2DE3">
        <w:rPr>
          <w:sz w:val="20"/>
          <w:lang w:eastAsia="en-US"/>
        </w:rPr>
        <w:t>F</w:t>
      </w:r>
      <w:r w:rsidR="00023389" w:rsidRPr="000F2DE3">
        <w:rPr>
          <w:sz w:val="20"/>
          <w:lang w:eastAsia="en-US"/>
        </w:rPr>
        <w:t xml:space="preserve"> et financées par le système de </w:t>
      </w:r>
      <w:r w:rsidRPr="000F2DE3">
        <w:rPr>
          <w:sz w:val="20"/>
          <w:lang w:eastAsia="en-US"/>
        </w:rPr>
        <w:t>PSE</w:t>
      </w:r>
      <w:r w:rsidR="00023389" w:rsidRPr="000F2DE3">
        <w:rPr>
          <w:sz w:val="20"/>
          <w:lang w:eastAsia="en-US"/>
        </w:rPr>
        <w:t xml:space="preserve"> mis en place par le PIREDD Mai-Ndombe</w:t>
      </w:r>
      <w:r w:rsidRPr="000F2DE3">
        <w:rPr>
          <w:sz w:val="20"/>
          <w:lang w:eastAsia="en-US"/>
        </w:rPr>
        <w:t xml:space="preserve"> pourront </w:t>
      </w:r>
      <w:r w:rsidR="00023389" w:rsidRPr="000F2DE3">
        <w:rPr>
          <w:sz w:val="20"/>
          <w:lang w:eastAsia="en-US"/>
        </w:rPr>
        <w:t>traiter</w:t>
      </w:r>
      <w:r w:rsidRPr="000F2DE3">
        <w:rPr>
          <w:sz w:val="20"/>
          <w:lang w:eastAsia="en-US"/>
        </w:rPr>
        <w:t xml:space="preserve"> de</w:t>
      </w:r>
      <w:r w:rsidR="00E0545A" w:rsidRPr="000F2DE3">
        <w:rPr>
          <w:sz w:val="20"/>
          <w:lang w:eastAsia="en-US"/>
        </w:rPr>
        <w:t>s permis de coupe a</w:t>
      </w:r>
      <w:r w:rsidR="00066D53" w:rsidRPr="000F2DE3">
        <w:rPr>
          <w:sz w:val="20"/>
          <w:lang w:eastAsia="en-US"/>
        </w:rPr>
        <w:t>rtisanale</w:t>
      </w:r>
      <w:r w:rsidR="00E0545A" w:rsidRPr="000F2DE3">
        <w:rPr>
          <w:sz w:val="20"/>
          <w:lang w:eastAsia="en-US"/>
        </w:rPr>
        <w:t xml:space="preserve"> ou</w:t>
      </w:r>
      <w:r w:rsidR="00066D53" w:rsidRPr="000F2DE3">
        <w:rPr>
          <w:sz w:val="20"/>
          <w:lang w:eastAsia="en-US"/>
        </w:rPr>
        <w:t xml:space="preserve"> des</w:t>
      </w:r>
      <w:r w:rsidR="00066D53" w:rsidRPr="000F2DE3">
        <w:t xml:space="preserve"> </w:t>
      </w:r>
      <w:r w:rsidR="00E0545A" w:rsidRPr="000F2DE3">
        <w:rPr>
          <w:sz w:val="20"/>
          <w:lang w:eastAsia="en-US"/>
        </w:rPr>
        <w:t>p</w:t>
      </w:r>
      <w:r w:rsidR="00066D53" w:rsidRPr="000F2DE3">
        <w:rPr>
          <w:sz w:val="20"/>
          <w:lang w:eastAsia="en-US"/>
        </w:rPr>
        <w:t>ermis de coupe de bois de feu et de carbonisation dans les</w:t>
      </w:r>
      <w:r w:rsidR="00E0545A" w:rsidRPr="000F2DE3">
        <w:rPr>
          <w:sz w:val="20"/>
          <w:lang w:eastAsia="en-US"/>
        </w:rPr>
        <w:t xml:space="preserve"> </w:t>
      </w:r>
      <w:r w:rsidR="00E0545A" w:rsidRPr="000F2DE3">
        <w:rPr>
          <w:b/>
          <w:i/>
          <w:sz w:val="20"/>
          <w:lang w:eastAsia="en-US"/>
        </w:rPr>
        <w:t>Forêts Protégées</w:t>
      </w:r>
      <w:r w:rsidR="00E0545A" w:rsidRPr="000F2DE3">
        <w:rPr>
          <w:sz w:val="20"/>
          <w:lang w:eastAsia="en-US"/>
        </w:rPr>
        <w:t>, ou des permis ordinaires de coupe dans les</w:t>
      </w:r>
      <w:r w:rsidR="00E0545A" w:rsidRPr="000F2DE3">
        <w:rPr>
          <w:b/>
          <w:i/>
          <w:sz w:val="20"/>
          <w:lang w:eastAsia="en-US"/>
        </w:rPr>
        <w:t xml:space="preserve"> forêts de production permanente</w:t>
      </w:r>
      <w:r w:rsidR="00E0545A" w:rsidRPr="000F2DE3">
        <w:rPr>
          <w:sz w:val="20"/>
          <w:lang w:eastAsia="en-US"/>
        </w:rPr>
        <w:t xml:space="preserve">, et plus particulièrement du rôle possible des artisanaux dans </w:t>
      </w:r>
      <w:r w:rsidR="00231661" w:rsidRPr="000F2DE3">
        <w:rPr>
          <w:sz w:val="20"/>
          <w:lang w:eastAsia="en-US"/>
        </w:rPr>
        <w:t>l’exploitation</w:t>
      </w:r>
      <w:r w:rsidR="00E0545A" w:rsidRPr="000F2DE3">
        <w:rPr>
          <w:sz w:val="20"/>
          <w:lang w:eastAsia="en-US"/>
        </w:rPr>
        <w:t xml:space="preserve"> des </w:t>
      </w:r>
      <w:r w:rsidR="00E0545A" w:rsidRPr="000F2DE3">
        <w:rPr>
          <w:b/>
          <w:i/>
          <w:sz w:val="20"/>
          <w:lang w:eastAsia="en-US"/>
        </w:rPr>
        <w:t>Concessions Forestières attribuées aux Communautés Locales</w:t>
      </w:r>
      <w:r w:rsidR="00231661" w:rsidRPr="000F2DE3">
        <w:rPr>
          <w:sz w:val="20"/>
          <w:lang w:eastAsia="en-US"/>
        </w:rPr>
        <w:t xml:space="preserve"> (voir ci-dessous les définitions du Code Forestier congolais).</w:t>
      </w:r>
    </w:p>
    <w:p w:rsidR="001A235D" w:rsidRPr="000F2DE3" w:rsidRDefault="00231661" w:rsidP="00A127B0">
      <w:pPr>
        <w:jc w:val="both"/>
        <w:rPr>
          <w:sz w:val="20"/>
          <w:lang w:eastAsia="en-US"/>
        </w:rPr>
      </w:pPr>
      <w:r w:rsidRPr="000F2DE3">
        <w:rPr>
          <w:sz w:val="20"/>
          <w:lang w:eastAsia="en-US"/>
        </w:rPr>
        <w:t>Il</w:t>
      </w:r>
      <w:r w:rsidR="00DE0D72" w:rsidRPr="000F2DE3">
        <w:rPr>
          <w:sz w:val="20"/>
          <w:lang w:eastAsia="en-US"/>
        </w:rPr>
        <w:t xml:space="preserve"> revien</w:t>
      </w:r>
      <w:r w:rsidRPr="000F2DE3">
        <w:rPr>
          <w:sz w:val="20"/>
          <w:lang w:eastAsia="en-US"/>
        </w:rPr>
        <w:t>dra aussi</w:t>
      </w:r>
      <w:r w:rsidR="00DE0D72" w:rsidRPr="000F2DE3">
        <w:rPr>
          <w:sz w:val="20"/>
          <w:lang w:eastAsia="en-US"/>
        </w:rPr>
        <w:t xml:space="preserve"> au présent projet de renforcer les Services Techniques de l’Environnement (</w:t>
      </w:r>
      <w:r w:rsidRPr="000F2DE3">
        <w:rPr>
          <w:sz w:val="20"/>
          <w:lang w:eastAsia="en-US"/>
        </w:rPr>
        <w:t xml:space="preserve">le projet sectoriel « Gestion Durable des Forêts » </w:t>
      </w:r>
      <w:r w:rsidR="00DE0D72" w:rsidRPr="000F2DE3">
        <w:rPr>
          <w:sz w:val="20"/>
          <w:lang w:eastAsia="en-US"/>
        </w:rPr>
        <w:t>y contribuera également et fournira des appuis de formation et de définition détaillée des tâches). Le budget du présent projet prévoit en effet de motiver les agents de terrain du Ministère de l’Environnement, au nombre de 5 par territoire durant toute la durée du projet. Il les équipera</w:t>
      </w:r>
      <w:r w:rsidR="00881322" w:rsidRPr="000F2DE3">
        <w:rPr>
          <w:sz w:val="20"/>
          <w:lang w:eastAsia="en-US"/>
        </w:rPr>
        <w:t xml:space="preserve"> et</w:t>
      </w:r>
      <w:r w:rsidR="00DE0D72" w:rsidRPr="000F2DE3">
        <w:rPr>
          <w:sz w:val="20"/>
          <w:lang w:eastAsia="en-US"/>
        </w:rPr>
        <w:t xml:space="preserve"> les formera. </w:t>
      </w:r>
      <w:r w:rsidR="00A127B0" w:rsidRPr="000F2DE3">
        <w:rPr>
          <w:sz w:val="20"/>
          <w:lang w:eastAsia="en-US"/>
        </w:rPr>
        <w:t xml:space="preserve"> Il appuiera en outre le développement</w:t>
      </w:r>
      <w:r w:rsidR="000F1B3A" w:rsidRPr="000F2DE3">
        <w:rPr>
          <w:sz w:val="20"/>
          <w:lang w:eastAsia="en-US"/>
        </w:rPr>
        <w:t xml:space="preserve"> de leurs</w:t>
      </w:r>
      <w:r w:rsidR="00A127B0" w:rsidRPr="000F2DE3">
        <w:rPr>
          <w:sz w:val="20"/>
          <w:lang w:eastAsia="en-US"/>
        </w:rPr>
        <w:t xml:space="preserve"> </w:t>
      </w:r>
      <w:r w:rsidR="00DE0D72" w:rsidRPr="000F2DE3">
        <w:rPr>
          <w:sz w:val="20"/>
          <w:lang w:eastAsia="en-US"/>
        </w:rPr>
        <w:t xml:space="preserve"> programmes de travail</w:t>
      </w:r>
      <w:r w:rsidR="00A127B0" w:rsidRPr="000F2DE3">
        <w:rPr>
          <w:sz w:val="20"/>
          <w:lang w:eastAsia="en-US"/>
        </w:rPr>
        <w:t>, même s’ils</w:t>
      </w:r>
      <w:r w:rsidR="00DE0D72" w:rsidRPr="000F2DE3">
        <w:rPr>
          <w:sz w:val="20"/>
          <w:lang w:eastAsia="en-US"/>
        </w:rPr>
        <w:t xml:space="preserve"> relèvent de la responsabilité régalienne de l’état, </w:t>
      </w:r>
      <w:r w:rsidR="00A127B0" w:rsidRPr="000F2DE3">
        <w:rPr>
          <w:sz w:val="20"/>
          <w:lang w:eastAsia="en-US"/>
        </w:rPr>
        <w:t>notamment sur : (i)</w:t>
      </w:r>
      <w:r w:rsidR="00881322" w:rsidRPr="000F2DE3">
        <w:rPr>
          <w:sz w:val="20"/>
          <w:lang w:eastAsia="en-US"/>
        </w:rPr>
        <w:t xml:space="preserve"> le</w:t>
      </w:r>
      <w:r w:rsidR="00DE0D72" w:rsidRPr="000F2DE3">
        <w:rPr>
          <w:sz w:val="20"/>
          <w:lang w:eastAsia="en-US"/>
        </w:rPr>
        <w:t xml:space="preserve"> contrôle</w:t>
      </w:r>
      <w:r w:rsidR="00881322" w:rsidRPr="000F2DE3">
        <w:rPr>
          <w:sz w:val="20"/>
          <w:lang w:eastAsia="en-US"/>
        </w:rPr>
        <w:t xml:space="preserve"> </w:t>
      </w:r>
      <w:r w:rsidR="00A127B0" w:rsidRPr="000F2DE3">
        <w:rPr>
          <w:sz w:val="20"/>
          <w:lang w:eastAsia="en-US"/>
        </w:rPr>
        <w:t xml:space="preserve">de la bonne exécution des coupes de bois conformément aux permis délivrés </w:t>
      </w:r>
      <w:r w:rsidR="00881322" w:rsidRPr="000F2DE3">
        <w:rPr>
          <w:sz w:val="20"/>
          <w:lang w:eastAsia="en-US"/>
        </w:rPr>
        <w:t>(</w:t>
      </w:r>
      <w:r w:rsidR="00A127B0" w:rsidRPr="000F2DE3">
        <w:rPr>
          <w:sz w:val="20"/>
          <w:lang w:eastAsia="en-US"/>
        </w:rPr>
        <w:t xml:space="preserve">permis ordinaire de coupe, permis de coupe de bois de feu et de carbonisation, permis de coupe artisanale) </w:t>
      </w:r>
      <w:r w:rsidR="00881322" w:rsidRPr="000F2DE3">
        <w:rPr>
          <w:sz w:val="20"/>
          <w:lang w:eastAsia="en-US"/>
        </w:rPr>
        <w:t>et</w:t>
      </w:r>
      <w:r w:rsidR="00881322" w:rsidRPr="000F2DE3">
        <w:t xml:space="preserve"> </w:t>
      </w:r>
      <w:r w:rsidR="00881322" w:rsidRPr="000F2DE3">
        <w:rPr>
          <w:sz w:val="20"/>
          <w:lang w:eastAsia="en-US"/>
        </w:rPr>
        <w:t>de la mise en œuvre des cahiers des charges, et</w:t>
      </w:r>
      <w:r w:rsidR="00A127B0" w:rsidRPr="000F2DE3">
        <w:rPr>
          <w:sz w:val="20"/>
          <w:lang w:eastAsia="en-US"/>
        </w:rPr>
        <w:t xml:space="preserve"> (ii)</w:t>
      </w:r>
      <w:r w:rsidR="00881322" w:rsidRPr="000F2DE3">
        <w:rPr>
          <w:sz w:val="20"/>
          <w:lang w:eastAsia="en-US"/>
        </w:rPr>
        <w:t xml:space="preserve"> la vérification</w:t>
      </w:r>
      <w:r w:rsidR="00A127B0" w:rsidRPr="000F2DE3">
        <w:rPr>
          <w:sz w:val="20"/>
          <w:lang w:eastAsia="en-US"/>
        </w:rPr>
        <w:t xml:space="preserve"> en amont</w:t>
      </w:r>
      <w:r w:rsidR="00881322" w:rsidRPr="000F2DE3">
        <w:rPr>
          <w:sz w:val="20"/>
          <w:lang w:eastAsia="en-US"/>
        </w:rPr>
        <w:t xml:space="preserve"> de la conformité des processus d’attribution des permis de coupe</w:t>
      </w:r>
      <w:r w:rsidR="00A127B0" w:rsidRPr="000F2DE3">
        <w:rPr>
          <w:sz w:val="20"/>
          <w:lang w:eastAsia="en-US"/>
        </w:rPr>
        <w:t xml:space="preserve"> quels qu’ils soient</w:t>
      </w:r>
      <w:r w:rsidR="00881322" w:rsidRPr="000F2DE3">
        <w:rPr>
          <w:sz w:val="20"/>
          <w:lang w:eastAsia="en-US"/>
        </w:rPr>
        <w:t>.</w:t>
      </w:r>
      <w:r w:rsidR="000F1B3A" w:rsidRPr="000F2DE3">
        <w:rPr>
          <w:sz w:val="20"/>
          <w:lang w:eastAsia="en-US"/>
        </w:rPr>
        <w:t xml:space="preserve"> Cet appui sera discuté avec la Direction du Contrôle et de la Vérification Interne (DCVI) du MECNDD pour s’assurer de la cohérence des actions et de leur efficacité. Un soutien financier à la DCVI</w:t>
      </w:r>
      <w:r w:rsidR="00EB311D" w:rsidRPr="000F2DE3">
        <w:rPr>
          <w:sz w:val="20"/>
          <w:lang w:eastAsia="en-US"/>
        </w:rPr>
        <w:t xml:space="preserve"> pour l’exécution de ses missions</w:t>
      </w:r>
      <w:r w:rsidR="000F1B3A" w:rsidRPr="000F2DE3">
        <w:rPr>
          <w:sz w:val="20"/>
          <w:lang w:eastAsia="en-US"/>
        </w:rPr>
        <w:t xml:space="preserve"> n’est pas à exclure</w:t>
      </w:r>
      <w:r w:rsidR="00EB311D" w:rsidRPr="000F2DE3">
        <w:rPr>
          <w:sz w:val="20"/>
          <w:lang w:eastAsia="en-US"/>
        </w:rPr>
        <w:t>. I</w:t>
      </w:r>
      <w:r w:rsidR="00E057A3" w:rsidRPr="000F2DE3">
        <w:rPr>
          <w:sz w:val="20"/>
          <w:lang w:eastAsia="en-US"/>
        </w:rPr>
        <w:t>l sera discuté avec le projet GD</w:t>
      </w:r>
      <w:r w:rsidR="00EB311D" w:rsidRPr="000F2DE3">
        <w:rPr>
          <w:sz w:val="20"/>
          <w:lang w:eastAsia="en-US"/>
        </w:rPr>
        <w:t>F.</w:t>
      </w:r>
      <w:r w:rsidR="000F1B3A" w:rsidRPr="000F2DE3">
        <w:rPr>
          <w:sz w:val="20"/>
          <w:lang w:eastAsia="en-US"/>
        </w:rPr>
        <w:t xml:space="preserve"> </w:t>
      </w:r>
      <w:r w:rsidR="00DE0D72" w:rsidRPr="000F2DE3">
        <w:rPr>
          <w:sz w:val="20"/>
          <w:lang w:eastAsia="en-US"/>
        </w:rPr>
        <w:t xml:space="preserve"> </w:t>
      </w:r>
      <w:r w:rsidR="00A127B0" w:rsidRPr="000F2DE3">
        <w:rPr>
          <w:sz w:val="20"/>
          <w:lang w:eastAsia="en-US"/>
        </w:rPr>
        <w:t>Une attention particulière se portera sur les permis de coupe de bois de feu et de carbonisation avec une mobilisation accrue du Ministère de l’Environnement</w:t>
      </w:r>
      <w:r w:rsidR="00415D57" w:rsidRPr="000F2DE3">
        <w:rPr>
          <w:sz w:val="20"/>
          <w:lang w:eastAsia="en-US"/>
        </w:rPr>
        <w:t xml:space="preserve"> sur ce type de coupes</w:t>
      </w:r>
      <w:r w:rsidR="00A127B0" w:rsidRPr="000F2DE3">
        <w:rPr>
          <w:sz w:val="20"/>
          <w:lang w:eastAsia="en-US"/>
        </w:rPr>
        <w:t xml:space="preserve">, </w:t>
      </w:r>
      <w:r w:rsidR="00415D57" w:rsidRPr="000F2DE3">
        <w:rPr>
          <w:sz w:val="20"/>
          <w:lang w:eastAsia="en-US"/>
        </w:rPr>
        <w:t>qui représente aujourd’hui dans</w:t>
      </w:r>
      <w:r w:rsidR="00A127B0" w:rsidRPr="000F2DE3">
        <w:rPr>
          <w:sz w:val="20"/>
          <w:lang w:eastAsia="en-US"/>
        </w:rPr>
        <w:t xml:space="preserve"> le District du Mai-</w:t>
      </w:r>
      <w:r w:rsidR="00CB72BA" w:rsidRPr="000F2DE3">
        <w:rPr>
          <w:sz w:val="20"/>
          <w:lang w:eastAsia="en-US"/>
        </w:rPr>
        <w:t>Ndombe</w:t>
      </w:r>
      <w:r w:rsidR="00A127B0" w:rsidRPr="000F2DE3">
        <w:rPr>
          <w:sz w:val="20"/>
          <w:lang w:eastAsia="en-US"/>
        </w:rPr>
        <w:t xml:space="preserve"> </w:t>
      </w:r>
      <w:r w:rsidR="00415D57" w:rsidRPr="000F2DE3">
        <w:rPr>
          <w:sz w:val="20"/>
          <w:lang w:eastAsia="en-US"/>
        </w:rPr>
        <w:t>un moteur majeur de la déforestation.</w:t>
      </w:r>
      <w:r w:rsidR="000F1B3A" w:rsidRPr="000F2DE3">
        <w:rPr>
          <w:sz w:val="20"/>
          <w:lang w:eastAsia="en-US"/>
        </w:rPr>
        <w:t xml:space="preserve"> </w:t>
      </w:r>
    </w:p>
    <w:p w:rsidR="001A235D" w:rsidRPr="00C50810" w:rsidRDefault="001A235D">
      <w:pPr>
        <w:spacing w:after="160" w:line="259" w:lineRule="auto"/>
        <w:rPr>
          <w:sz w:val="20"/>
          <w:highlight w:val="yellow"/>
          <w:lang w:eastAsia="en-US"/>
        </w:rPr>
      </w:pPr>
      <w:r w:rsidRPr="00C50810">
        <w:rPr>
          <w:sz w:val="20"/>
          <w:highlight w:val="yellow"/>
          <w:lang w:eastAsia="en-US"/>
        </w:rPr>
        <w:br w:type="page"/>
      </w:r>
    </w:p>
    <w:p w:rsidR="001A235D" w:rsidRPr="000F2DE3" w:rsidRDefault="001A235D" w:rsidP="00C50810">
      <w:pPr>
        <w:spacing w:after="0"/>
        <w:contextualSpacing/>
        <w:jc w:val="both"/>
        <w:rPr>
          <w:b/>
          <w:sz w:val="20"/>
          <w:lang w:eastAsia="en-US"/>
        </w:rPr>
      </w:pPr>
      <w:r w:rsidRPr="000F2DE3">
        <w:rPr>
          <w:b/>
          <w:sz w:val="20"/>
          <w:lang w:eastAsia="en-US"/>
        </w:rPr>
        <w:lastRenderedPageBreak/>
        <w:t>Rappel du cadre légal et réglementaire régissant l’exploitation des forêts congolaises </w:t>
      </w:r>
    </w:p>
    <w:p w:rsidR="00066D53" w:rsidRPr="000F2DE3" w:rsidRDefault="00066D53" w:rsidP="00C50810">
      <w:pPr>
        <w:spacing w:after="0"/>
        <w:contextualSpacing/>
        <w:jc w:val="both"/>
        <w:rPr>
          <w:sz w:val="20"/>
          <w:lang w:eastAsia="en-US"/>
        </w:rPr>
      </w:pPr>
      <w:r w:rsidRPr="000F2DE3">
        <w:rPr>
          <w:sz w:val="20"/>
          <w:lang w:eastAsia="en-US"/>
        </w:rPr>
        <w:t>Le code forestier congolais distingue trois types de forêts :</w:t>
      </w:r>
    </w:p>
    <w:p w:rsidR="00066D53" w:rsidRPr="000F2DE3" w:rsidRDefault="00066D53" w:rsidP="002E3A02">
      <w:pPr>
        <w:pStyle w:val="ListParagraph"/>
        <w:numPr>
          <w:ilvl w:val="0"/>
          <w:numId w:val="74"/>
        </w:numPr>
        <w:spacing w:line="259" w:lineRule="auto"/>
        <w:contextualSpacing/>
        <w:jc w:val="both"/>
        <w:rPr>
          <w:rFonts w:asciiTheme="minorHAnsi" w:eastAsiaTheme="minorEastAsia" w:hAnsiTheme="minorHAnsi" w:cstheme="minorBidi"/>
          <w:sz w:val="20"/>
          <w:szCs w:val="22"/>
          <w:lang w:eastAsia="en-US"/>
        </w:rPr>
      </w:pPr>
      <w:r w:rsidRPr="000F2DE3">
        <w:rPr>
          <w:rFonts w:asciiTheme="minorHAnsi" w:eastAsiaTheme="minorEastAsia" w:hAnsiTheme="minorHAnsi" w:cstheme="minorBidi"/>
          <w:sz w:val="20"/>
          <w:szCs w:val="22"/>
          <w:lang w:eastAsia="en-US"/>
        </w:rPr>
        <w:t>Forêts classées</w:t>
      </w:r>
    </w:p>
    <w:p w:rsidR="00066D53" w:rsidRPr="000F2DE3" w:rsidRDefault="00066D53" w:rsidP="002E3A02">
      <w:pPr>
        <w:pStyle w:val="ListParagraph"/>
        <w:numPr>
          <w:ilvl w:val="0"/>
          <w:numId w:val="74"/>
        </w:numPr>
        <w:spacing w:after="160" w:line="259" w:lineRule="auto"/>
        <w:contextualSpacing/>
        <w:jc w:val="both"/>
        <w:rPr>
          <w:rFonts w:asciiTheme="minorHAnsi" w:eastAsiaTheme="minorEastAsia" w:hAnsiTheme="minorHAnsi" w:cstheme="minorBidi"/>
          <w:sz w:val="20"/>
          <w:szCs w:val="22"/>
          <w:lang w:eastAsia="en-US"/>
        </w:rPr>
      </w:pPr>
      <w:r w:rsidRPr="000F2DE3">
        <w:rPr>
          <w:rFonts w:asciiTheme="minorHAnsi" w:eastAsiaTheme="minorEastAsia" w:hAnsiTheme="minorHAnsi" w:cstheme="minorBidi"/>
          <w:sz w:val="20"/>
          <w:szCs w:val="22"/>
          <w:lang w:eastAsia="en-US"/>
        </w:rPr>
        <w:t>Forêts protégées,</w:t>
      </w:r>
    </w:p>
    <w:p w:rsidR="00066D53" w:rsidRPr="000F2DE3" w:rsidRDefault="00066D53" w:rsidP="002E3A02">
      <w:pPr>
        <w:pStyle w:val="ListParagraph"/>
        <w:numPr>
          <w:ilvl w:val="0"/>
          <w:numId w:val="74"/>
        </w:numPr>
        <w:spacing w:line="259" w:lineRule="auto"/>
        <w:contextualSpacing/>
        <w:jc w:val="both"/>
        <w:rPr>
          <w:rFonts w:asciiTheme="minorHAnsi" w:eastAsiaTheme="minorEastAsia" w:hAnsiTheme="minorHAnsi" w:cstheme="minorBidi"/>
          <w:sz w:val="20"/>
          <w:szCs w:val="22"/>
          <w:lang w:eastAsia="en-US"/>
        </w:rPr>
      </w:pPr>
      <w:r w:rsidRPr="000F2DE3">
        <w:rPr>
          <w:rFonts w:asciiTheme="minorHAnsi" w:eastAsiaTheme="minorEastAsia" w:hAnsiTheme="minorHAnsi" w:cstheme="minorBidi"/>
          <w:sz w:val="20"/>
          <w:szCs w:val="22"/>
          <w:lang w:eastAsia="en-US"/>
        </w:rPr>
        <w:t>Forêts de production permanente</w:t>
      </w:r>
    </w:p>
    <w:p w:rsidR="00066D53" w:rsidRPr="000F2DE3" w:rsidRDefault="00066D53" w:rsidP="00C50810">
      <w:pPr>
        <w:spacing w:after="0"/>
        <w:contextualSpacing/>
        <w:jc w:val="both"/>
        <w:rPr>
          <w:sz w:val="20"/>
          <w:lang w:eastAsia="en-US"/>
        </w:rPr>
      </w:pPr>
      <w:r w:rsidRPr="000F2DE3">
        <w:rPr>
          <w:sz w:val="20"/>
          <w:lang w:eastAsia="en-US"/>
        </w:rPr>
        <w:t>Si les forêts classées et protégées peuvent être grevées de droits d’usage divers et variés à des fins principalement domestiques, seules les forêts protégées et de production permanente peuvent faire l’objet de coupes de bois à des fins commerciales. Ces dernières sont autorisées par trois types distincts de permis de coupe :</w:t>
      </w:r>
    </w:p>
    <w:p w:rsidR="00066D53" w:rsidRPr="000F2DE3" w:rsidRDefault="00066D53" w:rsidP="002E3A02">
      <w:pPr>
        <w:pStyle w:val="ListParagraph"/>
        <w:numPr>
          <w:ilvl w:val="0"/>
          <w:numId w:val="74"/>
        </w:numPr>
        <w:spacing w:line="259" w:lineRule="auto"/>
        <w:contextualSpacing/>
        <w:jc w:val="both"/>
        <w:rPr>
          <w:rFonts w:asciiTheme="minorHAnsi" w:eastAsiaTheme="minorEastAsia" w:hAnsiTheme="minorHAnsi" w:cstheme="minorBidi"/>
          <w:sz w:val="20"/>
          <w:szCs w:val="22"/>
          <w:lang w:eastAsia="en-US"/>
        </w:rPr>
      </w:pPr>
      <w:r w:rsidRPr="000F2DE3">
        <w:rPr>
          <w:rFonts w:asciiTheme="minorHAnsi" w:eastAsiaTheme="minorEastAsia" w:hAnsiTheme="minorHAnsi" w:cstheme="minorBidi"/>
          <w:sz w:val="20"/>
          <w:szCs w:val="22"/>
          <w:lang w:eastAsia="en-US"/>
        </w:rPr>
        <w:t>Permis ordinaire de coupe</w:t>
      </w:r>
    </w:p>
    <w:p w:rsidR="00066D53" w:rsidRPr="000F2DE3" w:rsidRDefault="00066D53" w:rsidP="002E3A02">
      <w:pPr>
        <w:pStyle w:val="ListParagraph"/>
        <w:numPr>
          <w:ilvl w:val="0"/>
          <w:numId w:val="74"/>
        </w:numPr>
        <w:spacing w:line="259" w:lineRule="auto"/>
        <w:contextualSpacing/>
        <w:jc w:val="both"/>
        <w:rPr>
          <w:rFonts w:asciiTheme="minorHAnsi" w:eastAsiaTheme="minorEastAsia" w:hAnsiTheme="minorHAnsi" w:cstheme="minorBidi"/>
          <w:sz w:val="20"/>
          <w:szCs w:val="22"/>
          <w:lang w:eastAsia="en-US"/>
        </w:rPr>
      </w:pPr>
      <w:r w:rsidRPr="000F2DE3">
        <w:rPr>
          <w:rFonts w:asciiTheme="minorHAnsi" w:eastAsiaTheme="minorEastAsia" w:hAnsiTheme="minorHAnsi" w:cstheme="minorBidi"/>
          <w:sz w:val="20"/>
          <w:szCs w:val="22"/>
          <w:lang w:eastAsia="en-US"/>
        </w:rPr>
        <w:t>Permis de coupe de bois de feu et de carbonisation</w:t>
      </w:r>
    </w:p>
    <w:p w:rsidR="00066D53" w:rsidRPr="000F2DE3" w:rsidRDefault="00066D53" w:rsidP="002E3A02">
      <w:pPr>
        <w:pStyle w:val="ListParagraph"/>
        <w:numPr>
          <w:ilvl w:val="0"/>
          <w:numId w:val="74"/>
        </w:numPr>
        <w:spacing w:line="259" w:lineRule="auto"/>
        <w:contextualSpacing/>
        <w:jc w:val="both"/>
        <w:rPr>
          <w:rFonts w:asciiTheme="minorHAnsi" w:eastAsiaTheme="minorEastAsia" w:hAnsiTheme="minorHAnsi" w:cstheme="minorBidi"/>
          <w:sz w:val="20"/>
          <w:szCs w:val="22"/>
          <w:lang w:eastAsia="en-US"/>
        </w:rPr>
      </w:pPr>
      <w:r w:rsidRPr="000F2DE3">
        <w:rPr>
          <w:rFonts w:asciiTheme="minorHAnsi" w:eastAsiaTheme="minorEastAsia" w:hAnsiTheme="minorHAnsi" w:cstheme="minorBidi"/>
          <w:sz w:val="20"/>
          <w:szCs w:val="22"/>
          <w:lang w:eastAsia="en-US"/>
        </w:rPr>
        <w:t>Permis de coupe artisanale</w:t>
      </w:r>
    </w:p>
    <w:p w:rsidR="00231661" w:rsidRPr="000F2DE3" w:rsidRDefault="00231661" w:rsidP="00C50810">
      <w:pPr>
        <w:spacing w:line="259" w:lineRule="auto"/>
        <w:contextualSpacing/>
        <w:jc w:val="both"/>
        <w:rPr>
          <w:sz w:val="20"/>
          <w:lang w:eastAsia="en-US"/>
        </w:rPr>
      </w:pPr>
    </w:p>
    <w:tbl>
      <w:tblPr>
        <w:tblStyle w:val="TableGrid"/>
        <w:tblW w:w="11070" w:type="dxa"/>
        <w:jc w:val="center"/>
        <w:tblLook w:val="04A0" w:firstRow="1" w:lastRow="0" w:firstColumn="1" w:lastColumn="0" w:noHBand="0" w:noVBand="1"/>
      </w:tblPr>
      <w:tblGrid>
        <w:gridCol w:w="1165"/>
        <w:gridCol w:w="4050"/>
        <w:gridCol w:w="3330"/>
        <w:gridCol w:w="2525"/>
      </w:tblGrid>
      <w:tr w:rsidR="00066D53" w:rsidRPr="000F2DE3" w:rsidTr="00C50810">
        <w:trPr>
          <w:jc w:val="center"/>
        </w:trPr>
        <w:tc>
          <w:tcPr>
            <w:tcW w:w="11070" w:type="dxa"/>
            <w:gridSpan w:val="4"/>
            <w:shd w:val="clear" w:color="auto" w:fill="D9D9D9" w:themeFill="background1" w:themeFillShade="D9"/>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Loi N°011-2002 du 29 août 2002 portant Code Forestier (CF)</w:t>
            </w:r>
          </w:p>
        </w:tc>
      </w:tr>
      <w:tr w:rsidR="00066D53" w:rsidRPr="000F2DE3" w:rsidTr="00C50810">
        <w:trPr>
          <w:jc w:val="center"/>
        </w:trPr>
        <w:tc>
          <w:tcPr>
            <w:tcW w:w="1165" w:type="dxa"/>
            <w:shd w:val="clear" w:color="auto" w:fill="F2F2F2" w:themeFill="background1" w:themeFillShade="F2"/>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Forêts classées</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Art.10 à 19</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du CF</w:t>
            </w:r>
          </w:p>
        </w:tc>
        <w:tc>
          <w:tcPr>
            <w:tcW w:w="4050" w:type="dxa"/>
            <w:shd w:val="clear" w:color="auto" w:fill="F2F2F2" w:themeFill="background1" w:themeFillShade="F2"/>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Forêts protégées</w:t>
            </w:r>
          </w:p>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sz w:val="16"/>
                <w:szCs w:val="16"/>
              </w:rPr>
              <w:t>Art.10 et 20 à 22 du CF</w:t>
            </w:r>
          </w:p>
        </w:tc>
        <w:tc>
          <w:tcPr>
            <w:tcW w:w="5855" w:type="dxa"/>
            <w:gridSpan w:val="2"/>
            <w:shd w:val="clear" w:color="auto" w:fill="F2F2F2" w:themeFill="background1" w:themeFillShade="F2"/>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Forêts de production permanente</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Art.10 et 23 du CF</w:t>
            </w:r>
          </w:p>
        </w:tc>
      </w:tr>
      <w:tr w:rsidR="00066D53" w:rsidRPr="000F2DE3" w:rsidTr="00C50810">
        <w:trPr>
          <w:trHeight w:val="890"/>
          <w:jc w:val="center"/>
        </w:trPr>
        <w:tc>
          <w:tcPr>
            <w:tcW w:w="1165" w:type="dxa"/>
            <w:vMerge w:val="restart"/>
            <w:vAlign w:val="center"/>
          </w:tcPr>
          <w:p w:rsidR="00066D53" w:rsidRPr="000F2DE3" w:rsidRDefault="00066D53" w:rsidP="00E057A3">
            <w:pPr>
              <w:jc w:val="center"/>
              <w:rPr>
                <w:rFonts w:ascii="Times New Roman" w:hAnsi="Times New Roman" w:cs="Times New Roman"/>
                <w:sz w:val="16"/>
                <w:szCs w:val="16"/>
              </w:rPr>
            </w:pPr>
            <w:r w:rsidRPr="000F2DE3">
              <w:rPr>
                <w:rFonts w:ascii="Times New Roman" w:hAnsi="Times New Roman" w:cs="Times New Roman"/>
                <w:sz w:val="16"/>
                <w:szCs w:val="16"/>
              </w:rPr>
              <w:t>Régime juridique restrictif</w:t>
            </w:r>
          </w:p>
        </w:tc>
        <w:tc>
          <w:tcPr>
            <w:tcW w:w="4050" w:type="dxa"/>
            <w:vMerge w:val="restart"/>
            <w:vAlign w:val="center"/>
          </w:tcPr>
          <w:p w:rsidR="00066D53" w:rsidRPr="000F2DE3" w:rsidRDefault="00066D53" w:rsidP="00E057A3">
            <w:pPr>
              <w:jc w:val="center"/>
              <w:rPr>
                <w:rFonts w:ascii="Times New Roman" w:hAnsi="Times New Roman" w:cs="Times New Roman"/>
                <w:sz w:val="16"/>
                <w:szCs w:val="16"/>
              </w:rPr>
            </w:pPr>
            <w:r w:rsidRPr="000F2DE3">
              <w:rPr>
                <w:rFonts w:ascii="Times New Roman" w:hAnsi="Times New Roman" w:cs="Times New Roman"/>
                <w:sz w:val="16"/>
                <w:szCs w:val="16"/>
              </w:rPr>
              <w:t>Forêts qui n’ont pas fait l’objet d’un acte de classement</w:t>
            </w:r>
          </w:p>
        </w:tc>
        <w:tc>
          <w:tcPr>
            <w:tcW w:w="5855" w:type="dxa"/>
            <w:gridSpan w:val="2"/>
            <w:vAlign w:val="center"/>
          </w:tcPr>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Forêts soustraites des forêts protégées par une enquête publique en vue de les concéder, ou forêts qui, ayant fait l’objet d’une enquête publique, sont destinées à la mise sur le marché</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Sont soumises aux règles d’exploitation  prévues par la loi N°011-2002 du 29 août 2002 portant Code Forestier</w:t>
            </w:r>
          </w:p>
        </w:tc>
      </w:tr>
      <w:tr w:rsidR="001A235D" w:rsidRPr="000F2DE3" w:rsidTr="001A235D">
        <w:trPr>
          <w:trHeight w:val="1151"/>
          <w:jc w:val="center"/>
        </w:trPr>
        <w:tc>
          <w:tcPr>
            <w:tcW w:w="1165" w:type="dxa"/>
            <w:vMerge/>
            <w:vAlign w:val="center"/>
          </w:tcPr>
          <w:p w:rsidR="00066D53" w:rsidRPr="000F2DE3" w:rsidRDefault="00066D53" w:rsidP="00C50810">
            <w:pPr>
              <w:spacing w:after="0"/>
              <w:rPr>
                <w:rFonts w:ascii="Times New Roman" w:hAnsi="Times New Roman" w:cs="Times New Roman"/>
                <w:sz w:val="16"/>
                <w:szCs w:val="16"/>
              </w:rPr>
            </w:pPr>
          </w:p>
        </w:tc>
        <w:tc>
          <w:tcPr>
            <w:tcW w:w="4050" w:type="dxa"/>
            <w:vMerge/>
          </w:tcPr>
          <w:p w:rsidR="00066D53" w:rsidRPr="000F2DE3" w:rsidRDefault="00066D53" w:rsidP="00C50810">
            <w:pPr>
              <w:spacing w:after="0"/>
              <w:jc w:val="center"/>
              <w:rPr>
                <w:rFonts w:ascii="Times New Roman" w:hAnsi="Times New Roman" w:cs="Times New Roman"/>
                <w:b/>
                <w:sz w:val="16"/>
                <w:szCs w:val="16"/>
              </w:rPr>
            </w:pPr>
          </w:p>
        </w:tc>
        <w:tc>
          <w:tcPr>
            <w:tcW w:w="3330" w:type="dxa"/>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Concessions forestières attribuées aux communautés locales</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Décret d’application N°14/018 du 02 Août 2014  fixant les modalités d’attribution des concessions forestières aux communautés locales</w:t>
            </w:r>
          </w:p>
        </w:tc>
        <w:tc>
          <w:tcPr>
            <w:tcW w:w="2525" w:type="dxa"/>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Autres Concessions forestières</w:t>
            </w:r>
          </w:p>
          <w:p w:rsidR="00066D53" w:rsidRPr="000F2DE3" w:rsidRDefault="00066D53" w:rsidP="00C50810">
            <w:pPr>
              <w:spacing w:after="0"/>
              <w:rPr>
                <w:rFonts w:ascii="Times New Roman" w:hAnsi="Times New Roman" w:cs="Times New Roman"/>
                <w:sz w:val="16"/>
                <w:szCs w:val="16"/>
              </w:rPr>
            </w:pPr>
          </w:p>
          <w:p w:rsidR="001A235D" w:rsidRPr="000F2DE3" w:rsidRDefault="001A235D" w:rsidP="00C50810">
            <w:pPr>
              <w:spacing w:after="0"/>
              <w:rPr>
                <w:rFonts w:ascii="Times New Roman" w:hAnsi="Times New Roman" w:cs="Times New Roman"/>
                <w:sz w:val="16"/>
                <w:szCs w:val="16"/>
              </w:rPr>
            </w:pPr>
          </w:p>
          <w:p w:rsidR="001A235D" w:rsidRPr="000F2DE3" w:rsidRDefault="001A235D" w:rsidP="00C50810">
            <w:pPr>
              <w:spacing w:after="0"/>
              <w:rPr>
                <w:rFonts w:ascii="Times New Roman" w:hAnsi="Times New Roman" w:cs="Times New Roman"/>
                <w:sz w:val="16"/>
                <w:szCs w:val="16"/>
              </w:rPr>
            </w:pPr>
          </w:p>
          <w:p w:rsidR="001A235D" w:rsidRPr="000F2DE3" w:rsidRDefault="001A235D" w:rsidP="00C50810">
            <w:pPr>
              <w:spacing w:after="0"/>
              <w:rPr>
                <w:rFonts w:ascii="Times New Roman" w:hAnsi="Times New Roman" w:cs="Times New Roman"/>
                <w:sz w:val="16"/>
                <w:szCs w:val="16"/>
              </w:rPr>
            </w:pPr>
          </w:p>
          <w:p w:rsidR="001A235D" w:rsidRPr="000F2DE3" w:rsidRDefault="001A235D" w:rsidP="00C50810">
            <w:pPr>
              <w:spacing w:after="0"/>
              <w:rPr>
                <w:rFonts w:ascii="Times New Roman" w:hAnsi="Times New Roman" w:cs="Times New Roman"/>
                <w:sz w:val="16"/>
                <w:szCs w:val="16"/>
              </w:rPr>
            </w:pPr>
          </w:p>
        </w:tc>
      </w:tr>
      <w:tr w:rsidR="00066D53" w:rsidRPr="000F2DE3" w:rsidTr="00C50810">
        <w:trPr>
          <w:jc w:val="center"/>
        </w:trPr>
        <w:tc>
          <w:tcPr>
            <w:tcW w:w="1165" w:type="dxa"/>
            <w:shd w:val="clear" w:color="auto" w:fill="D9D9D9" w:themeFill="background1" w:themeFillShade="D9"/>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Art. 39 du CF</w:t>
            </w:r>
          </w:p>
        </w:tc>
        <w:tc>
          <w:tcPr>
            <w:tcW w:w="9905" w:type="dxa"/>
            <w:gridSpan w:val="3"/>
            <w:shd w:val="clear" w:color="auto" w:fill="D9D9D9" w:themeFill="background1" w:themeFillShade="D9"/>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Arrêté ministériel (AM) N°035/CAB/ MIN/ECF-EF/2006 du 05 Octobre 2006 relatif à l’exploitation forestière</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 xml:space="preserve">complété par </w:t>
            </w:r>
          </w:p>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sz w:val="16"/>
                <w:szCs w:val="16"/>
              </w:rPr>
              <w:t>l’</w:t>
            </w:r>
            <w:r w:rsidRPr="000F2DE3">
              <w:rPr>
                <w:rFonts w:ascii="Times New Roman" w:hAnsi="Times New Roman" w:cs="Times New Roman"/>
                <w:b/>
                <w:sz w:val="16"/>
                <w:szCs w:val="16"/>
              </w:rPr>
              <w:t>AM N°105/CAB/MIN/ECN-T/15/JEB/009 du 17 juin 2009</w:t>
            </w:r>
          </w:p>
        </w:tc>
      </w:tr>
      <w:tr w:rsidR="00066D53" w:rsidRPr="000F2DE3" w:rsidTr="00C50810">
        <w:trPr>
          <w:jc w:val="center"/>
        </w:trPr>
        <w:tc>
          <w:tcPr>
            <w:tcW w:w="1165" w:type="dxa"/>
            <w:vMerge w:val="restart"/>
            <w:shd w:val="clear" w:color="auto" w:fill="FFFFFF" w:themeFill="background1"/>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Forêts classées</w:t>
            </w:r>
          </w:p>
        </w:tc>
        <w:tc>
          <w:tcPr>
            <w:tcW w:w="9905" w:type="dxa"/>
            <w:gridSpan w:val="3"/>
            <w:shd w:val="clear" w:color="auto" w:fill="F2F2F2"/>
          </w:tcPr>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b/>
                <w:sz w:val="16"/>
                <w:szCs w:val="16"/>
              </w:rPr>
              <w:t>Permis d’exploitation</w:t>
            </w:r>
          </w:p>
        </w:tc>
      </w:tr>
      <w:tr w:rsidR="00066D53" w:rsidRPr="000F2DE3" w:rsidTr="00C50810">
        <w:trPr>
          <w:jc w:val="center"/>
        </w:trPr>
        <w:tc>
          <w:tcPr>
            <w:tcW w:w="1165" w:type="dxa"/>
            <w:vMerge/>
            <w:shd w:val="clear" w:color="auto" w:fill="FFFFFF" w:themeFill="background1"/>
            <w:vAlign w:val="center"/>
          </w:tcPr>
          <w:p w:rsidR="00066D53" w:rsidRPr="000F2DE3" w:rsidRDefault="00066D53" w:rsidP="00C50810">
            <w:pPr>
              <w:spacing w:after="0"/>
              <w:jc w:val="center"/>
              <w:rPr>
                <w:rFonts w:ascii="Times New Roman" w:hAnsi="Times New Roman" w:cs="Times New Roman"/>
                <w:i/>
                <w:sz w:val="16"/>
                <w:szCs w:val="16"/>
              </w:rPr>
            </w:pPr>
          </w:p>
        </w:tc>
        <w:tc>
          <w:tcPr>
            <w:tcW w:w="4050" w:type="dxa"/>
            <w:shd w:val="clear" w:color="auto" w:fill="F2F2F2"/>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Forêts protégées</w:t>
            </w:r>
          </w:p>
        </w:tc>
        <w:tc>
          <w:tcPr>
            <w:tcW w:w="5855" w:type="dxa"/>
            <w:gridSpan w:val="2"/>
            <w:shd w:val="clear" w:color="auto" w:fill="F2F2F2"/>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Forêts de production permanente</w:t>
            </w:r>
          </w:p>
        </w:tc>
      </w:tr>
      <w:tr w:rsidR="00066D53" w:rsidRPr="000F2DE3" w:rsidTr="00C50810">
        <w:trPr>
          <w:jc w:val="center"/>
        </w:trPr>
        <w:tc>
          <w:tcPr>
            <w:tcW w:w="1165" w:type="dxa"/>
            <w:vMerge w:val="restart"/>
            <w:shd w:val="clear" w:color="auto" w:fill="FFFFFF" w:themeFill="background1"/>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i/>
                <w:sz w:val="16"/>
                <w:szCs w:val="16"/>
              </w:rPr>
              <w:t>Droits d’usage limités  au ramassage du bois mort, au prélèvement du bois destiné à la construction des habitations et pour usage artisanal, etc.</w:t>
            </w:r>
          </w:p>
        </w:tc>
        <w:tc>
          <w:tcPr>
            <w:tcW w:w="9905" w:type="dxa"/>
            <w:gridSpan w:val="3"/>
            <w:shd w:val="clear" w:color="auto" w:fill="F2F2F2"/>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sz w:val="16"/>
                <w:szCs w:val="16"/>
              </w:rPr>
              <w:t>Permis de coupe</w:t>
            </w:r>
          </w:p>
        </w:tc>
      </w:tr>
      <w:tr w:rsidR="00066D53" w:rsidRPr="000F2DE3" w:rsidTr="00C50810">
        <w:trPr>
          <w:jc w:val="center"/>
        </w:trPr>
        <w:tc>
          <w:tcPr>
            <w:tcW w:w="1165" w:type="dxa"/>
            <w:vMerge/>
            <w:shd w:val="clear" w:color="auto" w:fill="FFFFFF" w:themeFill="background1"/>
            <w:vAlign w:val="center"/>
          </w:tcPr>
          <w:p w:rsidR="00066D53" w:rsidRPr="000F2DE3" w:rsidRDefault="00066D53" w:rsidP="00C50810">
            <w:pPr>
              <w:spacing w:after="0"/>
              <w:jc w:val="center"/>
              <w:rPr>
                <w:rFonts w:ascii="Times New Roman" w:hAnsi="Times New Roman" w:cs="Times New Roman"/>
                <w:sz w:val="16"/>
                <w:szCs w:val="16"/>
              </w:rPr>
            </w:pPr>
          </w:p>
        </w:tc>
        <w:tc>
          <w:tcPr>
            <w:tcW w:w="4050" w:type="dxa"/>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Permis de coupe artisanale</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Art. 8 de l’AM 035 :</w:t>
            </w:r>
            <w:r w:rsidRPr="000F2DE3">
              <w:rPr>
                <w:rFonts w:ascii="Times New Roman" w:hAnsi="Times New Roman" w:cs="Times New Roman"/>
                <w:i/>
                <w:sz w:val="16"/>
                <w:szCs w:val="16"/>
              </w:rPr>
              <w:t xml:space="preserve"> Pour personnes physiques agréées dans une forêt des communautés locales.</w:t>
            </w:r>
          </w:p>
          <w:p w:rsidR="001A235D" w:rsidRPr="000F2DE3" w:rsidRDefault="001A235D" w:rsidP="00C50810">
            <w:pPr>
              <w:spacing w:after="0"/>
              <w:jc w:val="center"/>
              <w:rPr>
                <w:rFonts w:ascii="Times New Roman" w:hAnsi="Times New Roman" w:cs="Times New Roman"/>
                <w:b/>
                <w:sz w:val="16"/>
                <w:szCs w:val="16"/>
              </w:rPr>
            </w:pPr>
          </w:p>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Permis de coupe de bois de feu et de carbonisation</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 xml:space="preserve">Art. 9 de l’AM 035 : </w:t>
            </w:r>
            <w:r w:rsidRPr="000F2DE3">
              <w:rPr>
                <w:rFonts w:ascii="Times New Roman" w:hAnsi="Times New Roman" w:cs="Times New Roman"/>
                <w:i/>
                <w:sz w:val="16"/>
                <w:szCs w:val="16"/>
              </w:rPr>
              <w:t>Pour tout Congolais membre d’une communauté locale</w:t>
            </w:r>
          </w:p>
        </w:tc>
        <w:tc>
          <w:tcPr>
            <w:tcW w:w="5855" w:type="dxa"/>
            <w:gridSpan w:val="2"/>
            <w:vAlign w:val="center"/>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Permis ordinaire de coupe</w:t>
            </w:r>
          </w:p>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Art. 7 de l’AM 035 :</w:t>
            </w:r>
          </w:p>
          <w:p w:rsidR="00066D53" w:rsidRPr="000F2DE3" w:rsidRDefault="00066D53" w:rsidP="00C50810">
            <w:pPr>
              <w:spacing w:after="0"/>
              <w:jc w:val="center"/>
              <w:rPr>
                <w:rFonts w:ascii="Times New Roman" w:hAnsi="Times New Roman" w:cs="Times New Roman"/>
                <w:i/>
                <w:sz w:val="16"/>
                <w:szCs w:val="16"/>
              </w:rPr>
            </w:pPr>
            <w:r w:rsidRPr="000F2DE3">
              <w:rPr>
                <w:rFonts w:ascii="Times New Roman" w:hAnsi="Times New Roman" w:cs="Times New Roman"/>
                <w:i/>
                <w:sz w:val="16"/>
                <w:szCs w:val="16"/>
              </w:rPr>
              <w:t>Pour exploitants industriels pour prélèvement de bois conformément aux dispositions du plan d’aménagement</w:t>
            </w:r>
          </w:p>
          <w:p w:rsidR="00066D53" w:rsidRPr="000F2DE3" w:rsidRDefault="00066D53" w:rsidP="00C50810">
            <w:pPr>
              <w:spacing w:after="0"/>
              <w:jc w:val="center"/>
              <w:rPr>
                <w:rFonts w:ascii="Times New Roman" w:hAnsi="Times New Roman" w:cs="Times New Roman"/>
                <w:i/>
                <w:sz w:val="16"/>
                <w:szCs w:val="16"/>
              </w:rPr>
            </w:pPr>
            <w:r w:rsidRPr="000F2DE3">
              <w:rPr>
                <w:rFonts w:ascii="Times New Roman" w:hAnsi="Times New Roman" w:cs="Times New Roman"/>
                <w:i/>
                <w:sz w:val="16"/>
                <w:szCs w:val="16"/>
              </w:rPr>
              <w:t>L’Art.19 Décret d’application N°14/018 du 02 Août 2014 sous-entend que le permis ordinaire de coupe s’applique également aux communautés locales bénéficiaires de concessions forestières.</w:t>
            </w:r>
          </w:p>
        </w:tc>
      </w:tr>
      <w:tr w:rsidR="00066D53" w:rsidRPr="000F2DE3" w:rsidTr="00C50810">
        <w:trPr>
          <w:jc w:val="center"/>
        </w:trPr>
        <w:tc>
          <w:tcPr>
            <w:tcW w:w="1165" w:type="dxa"/>
            <w:vMerge/>
            <w:shd w:val="clear" w:color="auto" w:fill="FFFFFF" w:themeFill="background1"/>
            <w:vAlign w:val="center"/>
          </w:tcPr>
          <w:p w:rsidR="00066D53" w:rsidRPr="000F2DE3" w:rsidRDefault="00066D53" w:rsidP="00C50810">
            <w:pPr>
              <w:spacing w:after="0"/>
              <w:rPr>
                <w:rFonts w:ascii="Times New Roman" w:hAnsi="Times New Roman" w:cs="Times New Roman"/>
                <w:sz w:val="16"/>
                <w:szCs w:val="16"/>
              </w:rPr>
            </w:pPr>
          </w:p>
        </w:tc>
        <w:tc>
          <w:tcPr>
            <w:tcW w:w="9905" w:type="dxa"/>
            <w:gridSpan w:val="3"/>
            <w:shd w:val="clear" w:color="auto" w:fill="F2F2F2" w:themeFill="background1" w:themeFillShade="F2"/>
          </w:tcPr>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Permis de récolte</w:t>
            </w:r>
          </w:p>
        </w:tc>
      </w:tr>
      <w:tr w:rsidR="00066D53" w:rsidRPr="000F2DE3" w:rsidTr="00C50810">
        <w:trPr>
          <w:jc w:val="center"/>
        </w:trPr>
        <w:tc>
          <w:tcPr>
            <w:tcW w:w="1165" w:type="dxa"/>
            <w:vMerge/>
            <w:shd w:val="clear" w:color="auto" w:fill="FFFFFF" w:themeFill="background1"/>
            <w:vAlign w:val="center"/>
          </w:tcPr>
          <w:p w:rsidR="00066D53" w:rsidRPr="000F2DE3" w:rsidRDefault="00066D53" w:rsidP="00C50810">
            <w:pPr>
              <w:spacing w:after="0"/>
              <w:rPr>
                <w:rFonts w:ascii="Times New Roman" w:hAnsi="Times New Roman" w:cs="Times New Roman"/>
                <w:sz w:val="16"/>
                <w:szCs w:val="16"/>
              </w:rPr>
            </w:pPr>
          </w:p>
        </w:tc>
        <w:tc>
          <w:tcPr>
            <w:tcW w:w="4050" w:type="dxa"/>
          </w:tcPr>
          <w:p w:rsidR="00066D53" w:rsidRPr="000F2DE3" w:rsidRDefault="00066D53" w:rsidP="00C50810">
            <w:pPr>
              <w:spacing w:after="0"/>
              <w:jc w:val="center"/>
              <w:rPr>
                <w:rFonts w:ascii="Times New Roman" w:hAnsi="Times New Roman" w:cs="Times New Roman"/>
                <w:i/>
                <w:sz w:val="16"/>
                <w:szCs w:val="16"/>
              </w:rPr>
            </w:pPr>
            <w:r w:rsidRPr="000F2DE3">
              <w:rPr>
                <w:rFonts w:ascii="Times New Roman" w:hAnsi="Times New Roman" w:cs="Times New Roman"/>
                <w:sz w:val="16"/>
                <w:szCs w:val="16"/>
              </w:rPr>
              <w:t xml:space="preserve">Art. 10 de l’AM 035 : </w:t>
            </w:r>
            <w:r w:rsidRPr="000F2DE3">
              <w:rPr>
                <w:rFonts w:ascii="Times New Roman" w:hAnsi="Times New Roman" w:cs="Times New Roman"/>
                <w:i/>
                <w:sz w:val="16"/>
                <w:szCs w:val="16"/>
              </w:rPr>
              <w:t>Pour tout Congolais exerçant des activités de collecte de produits forestiers non ligneux (PFNL)</w:t>
            </w:r>
          </w:p>
          <w:p w:rsidR="00066D53" w:rsidRPr="000F2DE3" w:rsidRDefault="00066D53" w:rsidP="00C50810">
            <w:pPr>
              <w:spacing w:after="0"/>
              <w:jc w:val="center"/>
              <w:rPr>
                <w:rFonts w:ascii="Times New Roman" w:hAnsi="Times New Roman" w:cs="Times New Roman"/>
                <w:i/>
                <w:sz w:val="16"/>
                <w:szCs w:val="16"/>
              </w:rPr>
            </w:pPr>
            <w:r w:rsidRPr="000F2DE3">
              <w:rPr>
                <w:rFonts w:ascii="Times New Roman" w:hAnsi="Times New Roman" w:cs="Times New Roman"/>
                <w:sz w:val="16"/>
                <w:szCs w:val="16"/>
              </w:rPr>
              <w:t xml:space="preserve">Art. 11 de l’AM 035 : </w:t>
            </w:r>
            <w:r w:rsidRPr="000F2DE3">
              <w:rPr>
                <w:rFonts w:ascii="Times New Roman" w:hAnsi="Times New Roman" w:cs="Times New Roman"/>
                <w:i/>
                <w:sz w:val="16"/>
                <w:szCs w:val="16"/>
              </w:rPr>
              <w:t>les dispositions de l’Art. 10 ne sont pas applicables aux communautés locales qui récoltent des PFNL pour leurs besoins domestiques</w:t>
            </w:r>
          </w:p>
        </w:tc>
        <w:tc>
          <w:tcPr>
            <w:tcW w:w="5855" w:type="dxa"/>
            <w:gridSpan w:val="2"/>
            <w:vAlign w:val="center"/>
          </w:tcPr>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i/>
                <w:sz w:val="16"/>
                <w:szCs w:val="16"/>
              </w:rPr>
              <w:t>Les concessionnaires ne sont pas autorisés à procéder à la récolte de PFNL</w:t>
            </w:r>
          </w:p>
        </w:tc>
      </w:tr>
      <w:tr w:rsidR="00066D53" w:rsidRPr="000F2DE3" w:rsidTr="00C50810">
        <w:trPr>
          <w:trHeight w:val="197"/>
          <w:jc w:val="center"/>
        </w:trPr>
        <w:tc>
          <w:tcPr>
            <w:tcW w:w="1165" w:type="dxa"/>
            <w:vMerge/>
            <w:shd w:val="clear" w:color="auto" w:fill="FFFFFF" w:themeFill="background1"/>
            <w:vAlign w:val="center"/>
          </w:tcPr>
          <w:p w:rsidR="00066D53" w:rsidRPr="000F2DE3" w:rsidRDefault="00066D53" w:rsidP="00C50810">
            <w:pPr>
              <w:spacing w:after="0"/>
              <w:rPr>
                <w:rFonts w:ascii="Times New Roman" w:hAnsi="Times New Roman" w:cs="Times New Roman"/>
                <w:sz w:val="16"/>
                <w:szCs w:val="16"/>
              </w:rPr>
            </w:pPr>
          </w:p>
        </w:tc>
        <w:tc>
          <w:tcPr>
            <w:tcW w:w="9905" w:type="dxa"/>
            <w:gridSpan w:val="3"/>
            <w:shd w:val="clear" w:color="auto" w:fill="F2F2F2" w:themeFill="background1" w:themeFillShade="F2"/>
          </w:tcPr>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Permis spéciaux</w:t>
            </w:r>
          </w:p>
        </w:tc>
      </w:tr>
      <w:tr w:rsidR="00066D53" w:rsidRPr="000F2DE3" w:rsidTr="00C50810">
        <w:trPr>
          <w:jc w:val="center"/>
        </w:trPr>
        <w:tc>
          <w:tcPr>
            <w:tcW w:w="1165" w:type="dxa"/>
            <w:vMerge/>
            <w:shd w:val="clear" w:color="auto" w:fill="FFFFFF" w:themeFill="background1"/>
            <w:vAlign w:val="center"/>
          </w:tcPr>
          <w:p w:rsidR="00066D53" w:rsidRPr="000F2DE3" w:rsidRDefault="00066D53" w:rsidP="00C50810">
            <w:pPr>
              <w:spacing w:after="0"/>
              <w:rPr>
                <w:rFonts w:ascii="Times New Roman" w:hAnsi="Times New Roman" w:cs="Times New Roman"/>
                <w:sz w:val="16"/>
                <w:szCs w:val="16"/>
              </w:rPr>
            </w:pPr>
          </w:p>
        </w:tc>
        <w:tc>
          <w:tcPr>
            <w:tcW w:w="4050" w:type="dxa"/>
            <w:vAlign w:val="center"/>
          </w:tcPr>
          <w:p w:rsidR="00066D53" w:rsidRPr="000F2DE3" w:rsidRDefault="00066D53" w:rsidP="00C50810">
            <w:pPr>
              <w:spacing w:after="0"/>
              <w:jc w:val="center"/>
              <w:rPr>
                <w:rFonts w:ascii="Times New Roman" w:hAnsi="Times New Roman" w:cs="Times New Roman"/>
                <w:sz w:val="16"/>
                <w:szCs w:val="16"/>
              </w:rPr>
            </w:pPr>
            <w:r w:rsidRPr="000F2DE3">
              <w:rPr>
                <w:rFonts w:ascii="Times New Roman" w:hAnsi="Times New Roman" w:cs="Times New Roman"/>
                <w:sz w:val="16"/>
                <w:szCs w:val="16"/>
              </w:rPr>
              <w:t>L’Art. 12 de l’AM 035 distingue deux types de permis spéciaux :</w:t>
            </w:r>
          </w:p>
          <w:p w:rsidR="00066D53" w:rsidRPr="000F2DE3" w:rsidRDefault="00066D53" w:rsidP="00C50810">
            <w:pPr>
              <w:spacing w:after="0"/>
              <w:jc w:val="center"/>
              <w:rPr>
                <w:rFonts w:ascii="Times New Roman" w:hAnsi="Times New Roman" w:cs="Times New Roman"/>
                <w:i/>
                <w:sz w:val="16"/>
                <w:szCs w:val="16"/>
              </w:rPr>
            </w:pPr>
            <w:r w:rsidRPr="000F2DE3">
              <w:rPr>
                <w:rFonts w:ascii="Times New Roman" w:hAnsi="Times New Roman" w:cs="Times New Roman"/>
                <w:i/>
                <w:sz w:val="16"/>
                <w:szCs w:val="16"/>
              </w:rPr>
              <w:t>Permis spécial de coupe pour la coupe d’essences protégées</w:t>
            </w:r>
          </w:p>
          <w:p w:rsidR="00066D53" w:rsidRPr="000F2DE3" w:rsidRDefault="00066D53" w:rsidP="00C50810">
            <w:pPr>
              <w:spacing w:after="0"/>
              <w:jc w:val="center"/>
              <w:rPr>
                <w:rFonts w:ascii="Times New Roman" w:hAnsi="Times New Roman" w:cs="Times New Roman"/>
                <w:i/>
                <w:sz w:val="16"/>
                <w:szCs w:val="16"/>
              </w:rPr>
            </w:pPr>
            <w:r w:rsidRPr="000F2DE3">
              <w:rPr>
                <w:rFonts w:ascii="Times New Roman" w:hAnsi="Times New Roman" w:cs="Times New Roman"/>
                <w:i/>
                <w:sz w:val="16"/>
                <w:szCs w:val="16"/>
              </w:rPr>
              <w:t>Permis spécial de récolte pour la récolte de PFNL protégées</w:t>
            </w:r>
          </w:p>
        </w:tc>
        <w:tc>
          <w:tcPr>
            <w:tcW w:w="5855" w:type="dxa"/>
            <w:gridSpan w:val="2"/>
            <w:vAlign w:val="center"/>
          </w:tcPr>
          <w:p w:rsidR="00066D53" w:rsidRPr="000F2DE3" w:rsidRDefault="00066D53" w:rsidP="00C50810">
            <w:pPr>
              <w:spacing w:after="0"/>
              <w:rPr>
                <w:rFonts w:ascii="Times New Roman" w:hAnsi="Times New Roman" w:cs="Times New Roman"/>
                <w:sz w:val="16"/>
                <w:szCs w:val="16"/>
              </w:rPr>
            </w:pPr>
          </w:p>
        </w:tc>
      </w:tr>
      <w:tr w:rsidR="00066D53" w:rsidRPr="000F2DE3" w:rsidTr="00C50810">
        <w:trPr>
          <w:jc w:val="center"/>
        </w:trPr>
        <w:tc>
          <w:tcPr>
            <w:tcW w:w="1165" w:type="dxa"/>
            <w:vMerge/>
            <w:shd w:val="clear" w:color="auto" w:fill="FFFFFF" w:themeFill="background1"/>
            <w:vAlign w:val="center"/>
          </w:tcPr>
          <w:p w:rsidR="00066D53" w:rsidRPr="000F2DE3" w:rsidRDefault="00066D53" w:rsidP="00C50810">
            <w:pPr>
              <w:spacing w:after="0"/>
              <w:rPr>
                <w:rFonts w:ascii="Times New Roman" w:hAnsi="Times New Roman" w:cs="Times New Roman"/>
                <w:sz w:val="16"/>
                <w:szCs w:val="16"/>
              </w:rPr>
            </w:pPr>
          </w:p>
        </w:tc>
        <w:tc>
          <w:tcPr>
            <w:tcW w:w="9905" w:type="dxa"/>
            <w:gridSpan w:val="3"/>
            <w:shd w:val="clear" w:color="auto" w:fill="F2F2F2" w:themeFill="background1" w:themeFillShade="F2"/>
          </w:tcPr>
          <w:p w:rsidR="00066D53" w:rsidRPr="000F2DE3" w:rsidRDefault="00066D53" w:rsidP="00C50810">
            <w:pPr>
              <w:spacing w:after="0"/>
              <w:jc w:val="center"/>
              <w:rPr>
                <w:rFonts w:ascii="Times New Roman" w:hAnsi="Times New Roman" w:cs="Times New Roman"/>
                <w:b/>
                <w:sz w:val="16"/>
                <w:szCs w:val="16"/>
              </w:rPr>
            </w:pPr>
            <w:r w:rsidRPr="000F2DE3">
              <w:rPr>
                <w:rFonts w:ascii="Times New Roman" w:hAnsi="Times New Roman" w:cs="Times New Roman"/>
                <w:b/>
                <w:sz w:val="16"/>
                <w:szCs w:val="16"/>
              </w:rPr>
              <w:t>Permis d’exploitation des bois privés</w:t>
            </w:r>
          </w:p>
        </w:tc>
      </w:tr>
      <w:tr w:rsidR="00066D53" w:rsidRPr="00753958" w:rsidTr="00C50810">
        <w:trPr>
          <w:jc w:val="center"/>
        </w:trPr>
        <w:tc>
          <w:tcPr>
            <w:tcW w:w="1165" w:type="dxa"/>
            <w:vMerge/>
            <w:vAlign w:val="center"/>
          </w:tcPr>
          <w:p w:rsidR="00066D53" w:rsidRPr="000F2DE3" w:rsidRDefault="00066D53" w:rsidP="00C50810">
            <w:pPr>
              <w:spacing w:after="0"/>
              <w:rPr>
                <w:rFonts w:ascii="Times New Roman" w:hAnsi="Times New Roman" w:cs="Times New Roman"/>
                <w:sz w:val="16"/>
                <w:szCs w:val="16"/>
              </w:rPr>
            </w:pPr>
          </w:p>
        </w:tc>
        <w:tc>
          <w:tcPr>
            <w:tcW w:w="9905" w:type="dxa"/>
            <w:gridSpan w:val="3"/>
          </w:tcPr>
          <w:p w:rsidR="00066D53" w:rsidRPr="00C16610" w:rsidRDefault="00066D53" w:rsidP="00C50810">
            <w:pPr>
              <w:spacing w:after="0"/>
              <w:rPr>
                <w:rFonts w:ascii="Times New Roman" w:hAnsi="Times New Roman" w:cs="Times New Roman"/>
                <w:sz w:val="16"/>
                <w:szCs w:val="16"/>
              </w:rPr>
            </w:pPr>
            <w:r w:rsidRPr="000F2DE3">
              <w:rPr>
                <w:rFonts w:ascii="Times New Roman" w:hAnsi="Times New Roman" w:cs="Times New Roman"/>
                <w:sz w:val="16"/>
                <w:szCs w:val="16"/>
              </w:rPr>
              <w:t xml:space="preserve">Art. 21 de l’AM 035 : </w:t>
            </w:r>
            <w:r w:rsidRPr="000F2DE3">
              <w:rPr>
                <w:rFonts w:ascii="Times New Roman" w:hAnsi="Times New Roman" w:cs="Times New Roman"/>
                <w:i/>
                <w:sz w:val="16"/>
                <w:szCs w:val="16"/>
              </w:rPr>
              <w:t>l’exploitation des boisements privés ou des produits forestiers résultant d’une plantation privée est soumise à l’obtention préalable d’un permis</w:t>
            </w:r>
          </w:p>
        </w:tc>
      </w:tr>
    </w:tbl>
    <w:p w:rsidR="0009077D" w:rsidRDefault="0009077D" w:rsidP="00D33E12">
      <w:pPr>
        <w:spacing w:after="0"/>
        <w:rPr>
          <w:b/>
          <w:sz w:val="20"/>
          <w:lang w:eastAsia="en-US"/>
        </w:rPr>
      </w:pPr>
    </w:p>
    <w:p w:rsidR="001A235D" w:rsidRDefault="001A235D">
      <w:pPr>
        <w:spacing w:after="160" w:line="259" w:lineRule="auto"/>
        <w:rPr>
          <w:rFonts w:cs="Times New Roman"/>
          <w:b/>
          <w:color w:val="2E74B5" w:themeColor="accent1" w:themeShade="BF"/>
          <w:sz w:val="20"/>
          <w:szCs w:val="20"/>
        </w:rPr>
      </w:pPr>
      <w:r>
        <w:rPr>
          <w:b/>
          <w:color w:val="2E74B5" w:themeColor="accent1" w:themeShade="BF"/>
          <w:sz w:val="20"/>
          <w:szCs w:val="20"/>
        </w:rPr>
        <w:br w:type="page"/>
      </w:r>
    </w:p>
    <w:p w:rsidR="000828CD" w:rsidRPr="00C50810" w:rsidRDefault="00AF2D73" w:rsidP="002E3A02">
      <w:pPr>
        <w:pStyle w:val="ListParagraph"/>
        <w:numPr>
          <w:ilvl w:val="0"/>
          <w:numId w:val="72"/>
        </w:numPr>
        <w:tabs>
          <w:tab w:val="left" w:pos="450"/>
        </w:tabs>
        <w:jc w:val="both"/>
        <w:rPr>
          <w:rFonts w:asciiTheme="minorHAnsi" w:eastAsiaTheme="minorEastAsia" w:hAnsiTheme="minorHAnsi"/>
          <w:b/>
          <w:color w:val="2E74B5" w:themeColor="accent1" w:themeShade="BF"/>
          <w:sz w:val="20"/>
          <w:szCs w:val="20"/>
        </w:rPr>
      </w:pPr>
      <w:r w:rsidRPr="00006382">
        <w:rPr>
          <w:rFonts w:asciiTheme="minorHAnsi" w:eastAsiaTheme="minorEastAsia" w:hAnsiTheme="minorHAnsi"/>
          <w:b/>
          <w:color w:val="2E74B5" w:themeColor="accent1" w:themeShade="BF"/>
          <w:sz w:val="20"/>
          <w:szCs w:val="20"/>
        </w:rPr>
        <w:lastRenderedPageBreak/>
        <w:t>Pérennité des résultats après la fin des financements</w:t>
      </w:r>
    </w:p>
    <w:p w:rsidR="00D33E12" w:rsidRPr="00073CA6" w:rsidRDefault="00D33E12" w:rsidP="00D33E12">
      <w:pPr>
        <w:spacing w:after="0"/>
        <w:rPr>
          <w:b/>
          <w:sz w:val="20"/>
          <w:lang w:eastAsia="en-US"/>
        </w:rPr>
      </w:pPr>
    </w:p>
    <w:p w:rsidR="00AD3407" w:rsidRPr="00AD3407" w:rsidRDefault="00AD3407" w:rsidP="00AD3407">
      <w:pPr>
        <w:jc w:val="both"/>
        <w:rPr>
          <w:sz w:val="20"/>
          <w:lang w:eastAsia="en-US"/>
        </w:rPr>
      </w:pPr>
      <w:r w:rsidRPr="00AD3407">
        <w:rPr>
          <w:sz w:val="20"/>
          <w:lang w:eastAsia="en-US"/>
        </w:rPr>
        <w:t>Le projet a été conçu pour atteindre la durabilité institutionnelle, financière, environnementale et sociale, comme décrit ci-dessous :</w:t>
      </w:r>
    </w:p>
    <w:p w:rsidR="00AD3407" w:rsidRPr="00AD3407" w:rsidRDefault="00AD3407" w:rsidP="002E3A02">
      <w:pPr>
        <w:pStyle w:val="ListParagraph"/>
        <w:numPr>
          <w:ilvl w:val="0"/>
          <w:numId w:val="5"/>
        </w:numPr>
        <w:spacing w:after="120"/>
        <w:jc w:val="both"/>
        <w:rPr>
          <w:rFonts w:asciiTheme="minorHAnsi" w:hAnsiTheme="minorHAnsi"/>
          <w:sz w:val="20"/>
          <w:lang w:eastAsia="en-US"/>
        </w:rPr>
      </w:pPr>
      <w:r w:rsidRPr="00AD3407">
        <w:rPr>
          <w:rFonts w:asciiTheme="minorHAnsi" w:hAnsiTheme="minorHAnsi"/>
          <w:sz w:val="20"/>
          <w:lang w:eastAsia="en-US"/>
        </w:rPr>
        <w:t>Durabilité institutionnelle: le projet s’appuie sur les institutions gouvernementales existantes et sur les objectifs stratégiques du pays. Il ne prétend créer aucune structure nouvelle ou permanente. Il construit sur des initiatives en cours et récemment achevées et inclut des éléments substantiels de renforcement des capacités, qui rendront le Ministère de l’Environnement</w:t>
      </w:r>
      <w:r w:rsidR="000828CD">
        <w:rPr>
          <w:rFonts w:asciiTheme="minorHAnsi" w:hAnsiTheme="minorHAnsi"/>
          <w:sz w:val="20"/>
          <w:lang w:eastAsia="en-US"/>
        </w:rPr>
        <w:t>, de la Conservation de la Nature</w:t>
      </w:r>
      <w:r w:rsidRPr="00AD3407">
        <w:rPr>
          <w:rFonts w:asciiTheme="minorHAnsi" w:hAnsiTheme="minorHAnsi"/>
          <w:sz w:val="20"/>
          <w:lang w:eastAsia="en-US"/>
        </w:rPr>
        <w:t xml:space="preserve"> et du Développement Durable (ME</w:t>
      </w:r>
      <w:r w:rsidR="0091294E">
        <w:rPr>
          <w:rFonts w:asciiTheme="minorHAnsi" w:hAnsiTheme="minorHAnsi"/>
          <w:sz w:val="20"/>
          <w:lang w:eastAsia="en-US"/>
        </w:rPr>
        <w:t>CN</w:t>
      </w:r>
      <w:r w:rsidRPr="00AD3407">
        <w:rPr>
          <w:rFonts w:asciiTheme="minorHAnsi" w:hAnsiTheme="minorHAnsi"/>
          <w:sz w:val="20"/>
          <w:lang w:eastAsia="en-US"/>
        </w:rPr>
        <w:t xml:space="preserve">DD) et la Direction du Développement Durable plus aptes à atteindre leurs fonctions centrales après la fin du projet. </w:t>
      </w:r>
    </w:p>
    <w:p w:rsidR="00AD3407" w:rsidRPr="00AD3407" w:rsidRDefault="00AD3407" w:rsidP="002E3A02">
      <w:pPr>
        <w:pStyle w:val="ListParagraph"/>
        <w:numPr>
          <w:ilvl w:val="0"/>
          <w:numId w:val="5"/>
        </w:numPr>
        <w:spacing w:after="120"/>
        <w:jc w:val="both"/>
        <w:rPr>
          <w:rFonts w:asciiTheme="minorHAnsi" w:hAnsiTheme="minorHAnsi"/>
          <w:sz w:val="20"/>
          <w:lang w:eastAsia="en-US"/>
        </w:rPr>
      </w:pPr>
      <w:r w:rsidRPr="00AD3407">
        <w:rPr>
          <w:rFonts w:asciiTheme="minorHAnsi" w:hAnsiTheme="minorHAnsi"/>
          <w:sz w:val="20"/>
          <w:lang w:eastAsia="en-US"/>
        </w:rPr>
        <w:t xml:space="preserve">Durabilité financière: le projet est largement conçu pour promouvoir l’investissement paysan et privé dans l’agroforesterie et les cultures pérennes et pour reconstruire la chaîne de valeur des cultures pérennes dans la Province du </w:t>
      </w:r>
      <w:r w:rsidR="00AA6D17">
        <w:rPr>
          <w:rFonts w:asciiTheme="minorHAnsi" w:hAnsiTheme="minorHAnsi"/>
          <w:sz w:val="20"/>
          <w:lang w:eastAsia="en-US"/>
        </w:rPr>
        <w:t>Mai-Ndombe</w:t>
      </w:r>
      <w:r w:rsidRPr="00AD3407">
        <w:rPr>
          <w:rFonts w:asciiTheme="minorHAnsi" w:hAnsiTheme="minorHAnsi"/>
          <w:sz w:val="20"/>
          <w:lang w:eastAsia="en-US"/>
        </w:rPr>
        <w:t>. Si ces activités apportent des profits, et c’est le but du projet, ses résultats seront durables. En complément, le projet va créer des investissements d’intérêt collectif comme les routes, les ponts, qui optimiseront les chances que ces profits se réalisent. En complément, en renforçant la capacité fiduciaire à l’intérieur du ME</w:t>
      </w:r>
      <w:r w:rsidR="0091294E">
        <w:rPr>
          <w:rFonts w:asciiTheme="minorHAnsi" w:hAnsiTheme="minorHAnsi"/>
          <w:sz w:val="20"/>
          <w:lang w:eastAsia="en-US"/>
        </w:rPr>
        <w:t>CN</w:t>
      </w:r>
      <w:r w:rsidRPr="00AD3407">
        <w:rPr>
          <w:rFonts w:asciiTheme="minorHAnsi" w:hAnsiTheme="minorHAnsi"/>
          <w:sz w:val="20"/>
          <w:lang w:eastAsia="en-US"/>
        </w:rPr>
        <w:t>DD, le projet encouragera un meilleur usage des investissements existants du Ministère et de ses budgets opérationnels.</w:t>
      </w:r>
    </w:p>
    <w:p w:rsidR="00AD3407" w:rsidRPr="00AD3407" w:rsidRDefault="00AD3407" w:rsidP="002E3A02">
      <w:pPr>
        <w:pStyle w:val="ListParagraph"/>
        <w:numPr>
          <w:ilvl w:val="0"/>
          <w:numId w:val="5"/>
        </w:numPr>
        <w:spacing w:after="120"/>
        <w:jc w:val="both"/>
        <w:rPr>
          <w:rFonts w:asciiTheme="minorHAnsi" w:hAnsiTheme="minorHAnsi"/>
          <w:sz w:val="20"/>
          <w:lang w:eastAsia="en-US"/>
        </w:rPr>
      </w:pPr>
      <w:r w:rsidRPr="00AD3407">
        <w:rPr>
          <w:rFonts w:asciiTheme="minorHAnsi" w:hAnsiTheme="minorHAnsi"/>
          <w:sz w:val="20"/>
          <w:lang w:eastAsia="en-US"/>
        </w:rPr>
        <w:t xml:space="preserve">Durabilité environnementale: le projet réduira la pression sur les forêts naturelles en créant un environnement favorable à la planification de l’usage des terres, l’agroforesterie, la gestion forestière et l’implication villageoise. De plus, la planification et la gestion participative des ressources amélioreront dans le long terme la durabilité environnementale des ressources forestières dans le district du </w:t>
      </w:r>
      <w:r w:rsidR="00AA6D17">
        <w:rPr>
          <w:rFonts w:asciiTheme="minorHAnsi" w:hAnsiTheme="minorHAnsi"/>
          <w:sz w:val="20"/>
          <w:lang w:eastAsia="en-US"/>
        </w:rPr>
        <w:t>Mai-Ndombe</w:t>
      </w:r>
      <w:r w:rsidRPr="00AD3407">
        <w:rPr>
          <w:rFonts w:asciiTheme="minorHAnsi" w:hAnsiTheme="minorHAnsi"/>
          <w:sz w:val="20"/>
          <w:lang w:eastAsia="en-US"/>
        </w:rPr>
        <w:t xml:space="preserve">. Le renforcement des capacités des agences gouvernementales centrales, provinciales et locales fourniront une base plus durable pour la gestion environnementale améliorée des forêts dans le District du </w:t>
      </w:r>
      <w:r w:rsidR="00AA6D17">
        <w:rPr>
          <w:rFonts w:asciiTheme="minorHAnsi" w:hAnsiTheme="minorHAnsi"/>
          <w:sz w:val="20"/>
          <w:lang w:eastAsia="en-US"/>
        </w:rPr>
        <w:t>Mai-Ndombe</w:t>
      </w:r>
      <w:r w:rsidR="000828CD">
        <w:rPr>
          <w:rFonts w:asciiTheme="minorHAnsi" w:hAnsiTheme="minorHAnsi"/>
          <w:sz w:val="20"/>
          <w:lang w:eastAsia="en-US"/>
        </w:rPr>
        <w:t xml:space="preserve"> </w:t>
      </w:r>
      <w:r w:rsidRPr="00AD3407">
        <w:rPr>
          <w:rFonts w:asciiTheme="minorHAnsi" w:hAnsiTheme="minorHAnsi"/>
          <w:sz w:val="20"/>
          <w:lang w:eastAsia="en-US"/>
        </w:rPr>
        <w:t xml:space="preserve">après la fin du projet. </w:t>
      </w:r>
    </w:p>
    <w:p w:rsidR="00AD3407" w:rsidRPr="00AD3407" w:rsidRDefault="00AD3407" w:rsidP="002E3A02">
      <w:pPr>
        <w:pStyle w:val="ListParagraph"/>
        <w:numPr>
          <w:ilvl w:val="0"/>
          <w:numId w:val="5"/>
        </w:numPr>
        <w:spacing w:after="120"/>
        <w:jc w:val="both"/>
        <w:rPr>
          <w:rFonts w:asciiTheme="minorHAnsi" w:hAnsiTheme="minorHAnsi"/>
          <w:sz w:val="20"/>
          <w:lang w:eastAsia="en-US"/>
        </w:rPr>
      </w:pPr>
      <w:r w:rsidRPr="00AD3407">
        <w:rPr>
          <w:rFonts w:asciiTheme="minorHAnsi" w:hAnsiTheme="minorHAnsi"/>
          <w:sz w:val="20"/>
          <w:lang w:eastAsia="en-US"/>
        </w:rPr>
        <w:t xml:space="preserve">Durabilité sociale: la création d’emploi est pour ce projet une priorité sociale autant qu’économique. En renforçant l’environnement des investissements en agroforesterie et dans les cultures pérennes par les paysans eux-mêmes et autres investisseurs privés, le projet génèrera des opportunités significatives d’emploi. Le projet ambitionne également d’améliorer le cadre de la participation des communautés locales dans la gestion des ressources naturelles, dans le bassin d’approvisionnement de Kinshasa. Il aura notamment pour objectif de créer un cadre sécurisé pour les investissements et l’usage des terres dans le milieu rural du </w:t>
      </w:r>
      <w:r w:rsidR="00AA6D17">
        <w:rPr>
          <w:rFonts w:asciiTheme="minorHAnsi" w:hAnsiTheme="minorHAnsi"/>
          <w:sz w:val="20"/>
          <w:lang w:eastAsia="en-US"/>
        </w:rPr>
        <w:t>Mai-Ndombe</w:t>
      </w:r>
      <w:r w:rsidRPr="00AD3407">
        <w:rPr>
          <w:rFonts w:asciiTheme="minorHAnsi" w:hAnsiTheme="minorHAnsi"/>
          <w:sz w:val="20"/>
          <w:lang w:eastAsia="en-US"/>
        </w:rPr>
        <w:t xml:space="preserve">. Ceci, en combinaison avec les investissements programmés en matière d’infrastructures, améliorera la durabilité sociale des activités financées par le projet. </w:t>
      </w:r>
    </w:p>
    <w:p w:rsidR="00AD3407" w:rsidRDefault="00AD3407" w:rsidP="002E3A02">
      <w:pPr>
        <w:pStyle w:val="ListParagraph"/>
        <w:numPr>
          <w:ilvl w:val="0"/>
          <w:numId w:val="5"/>
        </w:numPr>
        <w:jc w:val="both"/>
        <w:rPr>
          <w:rFonts w:asciiTheme="minorHAnsi" w:hAnsiTheme="minorHAnsi"/>
          <w:sz w:val="20"/>
          <w:lang w:eastAsia="en-US"/>
        </w:rPr>
      </w:pPr>
      <w:r w:rsidRPr="00AD3407">
        <w:rPr>
          <w:rFonts w:asciiTheme="minorHAnsi" w:hAnsiTheme="minorHAnsi"/>
          <w:sz w:val="20"/>
          <w:lang w:eastAsia="en-US"/>
        </w:rPr>
        <w:t>Les chances de parvenir à une durabilité opérationnelle après l’appui du projet est renforcé par le grand intérêt du secteur privé comme des paysans pour l’agroforesterie et les cultures pérennes, la reforestation d’une manière générale des terres dégradées, le haut niveau de l’engagement gouvernemental illustré par la place significative des forêts et des changements climatiques dans sa Stratégie de Croissance et de Développement, ainsi que par la mise en œuvre de la difficile réforme du secteur forestier, engagée avec succès par le gouvernement durant la décennie écoulée. L’exécution du projet sera pleinement intégrée dans les structures administratives et les services techniques de terrain, facteur additionnel d’une durabilité à long terme.</w:t>
      </w:r>
    </w:p>
    <w:p w:rsidR="000828CD" w:rsidRDefault="000828CD" w:rsidP="000828CD">
      <w:pPr>
        <w:pStyle w:val="ListParagraph"/>
        <w:jc w:val="both"/>
        <w:rPr>
          <w:rFonts w:asciiTheme="minorHAnsi" w:hAnsiTheme="minorHAnsi"/>
          <w:sz w:val="20"/>
          <w:lang w:eastAsia="en-US"/>
        </w:rPr>
      </w:pPr>
    </w:p>
    <w:p w:rsidR="00E057A3" w:rsidRPr="00986D23" w:rsidRDefault="000828CD" w:rsidP="002E3A02">
      <w:pPr>
        <w:pStyle w:val="ListParagraph"/>
        <w:numPr>
          <w:ilvl w:val="0"/>
          <w:numId w:val="5"/>
        </w:numPr>
        <w:jc w:val="both"/>
        <w:rPr>
          <w:rFonts w:asciiTheme="minorHAnsi" w:hAnsiTheme="minorHAnsi"/>
          <w:sz w:val="20"/>
          <w:lang w:eastAsia="en-US"/>
        </w:rPr>
      </w:pPr>
      <w:r>
        <w:rPr>
          <w:rFonts w:asciiTheme="minorHAnsi" w:hAnsiTheme="minorHAnsi"/>
          <w:sz w:val="20"/>
          <w:lang w:eastAsia="en-US"/>
        </w:rPr>
        <w:t>L’alignement de ce PIREDD avec le Programme RE du Mai-Ndombe a été spécifiquement conçu pour la pérennité des résultats après la fin des financements</w:t>
      </w:r>
      <w:r w:rsidR="00C126D8">
        <w:rPr>
          <w:rFonts w:asciiTheme="minorHAnsi" w:hAnsiTheme="minorHAnsi"/>
          <w:sz w:val="20"/>
          <w:lang w:eastAsia="en-US"/>
        </w:rPr>
        <w:t>, grâce aux revenus carbone attendus</w:t>
      </w:r>
      <w:r>
        <w:rPr>
          <w:rFonts w:asciiTheme="minorHAnsi" w:hAnsiTheme="minorHAnsi"/>
          <w:sz w:val="20"/>
          <w:lang w:eastAsia="en-US"/>
        </w:rPr>
        <w:t>. Comme le montre</w:t>
      </w:r>
      <w:r w:rsidR="00C126D8">
        <w:rPr>
          <w:rFonts w:asciiTheme="minorHAnsi" w:hAnsiTheme="minorHAnsi"/>
          <w:sz w:val="20"/>
          <w:lang w:eastAsia="en-US"/>
        </w:rPr>
        <w:t xml:space="preserve"> ci-dessous</w:t>
      </w:r>
      <w:r>
        <w:rPr>
          <w:rFonts w:asciiTheme="minorHAnsi" w:hAnsiTheme="minorHAnsi"/>
          <w:sz w:val="20"/>
          <w:lang w:eastAsia="en-US"/>
        </w:rPr>
        <w:t xml:space="preserve"> la clef de répartition du plan de partage des revenus du Programme RE du Mai-Ndombe, </w:t>
      </w:r>
      <w:r w:rsidR="00C126D8">
        <w:rPr>
          <w:rFonts w:asciiTheme="minorHAnsi" w:hAnsiTheme="minorHAnsi"/>
          <w:sz w:val="20"/>
          <w:lang w:eastAsia="en-US"/>
        </w:rPr>
        <w:t>94% des revenus carbone seront réinvestis dans des activités habilitantes ou sectorielles communautaires ou privées, avec un mode de mise en œuvre similaire faisant appel à des agences d’exécution.</w:t>
      </w:r>
    </w:p>
    <w:p w:rsidR="00E87F2C" w:rsidRPr="00E87F2C" w:rsidRDefault="00E87F2C" w:rsidP="00E87F2C">
      <w:pPr>
        <w:spacing w:after="0"/>
        <w:jc w:val="both"/>
        <w:rPr>
          <w:sz w:val="20"/>
          <w:lang w:eastAsia="en-US"/>
        </w:rPr>
      </w:pPr>
    </w:p>
    <w:tbl>
      <w:tblPr>
        <w:tblW w:w="99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4511"/>
        <w:gridCol w:w="1792"/>
        <w:gridCol w:w="1696"/>
        <w:gridCol w:w="1991"/>
      </w:tblGrid>
      <w:tr w:rsidR="000828CD" w:rsidRPr="000828CD" w:rsidTr="0015070B">
        <w:trPr>
          <w:trHeight w:val="580"/>
        </w:trPr>
        <w:tc>
          <w:tcPr>
            <w:tcW w:w="4511"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b/>
                <w:bCs/>
                <w:iCs/>
                <w:color w:val="000000"/>
                <w:sz w:val="20"/>
                <w:szCs w:val="20"/>
                <w:lang w:bidi="fr-FR"/>
              </w:rPr>
            </w:pPr>
            <w:r w:rsidRPr="000828CD">
              <w:rPr>
                <w:rFonts w:eastAsia="Times New Roman" w:cs="Times New Roman"/>
                <w:b/>
                <w:color w:val="000000"/>
                <w:sz w:val="20"/>
                <w:szCs w:val="20"/>
                <w:lang w:bidi="fr-FR"/>
              </w:rPr>
              <w:t xml:space="preserve">Plan de partage des bénéfices </w:t>
            </w:r>
            <w:r w:rsidR="00C126D8" w:rsidRPr="00C126D8">
              <w:rPr>
                <w:rFonts w:eastAsia="Times New Roman" w:cs="Times New Roman"/>
                <w:b/>
                <w:color w:val="000000"/>
                <w:sz w:val="20"/>
                <w:szCs w:val="20"/>
                <w:lang w:bidi="fr-FR"/>
              </w:rPr>
              <w:t xml:space="preserve">du Programme RE du </w:t>
            </w:r>
            <w:r w:rsidR="0009077D">
              <w:rPr>
                <w:rFonts w:eastAsia="Times New Roman" w:cs="Times New Roman"/>
                <w:b/>
                <w:color w:val="000000"/>
                <w:sz w:val="20"/>
                <w:szCs w:val="20"/>
                <w:lang w:bidi="fr-FR"/>
              </w:rPr>
              <w:t>Mai-Ndombe</w:t>
            </w:r>
          </w:p>
        </w:tc>
        <w:tc>
          <w:tcPr>
            <w:tcW w:w="1792" w:type="dxa"/>
            <w:shd w:val="clear" w:color="auto" w:fill="DEEAF6" w:themeFill="accent1" w:themeFillTint="33"/>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b/>
                <w:bCs/>
                <w:color w:val="000000"/>
                <w:sz w:val="20"/>
                <w:szCs w:val="20"/>
                <w:lang w:bidi="fr-FR"/>
              </w:rPr>
            </w:pPr>
            <w:r w:rsidRPr="000828CD">
              <w:rPr>
                <w:rFonts w:eastAsia="Times New Roman" w:cs="Times New Roman"/>
                <w:b/>
                <w:color w:val="000000"/>
                <w:sz w:val="20"/>
                <w:szCs w:val="20"/>
                <w:lang w:bidi="fr-FR"/>
              </w:rPr>
              <w:t>Paiement initial de l'ERPA</w:t>
            </w:r>
          </w:p>
        </w:tc>
        <w:tc>
          <w:tcPr>
            <w:tcW w:w="1696"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b/>
                <w:bCs/>
                <w:color w:val="000000"/>
                <w:sz w:val="20"/>
                <w:szCs w:val="20"/>
                <w:lang w:bidi="fr-FR"/>
              </w:rPr>
            </w:pPr>
            <w:r w:rsidRPr="000828CD">
              <w:rPr>
                <w:rFonts w:eastAsia="Times New Roman" w:cs="Times New Roman"/>
                <w:b/>
                <w:color w:val="000000"/>
                <w:sz w:val="20"/>
                <w:szCs w:val="20"/>
                <w:lang w:bidi="fr-FR"/>
              </w:rPr>
              <w:t>Total 5 ans ($)</w:t>
            </w:r>
          </w:p>
        </w:tc>
        <w:tc>
          <w:tcPr>
            <w:tcW w:w="1991"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b/>
                <w:bCs/>
                <w:color w:val="000000"/>
                <w:sz w:val="20"/>
                <w:szCs w:val="20"/>
                <w:lang w:bidi="fr-FR"/>
              </w:rPr>
            </w:pPr>
            <w:r w:rsidRPr="000828CD">
              <w:rPr>
                <w:rFonts w:eastAsia="Times New Roman" w:cs="Times New Roman"/>
                <w:b/>
                <w:color w:val="000000"/>
                <w:sz w:val="20"/>
                <w:szCs w:val="20"/>
                <w:lang w:bidi="fr-FR"/>
              </w:rPr>
              <w:t>% ERPA</w:t>
            </w:r>
          </w:p>
        </w:tc>
      </w:tr>
      <w:tr w:rsidR="000828CD" w:rsidRPr="00C126D8" w:rsidTr="0015070B">
        <w:trPr>
          <w:trHeight w:val="300"/>
        </w:trPr>
        <w:tc>
          <w:tcPr>
            <w:tcW w:w="4511" w:type="dxa"/>
            <w:shd w:val="clear" w:color="auto" w:fill="DEEAF6" w:themeFill="accent1" w:themeFillTint="33"/>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b/>
                <w:bCs/>
                <w:i/>
                <w:iCs/>
                <w:color w:val="000000"/>
                <w:sz w:val="20"/>
                <w:szCs w:val="20"/>
                <w:lang w:bidi="fr-FR"/>
              </w:rPr>
            </w:pPr>
            <w:r w:rsidRPr="000828CD">
              <w:rPr>
                <w:rFonts w:eastAsia="Times New Roman" w:cs="Times New Roman"/>
                <w:b/>
                <w:color w:val="000000"/>
                <w:sz w:val="20"/>
                <w:szCs w:val="20"/>
                <w:lang w:bidi="fr-FR"/>
              </w:rPr>
              <w:t xml:space="preserve"> Coûts transactionnels et de suivi du programme </w:t>
            </w:r>
          </w:p>
        </w:tc>
        <w:tc>
          <w:tcPr>
            <w:tcW w:w="1792"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5 671 782    </w:t>
            </w:r>
          </w:p>
        </w:tc>
        <w:tc>
          <w:tcPr>
            <w:tcW w:w="1696"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5 671 782    </w:t>
            </w:r>
          </w:p>
        </w:tc>
        <w:tc>
          <w:tcPr>
            <w:tcW w:w="1991"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i/>
                <w:color w:val="000000"/>
                <w:sz w:val="20"/>
                <w:szCs w:val="20"/>
                <w:lang w:bidi="fr-FR"/>
              </w:rPr>
              <w:t>6%</w:t>
            </w:r>
          </w:p>
        </w:tc>
      </w:tr>
      <w:tr w:rsidR="000828CD" w:rsidRPr="00C126D8" w:rsidTr="0015070B">
        <w:trPr>
          <w:trHeight w:val="560"/>
        </w:trPr>
        <w:tc>
          <w:tcPr>
            <w:tcW w:w="4511" w:type="dxa"/>
            <w:shd w:val="clear" w:color="auto" w:fill="DEEAF6" w:themeFill="accent1" w:themeFillTint="33"/>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b/>
                <w:bCs/>
                <w:i/>
                <w:iCs/>
                <w:color w:val="000000"/>
                <w:sz w:val="20"/>
                <w:szCs w:val="20"/>
                <w:lang w:bidi="fr-FR"/>
              </w:rPr>
            </w:pPr>
            <w:r w:rsidRPr="000828CD">
              <w:rPr>
                <w:rFonts w:eastAsia="Times New Roman" w:cs="Times New Roman"/>
                <w:b/>
                <w:color w:val="000000"/>
                <w:sz w:val="20"/>
                <w:szCs w:val="20"/>
                <w:lang w:bidi="fr-FR"/>
              </w:rPr>
              <w:t xml:space="preserve"> Exécution de contrats liés au carbone avec un projet imbriqué  </w:t>
            </w:r>
          </w:p>
        </w:tc>
        <w:tc>
          <w:tcPr>
            <w:tcW w:w="1792"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      </w:t>
            </w:r>
          </w:p>
        </w:tc>
        <w:tc>
          <w:tcPr>
            <w:tcW w:w="1696"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26 371 682    </w:t>
            </w:r>
          </w:p>
        </w:tc>
        <w:tc>
          <w:tcPr>
            <w:tcW w:w="1991"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i/>
                <w:color w:val="000000"/>
                <w:sz w:val="20"/>
                <w:szCs w:val="20"/>
                <w:lang w:bidi="fr-FR"/>
              </w:rPr>
              <w:t>27%</w:t>
            </w:r>
          </w:p>
        </w:tc>
      </w:tr>
      <w:tr w:rsidR="000828CD" w:rsidRPr="000828CD" w:rsidTr="0015070B">
        <w:trPr>
          <w:trHeight w:val="280"/>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Projet WWC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12 787 500    </w:t>
            </w:r>
          </w:p>
        </w:tc>
        <w:tc>
          <w:tcPr>
            <w:tcW w:w="1991"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i/>
                <w:color w:val="000000"/>
                <w:sz w:val="20"/>
                <w:szCs w:val="20"/>
                <w:lang w:bidi="fr-FR"/>
              </w:rPr>
              <w:t>13%</w:t>
            </w:r>
          </w:p>
        </w:tc>
      </w:tr>
      <w:tr w:rsidR="000828CD" w:rsidRPr="000828CD" w:rsidTr="0015070B">
        <w:trPr>
          <w:trHeight w:val="560"/>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Exploitation à faible impact / projets de concession de conservation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4 326 739    </w:t>
            </w:r>
          </w:p>
        </w:tc>
        <w:tc>
          <w:tcPr>
            <w:tcW w:w="1991"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i/>
                <w:color w:val="000000"/>
                <w:sz w:val="20"/>
                <w:szCs w:val="20"/>
                <w:lang w:bidi="fr-FR"/>
              </w:rPr>
              <w:t>4%</w:t>
            </w:r>
          </w:p>
        </w:tc>
      </w:tr>
      <w:tr w:rsidR="000828CD" w:rsidRPr="000828CD" w:rsidTr="0015070B">
        <w:trPr>
          <w:trHeight w:val="280"/>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lastRenderedPageBreak/>
              <w:t xml:space="preserve"> Partage des bénéfices des projets communautaires imbriqués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9 257 443    </w:t>
            </w:r>
          </w:p>
        </w:tc>
        <w:tc>
          <w:tcPr>
            <w:tcW w:w="1991"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i/>
                <w:color w:val="000000"/>
                <w:sz w:val="20"/>
                <w:szCs w:val="20"/>
                <w:lang w:bidi="fr-FR"/>
              </w:rPr>
              <w:t>10%</w:t>
            </w:r>
          </w:p>
        </w:tc>
      </w:tr>
      <w:tr w:rsidR="000828CD" w:rsidRPr="00C126D8" w:rsidTr="0015070B">
        <w:trPr>
          <w:trHeight w:val="280"/>
        </w:trPr>
        <w:tc>
          <w:tcPr>
            <w:tcW w:w="4511" w:type="dxa"/>
            <w:shd w:val="clear" w:color="auto" w:fill="DEEAF6" w:themeFill="accent1" w:themeFillTint="33"/>
            <w:vAlign w:val="center"/>
            <w:hideMark/>
          </w:tcPr>
          <w:p w:rsidR="000828CD" w:rsidRPr="000828CD" w:rsidRDefault="000828CD" w:rsidP="000828CD">
            <w:pPr>
              <w:spacing w:after="0" w:line="240" w:lineRule="auto"/>
              <w:rPr>
                <w:rFonts w:eastAsia="Times New Roman" w:cs="Times New Roman"/>
                <w:b/>
                <w:bCs/>
                <w:i/>
                <w:iCs/>
                <w:color w:val="000000"/>
                <w:sz w:val="20"/>
                <w:szCs w:val="20"/>
                <w:lang w:bidi="fr-FR"/>
              </w:rPr>
            </w:pPr>
            <w:r w:rsidRPr="000828CD">
              <w:rPr>
                <w:rFonts w:eastAsia="Times New Roman" w:cs="Times New Roman"/>
                <w:b/>
                <w:color w:val="000000"/>
                <w:sz w:val="20"/>
                <w:szCs w:val="20"/>
                <w:lang w:bidi="fr-FR"/>
              </w:rPr>
              <w:t xml:space="preserve"> Réinvestissement dans les activités du programme </w:t>
            </w:r>
          </w:p>
        </w:tc>
        <w:tc>
          <w:tcPr>
            <w:tcW w:w="1792"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4 078 218    </w:t>
            </w:r>
          </w:p>
        </w:tc>
        <w:tc>
          <w:tcPr>
            <w:tcW w:w="1696"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54 078 218    </w:t>
            </w:r>
          </w:p>
        </w:tc>
        <w:tc>
          <w:tcPr>
            <w:tcW w:w="1991"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i/>
                <w:color w:val="000000"/>
                <w:sz w:val="20"/>
                <w:szCs w:val="20"/>
                <w:lang w:bidi="fr-FR"/>
              </w:rPr>
              <w:t>56%</w:t>
            </w:r>
          </w:p>
        </w:tc>
      </w:tr>
      <w:tr w:rsidR="000828CD" w:rsidRPr="000828CD" w:rsidTr="0015070B">
        <w:trPr>
          <w:trHeight w:val="280"/>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Investissements dans les activités habilitantes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4 078 218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15 598 218    </w:t>
            </w:r>
          </w:p>
        </w:tc>
        <w:tc>
          <w:tcPr>
            <w:tcW w:w="1991" w:type="dxa"/>
            <w:shd w:val="clear" w:color="auto" w:fill="auto"/>
            <w:noWrap/>
            <w:vAlign w:val="center"/>
            <w:hideMark/>
          </w:tcPr>
          <w:p w:rsidR="000828CD" w:rsidRPr="000828CD" w:rsidRDefault="000828CD" w:rsidP="000828CD">
            <w:pPr>
              <w:spacing w:after="0" w:line="240" w:lineRule="auto"/>
              <w:jc w:val="center"/>
              <w:rPr>
                <w:rFonts w:eastAsia="Times New Roman" w:cs="Times New Roman"/>
                <w:i/>
                <w:iCs/>
                <w:color w:val="000000"/>
                <w:sz w:val="20"/>
                <w:szCs w:val="20"/>
                <w:lang w:bidi="fr-FR"/>
              </w:rPr>
            </w:pPr>
            <w:r w:rsidRPr="000828CD">
              <w:rPr>
                <w:rFonts w:eastAsia="Times New Roman" w:cs="Times New Roman"/>
                <w:i/>
                <w:color w:val="000000"/>
                <w:sz w:val="20"/>
                <w:szCs w:val="20"/>
                <w:lang w:bidi="fr-FR"/>
              </w:rPr>
              <w:t>16%</w:t>
            </w:r>
          </w:p>
        </w:tc>
      </w:tr>
      <w:tr w:rsidR="000828CD" w:rsidRPr="000828CD" w:rsidTr="0015070B">
        <w:trPr>
          <w:trHeight w:val="280"/>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Investissement dans des activités communautaires sectorielles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17 280 000    </w:t>
            </w:r>
          </w:p>
        </w:tc>
        <w:tc>
          <w:tcPr>
            <w:tcW w:w="1991"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i/>
                <w:color w:val="000000"/>
                <w:sz w:val="20"/>
                <w:szCs w:val="20"/>
                <w:lang w:bidi="fr-FR"/>
              </w:rPr>
              <w:t>18%</w:t>
            </w:r>
          </w:p>
        </w:tc>
      </w:tr>
      <w:tr w:rsidR="000828CD" w:rsidRPr="000828CD" w:rsidTr="0015070B">
        <w:trPr>
          <w:trHeight w:val="280"/>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Co-investissement avec le secteur privé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3 200 000    </w:t>
            </w:r>
          </w:p>
        </w:tc>
        <w:tc>
          <w:tcPr>
            <w:tcW w:w="1991"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i/>
                <w:color w:val="000000"/>
                <w:sz w:val="20"/>
                <w:szCs w:val="20"/>
                <w:lang w:bidi="fr-FR"/>
              </w:rPr>
              <w:t>3%</w:t>
            </w:r>
          </w:p>
        </w:tc>
      </w:tr>
      <w:tr w:rsidR="000828CD" w:rsidRPr="000828CD" w:rsidTr="0015070B">
        <w:trPr>
          <w:trHeight w:val="280"/>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Coûts d'exploitation (coûts des agences d'exécution)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color w:val="000000"/>
                <w:sz w:val="20"/>
                <w:szCs w:val="20"/>
                <w:lang w:bidi="fr-FR"/>
              </w:rPr>
              <w:t xml:space="preserve"> 18 000 000    </w:t>
            </w:r>
          </w:p>
        </w:tc>
        <w:tc>
          <w:tcPr>
            <w:tcW w:w="1991"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i/>
                <w:color w:val="000000"/>
                <w:sz w:val="20"/>
                <w:szCs w:val="20"/>
                <w:lang w:bidi="fr-FR"/>
              </w:rPr>
              <w:t>19%</w:t>
            </w:r>
          </w:p>
        </w:tc>
      </w:tr>
      <w:tr w:rsidR="000828CD" w:rsidRPr="00C126D8" w:rsidTr="0015070B">
        <w:trPr>
          <w:trHeight w:val="560"/>
        </w:trPr>
        <w:tc>
          <w:tcPr>
            <w:tcW w:w="4511" w:type="dxa"/>
            <w:shd w:val="clear" w:color="auto" w:fill="DEEAF6" w:themeFill="accent1" w:themeFillTint="33"/>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b/>
                <w:bCs/>
                <w:i/>
                <w:iCs/>
                <w:color w:val="000000"/>
                <w:sz w:val="20"/>
                <w:szCs w:val="20"/>
                <w:lang w:bidi="fr-FR"/>
              </w:rPr>
            </w:pPr>
            <w:r w:rsidRPr="000828CD">
              <w:rPr>
                <w:rFonts w:eastAsia="Times New Roman" w:cs="Times New Roman"/>
                <w:b/>
                <w:color w:val="000000"/>
                <w:sz w:val="20"/>
                <w:szCs w:val="20"/>
                <w:lang w:bidi="fr-FR"/>
              </w:rPr>
              <w:t xml:space="preserve"> Autres partages de bénéfices : Peuples Autochtones, province </w:t>
            </w:r>
          </w:p>
        </w:tc>
        <w:tc>
          <w:tcPr>
            <w:tcW w:w="1792"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      </w:t>
            </w:r>
          </w:p>
        </w:tc>
        <w:tc>
          <w:tcPr>
            <w:tcW w:w="1696"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color w:val="000000"/>
                <w:sz w:val="20"/>
                <w:szCs w:val="20"/>
                <w:lang w:bidi="fr-FR"/>
              </w:rPr>
              <w:t xml:space="preserve"> 10 038 600    </w:t>
            </w:r>
          </w:p>
        </w:tc>
        <w:tc>
          <w:tcPr>
            <w:tcW w:w="1991" w:type="dxa"/>
            <w:shd w:val="clear" w:color="auto" w:fill="DEEAF6" w:themeFill="accent1" w:themeFillTint="33"/>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i/>
                <w:color w:val="000000"/>
                <w:sz w:val="20"/>
                <w:szCs w:val="20"/>
                <w:lang w:bidi="fr-FR"/>
              </w:rPr>
              <w:t>10%</w:t>
            </w:r>
          </w:p>
        </w:tc>
      </w:tr>
      <w:tr w:rsidR="000828CD" w:rsidRPr="000828CD" w:rsidTr="0015070B">
        <w:trPr>
          <w:trHeight w:val="319"/>
        </w:trPr>
        <w:tc>
          <w:tcPr>
            <w:tcW w:w="4511" w:type="dxa"/>
            <w:shd w:val="clear" w:color="auto" w:fill="auto"/>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b/>
                <w:bCs/>
                <w:i/>
                <w:iCs/>
                <w:color w:val="000000"/>
                <w:sz w:val="20"/>
                <w:szCs w:val="20"/>
                <w:lang w:bidi="fr-FR"/>
              </w:rPr>
            </w:pPr>
            <w:r w:rsidRPr="000828CD">
              <w:rPr>
                <w:rFonts w:eastAsia="Times New Roman" w:cs="Times New Roman"/>
                <w:color w:val="000000"/>
                <w:sz w:val="20"/>
                <w:szCs w:val="20"/>
                <w:lang w:bidi="fr-FR"/>
              </w:rPr>
              <w:t xml:space="preserve"> Produits inattendus </w:t>
            </w:r>
          </w:p>
        </w:tc>
        <w:tc>
          <w:tcPr>
            <w:tcW w:w="1792"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b/>
                <w:bCs/>
                <w:i/>
                <w:iCs/>
                <w:color w:val="000000"/>
                <w:sz w:val="20"/>
                <w:szCs w:val="20"/>
                <w:lang w:bidi="fr-FR"/>
              </w:rPr>
            </w:pPr>
            <w:r w:rsidRPr="000828CD">
              <w:rPr>
                <w:rFonts w:eastAsia="Times New Roman" w:cs="Times New Roman"/>
                <w:color w:val="000000"/>
                <w:sz w:val="20"/>
                <w:szCs w:val="20"/>
                <w:lang w:bidi="fr-FR"/>
              </w:rPr>
              <w:t> </w:t>
            </w:r>
          </w:p>
        </w:tc>
        <w:tc>
          <w:tcPr>
            <w:tcW w:w="1696"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b/>
                <w:bCs/>
                <w:i/>
                <w:iCs/>
                <w:color w:val="000000"/>
                <w:sz w:val="20"/>
                <w:szCs w:val="20"/>
                <w:lang w:bidi="fr-FR"/>
              </w:rPr>
            </w:pPr>
            <w:r w:rsidRPr="000828CD">
              <w:rPr>
                <w:rFonts w:eastAsia="Times New Roman" w:cs="Times New Roman"/>
                <w:color w:val="000000"/>
                <w:sz w:val="20"/>
                <w:szCs w:val="20"/>
                <w:lang w:bidi="fr-FR"/>
              </w:rPr>
              <w:t xml:space="preserve"> 1 339 718    </w:t>
            </w:r>
          </w:p>
        </w:tc>
        <w:tc>
          <w:tcPr>
            <w:tcW w:w="1991" w:type="dxa"/>
            <w:shd w:val="clear" w:color="auto" w:fill="auto"/>
            <w:noWrap/>
            <w:vAlign w:val="center"/>
            <w:hideMark/>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b/>
                <w:bCs/>
                <w:i/>
                <w:iCs/>
                <w:color w:val="000000"/>
                <w:sz w:val="20"/>
                <w:szCs w:val="20"/>
                <w:lang w:bidi="fr-FR"/>
              </w:rPr>
            </w:pPr>
            <w:r w:rsidRPr="000828CD">
              <w:rPr>
                <w:rFonts w:eastAsia="Times New Roman" w:cs="Times New Roman"/>
                <w:i/>
                <w:color w:val="000000"/>
                <w:sz w:val="20"/>
                <w:szCs w:val="20"/>
                <w:lang w:bidi="fr-FR"/>
              </w:rPr>
              <w:t>1%</w:t>
            </w:r>
          </w:p>
        </w:tc>
      </w:tr>
      <w:tr w:rsidR="00BB52A7" w:rsidRPr="000828CD" w:rsidTr="0015070B">
        <w:trPr>
          <w:trHeight w:val="319"/>
        </w:trPr>
        <w:tc>
          <w:tcPr>
            <w:tcW w:w="4511" w:type="dxa"/>
            <w:shd w:val="clear" w:color="auto" w:fill="DEEAF6" w:themeFill="accent1" w:themeFillTint="33"/>
            <w:vAlign w:val="center"/>
          </w:tcPr>
          <w:p w:rsidR="000828CD" w:rsidRPr="000828CD" w:rsidRDefault="000828CD" w:rsidP="002E3A02">
            <w:pPr>
              <w:numPr>
                <w:ilvl w:val="4"/>
                <w:numId w:val="38"/>
              </w:numPr>
              <w:overflowPunct w:val="0"/>
              <w:autoSpaceDE w:val="0"/>
              <w:autoSpaceDN w:val="0"/>
              <w:adjustRightInd w:val="0"/>
              <w:spacing w:after="0" w:line="240" w:lineRule="auto"/>
              <w:jc w:val="both"/>
              <w:textAlignment w:val="baseline"/>
              <w:outlineLvl w:val="4"/>
              <w:rPr>
                <w:rFonts w:eastAsia="Times New Roman" w:cs="Times New Roman"/>
                <w:color w:val="000000"/>
                <w:sz w:val="20"/>
                <w:szCs w:val="20"/>
                <w:lang w:bidi="fr-FR"/>
              </w:rPr>
            </w:pPr>
            <w:r w:rsidRPr="000828CD">
              <w:rPr>
                <w:rFonts w:eastAsia="Times New Roman" w:cs="Times New Roman"/>
                <w:b/>
                <w:color w:val="000000"/>
                <w:sz w:val="20"/>
                <w:szCs w:val="20"/>
                <w:lang w:bidi="fr-FR"/>
              </w:rPr>
              <w:t xml:space="preserve"> Total </w:t>
            </w:r>
          </w:p>
        </w:tc>
        <w:tc>
          <w:tcPr>
            <w:tcW w:w="1792" w:type="dxa"/>
            <w:shd w:val="clear" w:color="auto" w:fill="DEEAF6" w:themeFill="accent1" w:themeFillTint="33"/>
            <w:noWrap/>
            <w:vAlign w:val="center"/>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color w:val="000000"/>
                <w:sz w:val="20"/>
                <w:szCs w:val="20"/>
                <w:lang w:bidi="fr-FR"/>
              </w:rPr>
            </w:pPr>
            <w:r w:rsidRPr="000828CD">
              <w:rPr>
                <w:rFonts w:eastAsia="Times New Roman" w:cs="Times New Roman"/>
                <w:b/>
                <w:color w:val="000000"/>
                <w:sz w:val="20"/>
                <w:szCs w:val="20"/>
                <w:lang w:bidi="fr-FR"/>
              </w:rPr>
              <w:t xml:space="preserve"> 9 750 000    </w:t>
            </w:r>
          </w:p>
        </w:tc>
        <w:tc>
          <w:tcPr>
            <w:tcW w:w="1696" w:type="dxa"/>
            <w:shd w:val="clear" w:color="auto" w:fill="DEEAF6" w:themeFill="accent1" w:themeFillTint="33"/>
            <w:noWrap/>
            <w:vAlign w:val="center"/>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color w:val="000000"/>
                <w:sz w:val="20"/>
                <w:szCs w:val="20"/>
                <w:lang w:bidi="fr-FR"/>
              </w:rPr>
            </w:pPr>
            <w:r w:rsidRPr="000828CD">
              <w:rPr>
                <w:rFonts w:eastAsia="Times New Roman" w:cs="Times New Roman"/>
                <w:b/>
                <w:color w:val="000000"/>
                <w:sz w:val="20"/>
                <w:szCs w:val="20"/>
                <w:lang w:bidi="fr-FR"/>
              </w:rPr>
              <w:t xml:space="preserve"> 97 500 000    </w:t>
            </w:r>
          </w:p>
        </w:tc>
        <w:tc>
          <w:tcPr>
            <w:tcW w:w="1991" w:type="dxa"/>
            <w:shd w:val="clear" w:color="auto" w:fill="DEEAF6" w:themeFill="accent1" w:themeFillTint="33"/>
            <w:noWrap/>
            <w:vAlign w:val="center"/>
          </w:tcPr>
          <w:p w:rsidR="000828CD" w:rsidRPr="000828CD" w:rsidRDefault="000828CD" w:rsidP="002E3A02">
            <w:pPr>
              <w:numPr>
                <w:ilvl w:val="4"/>
                <w:numId w:val="38"/>
              </w:numPr>
              <w:overflowPunct w:val="0"/>
              <w:autoSpaceDE w:val="0"/>
              <w:autoSpaceDN w:val="0"/>
              <w:adjustRightInd w:val="0"/>
              <w:spacing w:after="0" w:line="240" w:lineRule="auto"/>
              <w:jc w:val="center"/>
              <w:textAlignment w:val="baseline"/>
              <w:outlineLvl w:val="4"/>
              <w:rPr>
                <w:rFonts w:eastAsia="Times New Roman" w:cs="Times New Roman"/>
                <w:i/>
                <w:iCs/>
                <w:color w:val="000000"/>
                <w:sz w:val="20"/>
                <w:szCs w:val="20"/>
                <w:lang w:bidi="fr-FR"/>
              </w:rPr>
            </w:pPr>
            <w:r w:rsidRPr="000828CD">
              <w:rPr>
                <w:rFonts w:eastAsia="Times New Roman" w:cs="Times New Roman"/>
                <w:b/>
                <w:i/>
                <w:color w:val="000000"/>
                <w:sz w:val="20"/>
                <w:szCs w:val="20"/>
                <w:lang w:bidi="fr-FR"/>
              </w:rPr>
              <w:t>100%</w:t>
            </w:r>
          </w:p>
        </w:tc>
      </w:tr>
    </w:tbl>
    <w:p w:rsidR="00E057A3" w:rsidRDefault="00E057A3">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BB59AB" w:rsidRDefault="00BB59AB">
      <w:pPr>
        <w:spacing w:after="160" w:line="259" w:lineRule="auto"/>
        <w:rPr>
          <w:rFonts w:asciiTheme="majorHAnsi" w:eastAsiaTheme="majorEastAsia" w:hAnsiTheme="majorHAnsi" w:cstheme="majorBidi"/>
          <w:color w:val="2E74B5" w:themeColor="accent1" w:themeShade="BF"/>
          <w:sz w:val="32"/>
          <w:szCs w:val="32"/>
        </w:rPr>
      </w:pPr>
    </w:p>
    <w:p w:rsidR="00A777B8" w:rsidRPr="00A777B8" w:rsidRDefault="009B30E2" w:rsidP="00A777B8">
      <w:pPr>
        <w:pStyle w:val="Heading1"/>
        <w:ind w:left="360"/>
      </w:pPr>
      <w:bookmarkStart w:id="28" w:name="_Toc469036926"/>
      <w:r w:rsidRPr="00401544">
        <w:lastRenderedPageBreak/>
        <w:t>Cadre de résultats</w:t>
      </w:r>
      <w:bookmarkEnd w:id="28"/>
      <w:r w:rsidRPr="00401544">
        <w:t xml:space="preserve"> </w:t>
      </w:r>
    </w:p>
    <w:p w:rsidR="00AF2D73" w:rsidRDefault="00AF2D73" w:rsidP="00AF2D73">
      <w:pPr>
        <w:spacing w:after="120"/>
        <w:contextualSpacing/>
        <w:jc w:val="both"/>
        <w:rPr>
          <w:rFonts w:eastAsiaTheme="minorHAnsi"/>
          <w:b/>
          <w:sz w:val="20"/>
          <w:szCs w:val="20"/>
          <w:lang w:eastAsia="en-US"/>
        </w:rPr>
      </w:pPr>
      <w:r w:rsidRPr="004E7C36">
        <w:rPr>
          <w:rFonts w:eastAsiaTheme="minorHAnsi"/>
          <w:b/>
          <w:sz w:val="20"/>
          <w:szCs w:val="20"/>
          <w:lang w:eastAsia="en-US"/>
        </w:rPr>
        <w:t xml:space="preserve">Tableau 1 : cadre de résultats </w:t>
      </w:r>
    </w:p>
    <w:p w:rsidR="00EE0CA3" w:rsidRDefault="00EE0CA3" w:rsidP="00AF2D73">
      <w:pPr>
        <w:spacing w:after="120"/>
        <w:contextualSpacing/>
        <w:jc w:val="both"/>
        <w:rPr>
          <w:rFonts w:eastAsiaTheme="minorHAnsi"/>
          <w:b/>
          <w:sz w:val="20"/>
          <w:szCs w:val="20"/>
          <w:lang w:eastAsia="en-US"/>
        </w:rPr>
      </w:pPr>
    </w:p>
    <w:tbl>
      <w:tblPr>
        <w:tblStyle w:val="TableGrid"/>
        <w:tblW w:w="10890" w:type="dxa"/>
        <w:tblInd w:w="-545" w:type="dxa"/>
        <w:tblLook w:val="04A0" w:firstRow="1" w:lastRow="0" w:firstColumn="1" w:lastColumn="0" w:noHBand="0" w:noVBand="1"/>
      </w:tblPr>
      <w:tblGrid>
        <w:gridCol w:w="2700"/>
        <w:gridCol w:w="1350"/>
        <w:gridCol w:w="2070"/>
        <w:gridCol w:w="1620"/>
        <w:gridCol w:w="3150"/>
      </w:tblGrid>
      <w:tr w:rsidR="00AC2420" w:rsidTr="00AC2420">
        <w:tc>
          <w:tcPr>
            <w:tcW w:w="10890" w:type="dxa"/>
            <w:gridSpan w:val="5"/>
            <w:shd w:val="clear" w:color="auto" w:fill="DEEAF6" w:themeFill="accent1" w:themeFillTint="33"/>
          </w:tcPr>
          <w:p w:rsidR="00AC2420" w:rsidRDefault="00AC2420" w:rsidP="00AC2420">
            <w:pPr>
              <w:spacing w:after="120"/>
              <w:contextualSpacing/>
              <w:jc w:val="center"/>
              <w:rPr>
                <w:rFonts w:eastAsiaTheme="minorHAnsi"/>
                <w:b/>
                <w:sz w:val="20"/>
                <w:szCs w:val="20"/>
                <w:lang w:eastAsia="en-US"/>
              </w:rPr>
            </w:pPr>
            <w:r w:rsidRPr="00AC2420">
              <w:rPr>
                <w:rFonts w:eastAsiaTheme="minorHAnsi"/>
                <w:b/>
                <w:sz w:val="20"/>
                <w:szCs w:val="20"/>
                <w:lang w:eastAsia="en-US"/>
              </w:rPr>
              <w:t>Objectif</w:t>
            </w:r>
            <w:r>
              <w:rPr>
                <w:rFonts w:eastAsiaTheme="minorHAnsi"/>
                <w:b/>
                <w:sz w:val="20"/>
                <w:szCs w:val="20"/>
                <w:lang w:eastAsia="en-US"/>
              </w:rPr>
              <w:t>s</w:t>
            </w:r>
            <w:r w:rsidRPr="00AC2420">
              <w:rPr>
                <w:rFonts w:eastAsiaTheme="minorHAnsi"/>
                <w:b/>
                <w:sz w:val="20"/>
                <w:szCs w:val="20"/>
                <w:lang w:eastAsia="en-US"/>
              </w:rPr>
              <w:t xml:space="preserve"> spécifique</w:t>
            </w:r>
            <w:r>
              <w:rPr>
                <w:rFonts w:eastAsiaTheme="minorHAnsi"/>
                <w:b/>
                <w:sz w:val="20"/>
                <w:szCs w:val="20"/>
                <w:lang w:eastAsia="en-US"/>
              </w:rPr>
              <w:t>s</w:t>
            </w:r>
            <w:r w:rsidRPr="00AC2420">
              <w:rPr>
                <w:rFonts w:eastAsiaTheme="minorHAnsi"/>
                <w:b/>
                <w:sz w:val="20"/>
                <w:szCs w:val="20"/>
                <w:lang w:eastAsia="en-US"/>
              </w:rPr>
              <w:t xml:space="preserve"> du Fonds auquel le programme va con</w:t>
            </w:r>
            <w:r>
              <w:rPr>
                <w:rFonts w:eastAsiaTheme="minorHAnsi"/>
                <w:b/>
                <w:sz w:val="20"/>
                <w:szCs w:val="20"/>
                <w:lang w:eastAsia="en-US"/>
              </w:rPr>
              <w:t>tribuer</w:t>
            </w:r>
          </w:p>
        </w:tc>
      </w:tr>
      <w:tr w:rsidR="00EE0CA3" w:rsidTr="003301C3">
        <w:tc>
          <w:tcPr>
            <w:tcW w:w="2700" w:type="dxa"/>
            <w:shd w:val="clear" w:color="auto" w:fill="DEEAF6" w:themeFill="accent1" w:themeFillTint="33"/>
          </w:tcPr>
          <w:p w:rsidR="00EE0CA3" w:rsidRPr="00AC2420" w:rsidRDefault="00AC2420" w:rsidP="00AC2420">
            <w:pPr>
              <w:spacing w:after="0"/>
              <w:contextualSpacing/>
              <w:rPr>
                <w:b/>
                <w:sz w:val="20"/>
                <w:szCs w:val="20"/>
              </w:rPr>
            </w:pPr>
            <w:r>
              <w:rPr>
                <w:b/>
                <w:sz w:val="20"/>
                <w:szCs w:val="20"/>
              </w:rPr>
              <w:t>Impact</w:t>
            </w:r>
            <w:r w:rsidRPr="00AC2420">
              <w:rPr>
                <w:b/>
                <w:sz w:val="20"/>
                <w:szCs w:val="20"/>
              </w:rPr>
              <w:t xml:space="preserve"> attendu tel que décrit dans le cadre de résultat du </w:t>
            </w:r>
            <w:r>
              <w:rPr>
                <w:b/>
                <w:sz w:val="20"/>
                <w:szCs w:val="20"/>
              </w:rPr>
              <w:t>Plan d’Investissement 2015 - 2020</w:t>
            </w:r>
          </w:p>
        </w:tc>
        <w:tc>
          <w:tcPr>
            <w:tcW w:w="1350" w:type="dxa"/>
            <w:shd w:val="clear" w:color="auto" w:fill="DEEAF6" w:themeFill="accent1" w:themeFillTint="33"/>
          </w:tcPr>
          <w:p w:rsidR="00EE0CA3" w:rsidRPr="00AC2420" w:rsidRDefault="00AC2420" w:rsidP="00AC2420">
            <w:pPr>
              <w:spacing w:after="0"/>
              <w:contextualSpacing/>
              <w:jc w:val="center"/>
              <w:rPr>
                <w:b/>
                <w:sz w:val="20"/>
                <w:szCs w:val="20"/>
              </w:rPr>
            </w:pPr>
            <w:r w:rsidRPr="00AC2420">
              <w:rPr>
                <w:b/>
                <w:sz w:val="20"/>
                <w:szCs w:val="20"/>
              </w:rPr>
              <w:t>Indicateurs</w:t>
            </w:r>
          </w:p>
        </w:tc>
        <w:tc>
          <w:tcPr>
            <w:tcW w:w="2070" w:type="dxa"/>
            <w:shd w:val="clear" w:color="auto" w:fill="DEEAF6" w:themeFill="accent1" w:themeFillTint="33"/>
          </w:tcPr>
          <w:p w:rsidR="00EE0CA3" w:rsidRPr="00AC2420" w:rsidRDefault="00AC2420" w:rsidP="00AC2420">
            <w:pPr>
              <w:spacing w:after="0"/>
              <w:contextualSpacing/>
              <w:jc w:val="center"/>
              <w:rPr>
                <w:b/>
                <w:sz w:val="20"/>
                <w:szCs w:val="20"/>
              </w:rPr>
            </w:pPr>
            <w:r w:rsidRPr="00AC2420">
              <w:rPr>
                <w:b/>
                <w:sz w:val="20"/>
                <w:szCs w:val="20"/>
              </w:rPr>
              <w:t>Situations de référence et cibles finales</w:t>
            </w:r>
          </w:p>
        </w:tc>
        <w:tc>
          <w:tcPr>
            <w:tcW w:w="1620" w:type="dxa"/>
            <w:shd w:val="clear" w:color="auto" w:fill="DEEAF6" w:themeFill="accent1" w:themeFillTint="33"/>
          </w:tcPr>
          <w:p w:rsidR="00EE0CA3" w:rsidRPr="00AC2420" w:rsidRDefault="00AC2420" w:rsidP="00AC2420">
            <w:pPr>
              <w:spacing w:after="0"/>
              <w:contextualSpacing/>
              <w:jc w:val="center"/>
              <w:rPr>
                <w:b/>
                <w:sz w:val="20"/>
                <w:szCs w:val="20"/>
              </w:rPr>
            </w:pPr>
            <w:r w:rsidRPr="00AC2420">
              <w:rPr>
                <w:b/>
                <w:sz w:val="20"/>
                <w:szCs w:val="20"/>
              </w:rPr>
              <w:t>Moyens de vérification</w:t>
            </w:r>
          </w:p>
        </w:tc>
        <w:tc>
          <w:tcPr>
            <w:tcW w:w="3150" w:type="dxa"/>
            <w:shd w:val="clear" w:color="auto" w:fill="DEEAF6" w:themeFill="accent1" w:themeFillTint="33"/>
          </w:tcPr>
          <w:p w:rsidR="00EE0CA3" w:rsidRPr="00AC2420" w:rsidRDefault="00AC2420" w:rsidP="00AC2420">
            <w:pPr>
              <w:spacing w:after="0"/>
              <w:contextualSpacing/>
              <w:jc w:val="center"/>
              <w:rPr>
                <w:b/>
                <w:sz w:val="20"/>
                <w:szCs w:val="20"/>
              </w:rPr>
            </w:pPr>
            <w:r w:rsidRPr="00AC2420">
              <w:rPr>
                <w:b/>
                <w:sz w:val="20"/>
                <w:szCs w:val="20"/>
              </w:rPr>
              <w:t>Hypothèses et conditions critiques</w:t>
            </w:r>
          </w:p>
        </w:tc>
      </w:tr>
      <w:tr w:rsidR="00AC2420" w:rsidTr="00AC2420">
        <w:tc>
          <w:tcPr>
            <w:tcW w:w="10890" w:type="dxa"/>
            <w:gridSpan w:val="5"/>
            <w:shd w:val="clear" w:color="auto" w:fill="D9D9D9" w:themeFill="background1" w:themeFillShade="D9"/>
          </w:tcPr>
          <w:p w:rsidR="00AC2420" w:rsidRDefault="00AC2420" w:rsidP="00AC2420">
            <w:pPr>
              <w:contextualSpacing/>
              <w:rPr>
                <w:rFonts w:eastAsiaTheme="minorHAnsi"/>
                <w:b/>
                <w:sz w:val="20"/>
                <w:szCs w:val="20"/>
                <w:lang w:eastAsia="en-US"/>
              </w:rPr>
            </w:pPr>
            <w:r>
              <w:rPr>
                <w:rFonts w:cs="Times New Roman"/>
                <w:sz w:val="20"/>
                <w:szCs w:val="20"/>
              </w:rPr>
              <w:t>Impact</w:t>
            </w:r>
            <w:r w:rsidRPr="00AC2420">
              <w:rPr>
                <w:rFonts w:cs="Times New Roman"/>
                <w:sz w:val="20"/>
                <w:szCs w:val="20"/>
              </w:rPr>
              <w:t xml:space="preserve"> 1 : </w:t>
            </w:r>
            <w:r>
              <w:rPr>
                <w:rFonts w:cs="Times New Roman"/>
                <w:sz w:val="20"/>
                <w:szCs w:val="20"/>
              </w:rPr>
              <w:t>Réduction des émissions de gaz à effet de serre dues au déboisement et à la dégradation des forêts, et augmentation de l’absorption par les puits dans le secteur forestier</w:t>
            </w:r>
          </w:p>
        </w:tc>
      </w:tr>
      <w:tr w:rsidR="00EE0CA3" w:rsidTr="003301C3">
        <w:tc>
          <w:tcPr>
            <w:tcW w:w="2700" w:type="dxa"/>
          </w:tcPr>
          <w:p w:rsidR="00EE0CA3" w:rsidRDefault="00AC2420" w:rsidP="00AC2420">
            <w:pPr>
              <w:spacing w:after="0"/>
              <w:contextualSpacing/>
              <w:rPr>
                <w:rFonts w:eastAsiaTheme="minorHAnsi"/>
                <w:b/>
                <w:sz w:val="20"/>
                <w:szCs w:val="20"/>
                <w:lang w:eastAsia="en-US"/>
              </w:rPr>
            </w:pPr>
            <w:r w:rsidRPr="00AC2420">
              <w:rPr>
                <w:rFonts w:cs="Times New Roman"/>
                <w:sz w:val="20"/>
                <w:szCs w:val="20"/>
              </w:rPr>
              <w:t>Emissions réduites et absorptions augmentées</w:t>
            </w:r>
          </w:p>
        </w:tc>
        <w:tc>
          <w:tcPr>
            <w:tcW w:w="1350" w:type="dxa"/>
            <w:vAlign w:val="center"/>
          </w:tcPr>
          <w:p w:rsidR="00EE0CA3" w:rsidRDefault="00AC2420" w:rsidP="00AC2420">
            <w:pPr>
              <w:spacing w:after="0"/>
              <w:contextualSpacing/>
              <w:jc w:val="center"/>
              <w:rPr>
                <w:rFonts w:eastAsiaTheme="minorHAnsi"/>
                <w:sz w:val="20"/>
                <w:szCs w:val="20"/>
                <w:lang w:eastAsia="en-US"/>
              </w:rPr>
            </w:pPr>
            <w:r w:rsidRPr="00AC2420">
              <w:rPr>
                <w:rFonts w:eastAsiaTheme="minorHAnsi"/>
                <w:sz w:val="20"/>
                <w:szCs w:val="20"/>
                <w:lang w:eastAsia="en-US"/>
              </w:rPr>
              <w:t>tCO2</w:t>
            </w:r>
          </w:p>
          <w:p w:rsidR="003301C3" w:rsidRPr="00AC2420" w:rsidRDefault="003301C3" w:rsidP="00AC2420">
            <w:pPr>
              <w:spacing w:after="0"/>
              <w:contextualSpacing/>
              <w:jc w:val="center"/>
              <w:rPr>
                <w:rFonts w:eastAsiaTheme="minorHAnsi"/>
                <w:sz w:val="20"/>
                <w:szCs w:val="20"/>
                <w:lang w:eastAsia="en-US"/>
              </w:rPr>
            </w:pPr>
            <w:r>
              <w:rPr>
                <w:rFonts w:eastAsiaTheme="minorHAnsi"/>
                <w:sz w:val="20"/>
                <w:szCs w:val="20"/>
                <w:lang w:eastAsia="en-US"/>
              </w:rPr>
              <w:t>(net)</w:t>
            </w:r>
          </w:p>
        </w:tc>
        <w:tc>
          <w:tcPr>
            <w:tcW w:w="2070" w:type="dxa"/>
            <w:vAlign w:val="center"/>
          </w:tcPr>
          <w:p w:rsidR="00EE0CA3" w:rsidRDefault="00AC2420" w:rsidP="00AC2420">
            <w:pPr>
              <w:spacing w:after="0"/>
              <w:contextualSpacing/>
              <w:jc w:val="center"/>
              <w:rPr>
                <w:rFonts w:eastAsiaTheme="minorHAnsi"/>
                <w:sz w:val="20"/>
                <w:szCs w:val="20"/>
                <w:lang w:eastAsia="en-US"/>
              </w:rPr>
            </w:pPr>
            <w:r>
              <w:rPr>
                <w:rFonts w:eastAsiaTheme="minorHAnsi"/>
                <w:sz w:val="20"/>
                <w:szCs w:val="20"/>
                <w:lang w:eastAsia="en-US"/>
              </w:rPr>
              <w:t>Source : Programme de Réduction des Emissions du Mai-Ndombe</w:t>
            </w:r>
            <w:r w:rsidR="00DE280A">
              <w:rPr>
                <w:rFonts w:eastAsiaTheme="minorHAnsi"/>
                <w:sz w:val="20"/>
                <w:szCs w:val="20"/>
                <w:lang w:eastAsia="en-US"/>
              </w:rPr>
              <w:t xml:space="preserve"> (mai, 2016)</w:t>
            </w:r>
          </w:p>
          <w:p w:rsidR="002D6263" w:rsidRDefault="002D6263" w:rsidP="00AC2420">
            <w:pPr>
              <w:spacing w:after="0"/>
              <w:contextualSpacing/>
              <w:jc w:val="center"/>
              <w:rPr>
                <w:rFonts w:eastAsiaTheme="minorHAnsi"/>
                <w:sz w:val="20"/>
                <w:szCs w:val="20"/>
                <w:lang w:eastAsia="en-US"/>
              </w:rPr>
            </w:pPr>
          </w:p>
          <w:p w:rsidR="002D6263" w:rsidRDefault="002D6263" w:rsidP="00AC2420">
            <w:pPr>
              <w:spacing w:after="0"/>
              <w:contextualSpacing/>
              <w:jc w:val="center"/>
              <w:rPr>
                <w:rFonts w:eastAsiaTheme="minorHAnsi"/>
                <w:sz w:val="20"/>
                <w:szCs w:val="20"/>
                <w:lang w:eastAsia="en-US"/>
              </w:rPr>
            </w:pPr>
            <w:r>
              <w:rPr>
                <w:rFonts w:eastAsiaTheme="minorHAnsi"/>
                <w:sz w:val="20"/>
                <w:szCs w:val="20"/>
                <w:lang w:eastAsia="en-US"/>
              </w:rPr>
              <w:t>0 - 27.7 million</w:t>
            </w:r>
          </w:p>
          <w:p w:rsidR="00AC2420" w:rsidRPr="00AC2420" w:rsidRDefault="00AC2420" w:rsidP="00AC2420">
            <w:pPr>
              <w:spacing w:after="0"/>
              <w:contextualSpacing/>
              <w:jc w:val="center"/>
              <w:rPr>
                <w:rFonts w:eastAsiaTheme="minorHAnsi"/>
                <w:sz w:val="20"/>
                <w:szCs w:val="20"/>
                <w:lang w:eastAsia="en-US"/>
              </w:rPr>
            </w:pPr>
          </w:p>
        </w:tc>
        <w:tc>
          <w:tcPr>
            <w:tcW w:w="1620" w:type="dxa"/>
            <w:vAlign w:val="center"/>
          </w:tcPr>
          <w:p w:rsidR="00EE0CA3" w:rsidRPr="00AC2420" w:rsidRDefault="002D6263" w:rsidP="00AC2420">
            <w:pPr>
              <w:spacing w:after="0"/>
              <w:contextualSpacing/>
              <w:jc w:val="center"/>
              <w:rPr>
                <w:rFonts w:eastAsiaTheme="minorHAnsi"/>
                <w:sz w:val="20"/>
                <w:szCs w:val="20"/>
                <w:lang w:eastAsia="en-US"/>
              </w:rPr>
            </w:pPr>
            <w:r>
              <w:rPr>
                <w:rFonts w:eastAsiaTheme="minorHAnsi"/>
                <w:sz w:val="20"/>
                <w:szCs w:val="20"/>
                <w:lang w:eastAsia="en-US"/>
              </w:rPr>
              <w:t>Monitoring annuel réalisé par la DIAF soutenu par le programme sectoriel SNSF</w:t>
            </w:r>
          </w:p>
        </w:tc>
        <w:tc>
          <w:tcPr>
            <w:tcW w:w="3150" w:type="dxa"/>
            <w:vAlign w:val="center"/>
          </w:tcPr>
          <w:p w:rsidR="00EE0CA3" w:rsidRDefault="002D6263" w:rsidP="002D6263">
            <w:pPr>
              <w:spacing w:after="0"/>
              <w:contextualSpacing/>
              <w:rPr>
                <w:rFonts w:eastAsiaTheme="minorHAnsi"/>
                <w:sz w:val="20"/>
                <w:szCs w:val="20"/>
                <w:lang w:eastAsia="en-US"/>
              </w:rPr>
            </w:pPr>
            <w:r>
              <w:rPr>
                <w:rFonts w:eastAsiaTheme="minorHAnsi"/>
                <w:sz w:val="20"/>
                <w:szCs w:val="20"/>
                <w:lang w:eastAsia="en-US"/>
              </w:rPr>
              <w:t xml:space="preserve">Le </w:t>
            </w:r>
            <w:r w:rsidRPr="002D6263">
              <w:rPr>
                <w:rFonts w:eastAsiaTheme="minorHAnsi"/>
                <w:sz w:val="20"/>
                <w:szCs w:val="20"/>
                <w:lang w:eastAsia="en-US"/>
              </w:rPr>
              <w:t>Programme de Réduction des Emissions du Mai-Ndombe</w:t>
            </w:r>
            <w:r>
              <w:rPr>
                <w:rFonts w:eastAsiaTheme="minorHAnsi"/>
                <w:sz w:val="20"/>
                <w:szCs w:val="20"/>
                <w:lang w:eastAsia="en-US"/>
              </w:rPr>
              <w:t xml:space="preserve"> est présenté en annexe 4b. Sa version finale sera disponible en novembre 2016, aussi les chiffres </w:t>
            </w:r>
            <w:r w:rsidR="00DE280A">
              <w:rPr>
                <w:rFonts w:eastAsiaTheme="minorHAnsi"/>
                <w:sz w:val="20"/>
                <w:szCs w:val="20"/>
                <w:lang w:eastAsia="en-US"/>
              </w:rPr>
              <w:t>proposés</w:t>
            </w:r>
            <w:r>
              <w:rPr>
                <w:rFonts w:eastAsiaTheme="minorHAnsi"/>
                <w:sz w:val="20"/>
                <w:szCs w:val="20"/>
                <w:lang w:eastAsia="en-US"/>
              </w:rPr>
              <w:t xml:space="preserve"> sont susceptibles d’être nuancés à la marge</w:t>
            </w:r>
          </w:p>
          <w:p w:rsidR="003301C3" w:rsidRPr="003301C3" w:rsidRDefault="003301C3" w:rsidP="003301C3">
            <w:pPr>
              <w:spacing w:after="0"/>
              <w:contextualSpacing/>
              <w:rPr>
                <w:rFonts w:eastAsiaTheme="minorHAnsi"/>
                <w:sz w:val="16"/>
                <w:szCs w:val="16"/>
                <w:lang w:eastAsia="en-US"/>
              </w:rPr>
            </w:pPr>
            <w:r w:rsidRPr="003301C3">
              <w:rPr>
                <w:rFonts w:eastAsiaTheme="minorHAnsi"/>
                <w:sz w:val="16"/>
                <w:szCs w:val="16"/>
                <w:lang w:eastAsia="en-US"/>
              </w:rPr>
              <w:t>Déc. 2018 (Jal</w:t>
            </w:r>
            <w:r>
              <w:rPr>
                <w:rFonts w:eastAsiaTheme="minorHAnsi"/>
                <w:sz w:val="16"/>
                <w:szCs w:val="16"/>
                <w:lang w:eastAsia="en-US"/>
              </w:rPr>
              <w:t>on Lettre d’intention) : 5.2 M</w:t>
            </w:r>
          </w:p>
          <w:p w:rsidR="003301C3" w:rsidRPr="003301C3" w:rsidRDefault="003301C3" w:rsidP="003301C3">
            <w:pPr>
              <w:spacing w:after="0"/>
              <w:contextualSpacing/>
              <w:rPr>
                <w:rFonts w:eastAsiaTheme="minorHAnsi"/>
                <w:sz w:val="16"/>
                <w:szCs w:val="16"/>
                <w:lang w:eastAsia="en-US"/>
              </w:rPr>
            </w:pPr>
            <w:r w:rsidRPr="003301C3">
              <w:rPr>
                <w:rFonts w:eastAsiaTheme="minorHAnsi"/>
                <w:sz w:val="16"/>
                <w:szCs w:val="16"/>
                <w:lang w:eastAsia="en-US"/>
              </w:rPr>
              <w:t>Dé</w:t>
            </w:r>
            <w:r>
              <w:rPr>
                <w:rFonts w:eastAsiaTheme="minorHAnsi"/>
                <w:sz w:val="16"/>
                <w:szCs w:val="16"/>
                <w:lang w:eastAsia="en-US"/>
              </w:rPr>
              <w:t>c. 2019 (après 3 ans) : 9.8 M</w:t>
            </w:r>
          </w:p>
          <w:p w:rsidR="002D6263" w:rsidRPr="003301C3" w:rsidRDefault="003301C3" w:rsidP="002D6263">
            <w:pPr>
              <w:spacing w:after="0"/>
              <w:contextualSpacing/>
              <w:rPr>
                <w:rFonts w:eastAsiaTheme="minorHAnsi"/>
                <w:sz w:val="16"/>
                <w:szCs w:val="16"/>
                <w:lang w:eastAsia="en-US"/>
              </w:rPr>
            </w:pPr>
            <w:r w:rsidRPr="003301C3">
              <w:rPr>
                <w:rFonts w:eastAsiaTheme="minorHAnsi"/>
                <w:sz w:val="16"/>
                <w:szCs w:val="16"/>
                <w:lang w:eastAsia="en-US"/>
              </w:rPr>
              <w:t>Déc. 2021 (à l</w:t>
            </w:r>
            <w:r>
              <w:rPr>
                <w:rFonts w:eastAsiaTheme="minorHAnsi"/>
                <w:sz w:val="16"/>
                <w:szCs w:val="16"/>
                <w:lang w:eastAsia="en-US"/>
              </w:rPr>
              <w:t>a clôture du projet) : 27.7 M</w:t>
            </w:r>
          </w:p>
        </w:tc>
      </w:tr>
      <w:tr w:rsidR="002D6263" w:rsidTr="002D6263">
        <w:tc>
          <w:tcPr>
            <w:tcW w:w="10890" w:type="dxa"/>
            <w:gridSpan w:val="5"/>
            <w:shd w:val="clear" w:color="auto" w:fill="D9D9D9" w:themeFill="background1" w:themeFillShade="D9"/>
          </w:tcPr>
          <w:p w:rsidR="002D6263" w:rsidRDefault="002D6263" w:rsidP="002D6263">
            <w:pPr>
              <w:contextualSpacing/>
              <w:rPr>
                <w:rFonts w:eastAsiaTheme="minorHAnsi"/>
                <w:b/>
                <w:sz w:val="20"/>
                <w:szCs w:val="20"/>
                <w:lang w:eastAsia="en-US"/>
              </w:rPr>
            </w:pPr>
            <w:r w:rsidRPr="002D6263">
              <w:rPr>
                <w:rFonts w:cs="Times New Roman"/>
                <w:sz w:val="20"/>
                <w:szCs w:val="20"/>
              </w:rPr>
              <w:t>Impact 2 : Co-bénéfices de développement</w:t>
            </w:r>
          </w:p>
        </w:tc>
      </w:tr>
      <w:tr w:rsidR="00DF1549" w:rsidTr="00DF1549">
        <w:tc>
          <w:tcPr>
            <w:tcW w:w="2700" w:type="dxa"/>
            <w:vMerge w:val="restart"/>
            <w:tcBorders>
              <w:right w:val="single" w:sz="4" w:space="0" w:color="auto"/>
            </w:tcBorders>
            <w:vAlign w:val="center"/>
          </w:tcPr>
          <w:p w:rsidR="00DF1549" w:rsidRDefault="00DF1549" w:rsidP="00DF1549">
            <w:pPr>
              <w:spacing w:after="0"/>
              <w:contextualSpacing/>
              <w:rPr>
                <w:rFonts w:eastAsiaTheme="minorHAnsi"/>
                <w:b/>
                <w:sz w:val="20"/>
                <w:szCs w:val="20"/>
                <w:lang w:eastAsia="en-US"/>
              </w:rPr>
            </w:pPr>
            <w:r>
              <w:rPr>
                <w:rFonts w:cs="Times New Roman"/>
                <w:sz w:val="20"/>
                <w:szCs w:val="20"/>
              </w:rPr>
              <w:t>Personnes</w:t>
            </w:r>
            <w:r w:rsidRPr="0015070B">
              <w:rPr>
                <w:rFonts w:cs="Times New Roman"/>
                <w:sz w:val="20"/>
                <w:szCs w:val="20"/>
              </w:rPr>
              <w:t xml:space="preserve"> </w:t>
            </w:r>
            <w:r>
              <w:rPr>
                <w:rFonts w:cs="Times New Roman"/>
                <w:sz w:val="20"/>
                <w:szCs w:val="20"/>
              </w:rPr>
              <w:t>avec des moyens d’existence meilleurs du fait du projet (revenus monétaires ou bénéfices en nature)</w:t>
            </w:r>
          </w:p>
        </w:tc>
        <w:tc>
          <w:tcPr>
            <w:tcW w:w="1350" w:type="dxa"/>
            <w:tcBorders>
              <w:top w:val="single" w:sz="4" w:space="0" w:color="auto"/>
              <w:left w:val="single" w:sz="4" w:space="0" w:color="auto"/>
              <w:bottom w:val="nil"/>
              <w:right w:val="single" w:sz="4" w:space="0" w:color="auto"/>
            </w:tcBorders>
            <w:vAlign w:val="center"/>
          </w:tcPr>
          <w:p w:rsidR="00DF1549" w:rsidRDefault="00DF1549" w:rsidP="0015070B">
            <w:pPr>
              <w:spacing w:after="0"/>
              <w:contextualSpacing/>
              <w:jc w:val="center"/>
              <w:rPr>
                <w:rFonts w:eastAsiaTheme="minorHAnsi"/>
                <w:b/>
                <w:sz w:val="20"/>
                <w:szCs w:val="20"/>
                <w:lang w:eastAsia="en-US"/>
              </w:rPr>
            </w:pPr>
            <w:r w:rsidRPr="0015070B">
              <w:rPr>
                <w:rFonts w:eastAsiaTheme="minorHAnsi"/>
                <w:sz w:val="20"/>
                <w:szCs w:val="20"/>
                <w:lang w:eastAsia="en-US"/>
              </w:rPr>
              <w:t>Nombre</w:t>
            </w:r>
          </w:p>
        </w:tc>
        <w:tc>
          <w:tcPr>
            <w:tcW w:w="2070" w:type="dxa"/>
            <w:tcBorders>
              <w:left w:val="single" w:sz="4" w:space="0" w:color="auto"/>
            </w:tcBorders>
            <w:vAlign w:val="center"/>
          </w:tcPr>
          <w:p w:rsidR="00DF1549" w:rsidRPr="00DF1549" w:rsidRDefault="00DF1549" w:rsidP="0015070B">
            <w:pPr>
              <w:spacing w:after="120"/>
              <w:contextualSpacing/>
              <w:jc w:val="center"/>
              <w:rPr>
                <w:rFonts w:eastAsiaTheme="minorHAnsi"/>
                <w:sz w:val="20"/>
                <w:szCs w:val="20"/>
                <w:lang w:eastAsia="en-US"/>
              </w:rPr>
            </w:pPr>
            <w:r w:rsidRPr="00DF1549">
              <w:rPr>
                <w:rFonts w:eastAsiaTheme="minorHAnsi"/>
                <w:sz w:val="20"/>
                <w:szCs w:val="20"/>
                <w:lang w:eastAsia="en-US"/>
              </w:rPr>
              <w:t xml:space="preserve">0 </w:t>
            </w:r>
            <w:r>
              <w:rPr>
                <w:rFonts w:eastAsiaTheme="minorHAnsi"/>
                <w:sz w:val="20"/>
                <w:szCs w:val="20"/>
                <w:lang w:eastAsia="en-US"/>
              </w:rPr>
              <w:t>- 1</w:t>
            </w:r>
            <w:r w:rsidRPr="00DF1549">
              <w:rPr>
                <w:rFonts w:eastAsiaTheme="minorHAnsi"/>
                <w:sz w:val="20"/>
                <w:szCs w:val="20"/>
                <w:lang w:eastAsia="en-US"/>
              </w:rPr>
              <w:t>50 000</w:t>
            </w:r>
          </w:p>
        </w:tc>
        <w:tc>
          <w:tcPr>
            <w:tcW w:w="1620" w:type="dxa"/>
            <w:vMerge w:val="restart"/>
            <w:vAlign w:val="center"/>
          </w:tcPr>
          <w:p w:rsidR="00DF1549" w:rsidRDefault="00DF1549" w:rsidP="00DF1549">
            <w:pPr>
              <w:spacing w:after="0"/>
              <w:contextualSpacing/>
              <w:rPr>
                <w:rFonts w:eastAsiaTheme="minorHAnsi"/>
                <w:b/>
                <w:sz w:val="20"/>
                <w:szCs w:val="20"/>
                <w:lang w:eastAsia="en-US"/>
              </w:rPr>
            </w:pPr>
            <w:r w:rsidRPr="00DF1549">
              <w:rPr>
                <w:sz w:val="20"/>
                <w:szCs w:val="20"/>
              </w:rPr>
              <w:t>Equipes de suivi &amp; évaluation de l’ALE et de l’UC-PIF</w:t>
            </w:r>
          </w:p>
        </w:tc>
        <w:tc>
          <w:tcPr>
            <w:tcW w:w="3150" w:type="dxa"/>
            <w:vAlign w:val="center"/>
          </w:tcPr>
          <w:p w:rsidR="00DF1549" w:rsidRPr="00DF1549" w:rsidRDefault="00DF1549" w:rsidP="00DF1549">
            <w:pPr>
              <w:spacing w:after="0"/>
              <w:contextualSpacing/>
              <w:rPr>
                <w:rFonts w:eastAsiaTheme="minorHAnsi"/>
                <w:sz w:val="16"/>
                <w:szCs w:val="16"/>
                <w:lang w:eastAsia="en-US"/>
              </w:rPr>
            </w:pPr>
            <w:r w:rsidRPr="00DF1549">
              <w:rPr>
                <w:rFonts w:eastAsiaTheme="minorHAnsi"/>
                <w:sz w:val="16"/>
                <w:szCs w:val="16"/>
                <w:lang w:eastAsia="en-US"/>
              </w:rPr>
              <w:t>Déc. 2018 (J</w:t>
            </w:r>
            <w:r>
              <w:rPr>
                <w:rFonts w:eastAsiaTheme="minorHAnsi"/>
                <w:sz w:val="16"/>
                <w:szCs w:val="16"/>
                <w:lang w:eastAsia="en-US"/>
              </w:rPr>
              <w:t>alon Lettre d’intention) : 40 000</w:t>
            </w:r>
          </w:p>
          <w:p w:rsidR="00DF1549" w:rsidRPr="00DF1549" w:rsidRDefault="00DF1549" w:rsidP="00DF1549">
            <w:pPr>
              <w:spacing w:after="0"/>
              <w:contextualSpacing/>
              <w:rPr>
                <w:rFonts w:eastAsiaTheme="minorHAnsi"/>
                <w:sz w:val="16"/>
                <w:szCs w:val="16"/>
                <w:lang w:eastAsia="en-US"/>
              </w:rPr>
            </w:pPr>
            <w:r>
              <w:rPr>
                <w:rFonts w:eastAsiaTheme="minorHAnsi"/>
                <w:sz w:val="16"/>
                <w:szCs w:val="16"/>
                <w:lang w:eastAsia="en-US"/>
              </w:rPr>
              <w:t>Déc. 2019 (après 3 ans) : 100 000</w:t>
            </w:r>
          </w:p>
          <w:p w:rsidR="00DF1549" w:rsidRDefault="00DF1549" w:rsidP="00DF1549">
            <w:pPr>
              <w:spacing w:after="0"/>
              <w:contextualSpacing/>
              <w:rPr>
                <w:rFonts w:eastAsiaTheme="minorHAnsi"/>
                <w:b/>
                <w:sz w:val="20"/>
                <w:szCs w:val="20"/>
                <w:lang w:eastAsia="en-US"/>
              </w:rPr>
            </w:pPr>
            <w:r w:rsidRPr="00DF1549">
              <w:rPr>
                <w:rFonts w:eastAsiaTheme="minorHAnsi"/>
                <w:sz w:val="16"/>
                <w:szCs w:val="16"/>
                <w:lang w:eastAsia="en-US"/>
              </w:rPr>
              <w:t xml:space="preserve">Déc. 2021 </w:t>
            </w:r>
            <w:r>
              <w:rPr>
                <w:rFonts w:eastAsiaTheme="minorHAnsi"/>
                <w:sz w:val="16"/>
                <w:szCs w:val="16"/>
                <w:lang w:eastAsia="en-US"/>
              </w:rPr>
              <w:t>(à la clôture du projet) : 150 000</w:t>
            </w:r>
          </w:p>
        </w:tc>
      </w:tr>
      <w:tr w:rsidR="00DF1549" w:rsidTr="00DF1549">
        <w:tc>
          <w:tcPr>
            <w:tcW w:w="2700" w:type="dxa"/>
            <w:vMerge/>
            <w:tcBorders>
              <w:right w:val="single" w:sz="4" w:space="0" w:color="auto"/>
            </w:tcBorders>
          </w:tcPr>
          <w:p w:rsidR="00DF1549" w:rsidRDefault="00DF1549" w:rsidP="00AF2D73">
            <w:pPr>
              <w:spacing w:after="120"/>
              <w:contextualSpacing/>
              <w:jc w:val="both"/>
              <w:rPr>
                <w:rFonts w:eastAsiaTheme="minorHAnsi"/>
                <w:b/>
                <w:sz w:val="20"/>
                <w:szCs w:val="20"/>
                <w:lang w:eastAsia="en-US"/>
              </w:rPr>
            </w:pPr>
          </w:p>
        </w:tc>
        <w:tc>
          <w:tcPr>
            <w:tcW w:w="1350" w:type="dxa"/>
            <w:tcBorders>
              <w:top w:val="nil"/>
              <w:left w:val="single" w:sz="4" w:space="0" w:color="auto"/>
              <w:bottom w:val="nil"/>
              <w:right w:val="single" w:sz="4" w:space="0" w:color="auto"/>
            </w:tcBorders>
            <w:vAlign w:val="center"/>
          </w:tcPr>
          <w:p w:rsidR="00DF1549" w:rsidRPr="00DF1549" w:rsidRDefault="00DF1549" w:rsidP="00DF1549">
            <w:pPr>
              <w:spacing w:after="120"/>
              <w:contextualSpacing/>
              <w:jc w:val="center"/>
              <w:rPr>
                <w:rFonts w:eastAsiaTheme="minorHAnsi"/>
                <w:sz w:val="20"/>
                <w:szCs w:val="20"/>
                <w:lang w:eastAsia="en-US"/>
              </w:rPr>
            </w:pPr>
            <w:r>
              <w:rPr>
                <w:rFonts w:eastAsiaTheme="minorHAnsi"/>
                <w:sz w:val="20"/>
                <w:szCs w:val="20"/>
                <w:lang w:eastAsia="en-US"/>
              </w:rPr>
              <w:t>d</w:t>
            </w:r>
            <w:r w:rsidRPr="00DF1549">
              <w:rPr>
                <w:rFonts w:eastAsiaTheme="minorHAnsi"/>
                <w:sz w:val="20"/>
                <w:szCs w:val="20"/>
                <w:lang w:eastAsia="en-US"/>
              </w:rPr>
              <w:t>ont femmes</w:t>
            </w:r>
          </w:p>
        </w:tc>
        <w:tc>
          <w:tcPr>
            <w:tcW w:w="2070" w:type="dxa"/>
            <w:tcBorders>
              <w:left w:val="single" w:sz="4" w:space="0" w:color="auto"/>
            </w:tcBorders>
            <w:vAlign w:val="center"/>
          </w:tcPr>
          <w:p w:rsidR="00DF1549" w:rsidRPr="00DF1549" w:rsidRDefault="00DF1549" w:rsidP="00DF1549">
            <w:pPr>
              <w:spacing w:after="120"/>
              <w:contextualSpacing/>
              <w:jc w:val="center"/>
              <w:rPr>
                <w:rFonts w:eastAsiaTheme="minorHAnsi"/>
                <w:sz w:val="20"/>
                <w:szCs w:val="20"/>
                <w:lang w:eastAsia="en-US"/>
              </w:rPr>
            </w:pPr>
            <w:r>
              <w:rPr>
                <w:rFonts w:eastAsiaTheme="minorHAnsi"/>
                <w:sz w:val="20"/>
                <w:szCs w:val="20"/>
                <w:lang w:eastAsia="en-US"/>
              </w:rPr>
              <w:t>0 - 75 000</w:t>
            </w:r>
          </w:p>
        </w:tc>
        <w:tc>
          <w:tcPr>
            <w:tcW w:w="1620" w:type="dxa"/>
            <w:vMerge/>
            <w:vAlign w:val="center"/>
          </w:tcPr>
          <w:p w:rsidR="00DF1549" w:rsidRPr="00DF1549" w:rsidRDefault="00DF1549" w:rsidP="00DF1549">
            <w:pPr>
              <w:spacing w:after="120"/>
              <w:contextualSpacing/>
              <w:jc w:val="center"/>
              <w:rPr>
                <w:rFonts w:eastAsiaTheme="minorHAnsi"/>
                <w:sz w:val="20"/>
                <w:szCs w:val="20"/>
                <w:lang w:eastAsia="en-US"/>
              </w:rPr>
            </w:pPr>
          </w:p>
        </w:tc>
        <w:tc>
          <w:tcPr>
            <w:tcW w:w="3150" w:type="dxa"/>
            <w:vAlign w:val="center"/>
          </w:tcPr>
          <w:p w:rsidR="00DF1549" w:rsidRPr="00DF1549" w:rsidRDefault="00DF1549" w:rsidP="00DF1549">
            <w:pPr>
              <w:spacing w:after="0"/>
              <w:contextualSpacing/>
              <w:rPr>
                <w:rFonts w:eastAsiaTheme="minorHAnsi"/>
                <w:sz w:val="16"/>
                <w:szCs w:val="16"/>
                <w:lang w:eastAsia="en-US"/>
              </w:rPr>
            </w:pPr>
            <w:r w:rsidRPr="00DF1549">
              <w:rPr>
                <w:rFonts w:eastAsiaTheme="minorHAnsi"/>
                <w:sz w:val="16"/>
                <w:szCs w:val="16"/>
                <w:lang w:eastAsia="en-US"/>
              </w:rPr>
              <w:t>Déc. 201</w:t>
            </w:r>
            <w:r>
              <w:rPr>
                <w:rFonts w:eastAsiaTheme="minorHAnsi"/>
                <w:sz w:val="16"/>
                <w:szCs w:val="16"/>
                <w:lang w:eastAsia="en-US"/>
              </w:rPr>
              <w:t>8 (Jalon Lettre d’intention) : 2</w:t>
            </w:r>
            <w:r w:rsidRPr="00DF1549">
              <w:rPr>
                <w:rFonts w:eastAsiaTheme="minorHAnsi"/>
                <w:sz w:val="16"/>
                <w:szCs w:val="16"/>
                <w:lang w:eastAsia="en-US"/>
              </w:rPr>
              <w:t>0 000</w:t>
            </w:r>
          </w:p>
          <w:p w:rsidR="00DF1549" w:rsidRPr="00DF1549" w:rsidRDefault="00DF1549" w:rsidP="00DF1549">
            <w:pPr>
              <w:spacing w:after="0"/>
              <w:contextualSpacing/>
              <w:rPr>
                <w:rFonts w:eastAsiaTheme="minorHAnsi"/>
                <w:sz w:val="16"/>
                <w:szCs w:val="16"/>
                <w:lang w:eastAsia="en-US"/>
              </w:rPr>
            </w:pPr>
            <w:r>
              <w:rPr>
                <w:rFonts w:eastAsiaTheme="minorHAnsi"/>
                <w:sz w:val="16"/>
                <w:szCs w:val="16"/>
                <w:lang w:eastAsia="en-US"/>
              </w:rPr>
              <w:t>Déc. 2019 (après 3 ans) : 5</w:t>
            </w:r>
            <w:r w:rsidRPr="00DF1549">
              <w:rPr>
                <w:rFonts w:eastAsiaTheme="minorHAnsi"/>
                <w:sz w:val="16"/>
                <w:szCs w:val="16"/>
                <w:lang w:eastAsia="en-US"/>
              </w:rPr>
              <w:t>0 000</w:t>
            </w:r>
          </w:p>
          <w:p w:rsidR="00DF1549" w:rsidRPr="00DF1549" w:rsidRDefault="00DF1549" w:rsidP="00DF1549">
            <w:pPr>
              <w:spacing w:after="0"/>
              <w:contextualSpacing/>
              <w:rPr>
                <w:rFonts w:eastAsiaTheme="minorHAnsi"/>
                <w:sz w:val="20"/>
                <w:szCs w:val="20"/>
                <w:lang w:eastAsia="en-US"/>
              </w:rPr>
            </w:pPr>
            <w:r w:rsidRPr="00DF1549">
              <w:rPr>
                <w:rFonts w:eastAsiaTheme="minorHAnsi"/>
                <w:sz w:val="16"/>
                <w:szCs w:val="16"/>
                <w:lang w:eastAsia="en-US"/>
              </w:rPr>
              <w:t>Déc. 202</w:t>
            </w:r>
            <w:r>
              <w:rPr>
                <w:rFonts w:eastAsiaTheme="minorHAnsi"/>
                <w:sz w:val="16"/>
                <w:szCs w:val="16"/>
                <w:lang w:eastAsia="en-US"/>
              </w:rPr>
              <w:t>1 (à la clôture du projet) : 75</w:t>
            </w:r>
            <w:r w:rsidRPr="00DF1549">
              <w:rPr>
                <w:rFonts w:eastAsiaTheme="minorHAnsi"/>
                <w:sz w:val="16"/>
                <w:szCs w:val="16"/>
                <w:lang w:eastAsia="en-US"/>
              </w:rPr>
              <w:t xml:space="preserve"> 000</w:t>
            </w:r>
          </w:p>
        </w:tc>
      </w:tr>
      <w:tr w:rsidR="00DF1549" w:rsidTr="00DF1549">
        <w:tc>
          <w:tcPr>
            <w:tcW w:w="2700" w:type="dxa"/>
            <w:vMerge/>
            <w:tcBorders>
              <w:right w:val="single" w:sz="4" w:space="0" w:color="auto"/>
            </w:tcBorders>
          </w:tcPr>
          <w:p w:rsidR="00DF1549" w:rsidRDefault="00DF1549" w:rsidP="00AF2D73">
            <w:pPr>
              <w:spacing w:after="120"/>
              <w:contextualSpacing/>
              <w:jc w:val="both"/>
              <w:rPr>
                <w:rFonts w:eastAsiaTheme="minorHAnsi"/>
                <w:b/>
                <w:sz w:val="20"/>
                <w:szCs w:val="20"/>
                <w:lang w:eastAsia="en-US"/>
              </w:rPr>
            </w:pPr>
          </w:p>
        </w:tc>
        <w:tc>
          <w:tcPr>
            <w:tcW w:w="1350" w:type="dxa"/>
            <w:tcBorders>
              <w:top w:val="nil"/>
              <w:left w:val="single" w:sz="4" w:space="0" w:color="auto"/>
              <w:bottom w:val="single" w:sz="4" w:space="0" w:color="auto"/>
              <w:right w:val="single" w:sz="4" w:space="0" w:color="auto"/>
            </w:tcBorders>
            <w:vAlign w:val="center"/>
          </w:tcPr>
          <w:p w:rsidR="00DF1549" w:rsidRPr="00DF1549" w:rsidRDefault="00DF1549" w:rsidP="00DF1549">
            <w:pPr>
              <w:spacing w:after="120"/>
              <w:contextualSpacing/>
              <w:jc w:val="center"/>
              <w:rPr>
                <w:rFonts w:eastAsiaTheme="minorHAnsi"/>
                <w:sz w:val="20"/>
                <w:szCs w:val="20"/>
                <w:lang w:eastAsia="en-US"/>
              </w:rPr>
            </w:pPr>
            <w:r>
              <w:rPr>
                <w:rFonts w:eastAsiaTheme="minorHAnsi"/>
                <w:sz w:val="20"/>
                <w:szCs w:val="20"/>
                <w:lang w:eastAsia="en-US"/>
              </w:rPr>
              <w:t>dont PA</w:t>
            </w:r>
          </w:p>
        </w:tc>
        <w:tc>
          <w:tcPr>
            <w:tcW w:w="2070" w:type="dxa"/>
            <w:tcBorders>
              <w:left w:val="single" w:sz="4" w:space="0" w:color="auto"/>
            </w:tcBorders>
            <w:vAlign w:val="center"/>
          </w:tcPr>
          <w:p w:rsidR="00DF1549" w:rsidRPr="00DF1549" w:rsidRDefault="00DF1549" w:rsidP="00DF1549">
            <w:pPr>
              <w:spacing w:after="120"/>
              <w:contextualSpacing/>
              <w:jc w:val="center"/>
              <w:rPr>
                <w:rFonts w:eastAsiaTheme="minorHAnsi"/>
                <w:sz w:val="20"/>
                <w:szCs w:val="20"/>
                <w:lang w:eastAsia="en-US"/>
              </w:rPr>
            </w:pPr>
            <w:r>
              <w:rPr>
                <w:rFonts w:eastAsiaTheme="minorHAnsi"/>
                <w:sz w:val="20"/>
                <w:szCs w:val="20"/>
                <w:lang w:eastAsia="en-US"/>
              </w:rPr>
              <w:t>0 - 15 000</w:t>
            </w:r>
          </w:p>
        </w:tc>
        <w:tc>
          <w:tcPr>
            <w:tcW w:w="1620" w:type="dxa"/>
            <w:vMerge/>
            <w:vAlign w:val="center"/>
          </w:tcPr>
          <w:p w:rsidR="00DF1549" w:rsidRPr="00DF1549" w:rsidRDefault="00DF1549" w:rsidP="00DF1549">
            <w:pPr>
              <w:spacing w:after="120"/>
              <w:contextualSpacing/>
              <w:jc w:val="center"/>
              <w:rPr>
                <w:rFonts w:eastAsiaTheme="minorHAnsi"/>
                <w:sz w:val="20"/>
                <w:szCs w:val="20"/>
                <w:lang w:eastAsia="en-US"/>
              </w:rPr>
            </w:pPr>
          </w:p>
        </w:tc>
        <w:tc>
          <w:tcPr>
            <w:tcW w:w="3150" w:type="dxa"/>
            <w:vAlign w:val="center"/>
          </w:tcPr>
          <w:p w:rsidR="00DF1549" w:rsidRPr="00DF1549" w:rsidRDefault="00DF1549" w:rsidP="00DF1549">
            <w:pPr>
              <w:spacing w:after="0"/>
              <w:contextualSpacing/>
              <w:rPr>
                <w:rFonts w:eastAsiaTheme="minorHAnsi"/>
                <w:sz w:val="16"/>
                <w:szCs w:val="16"/>
                <w:lang w:eastAsia="en-US"/>
              </w:rPr>
            </w:pPr>
            <w:r w:rsidRPr="00DF1549">
              <w:rPr>
                <w:rFonts w:eastAsiaTheme="minorHAnsi"/>
                <w:sz w:val="16"/>
                <w:szCs w:val="16"/>
                <w:lang w:eastAsia="en-US"/>
              </w:rPr>
              <w:t>Déc. 2018</w:t>
            </w:r>
            <w:r>
              <w:rPr>
                <w:rFonts w:eastAsiaTheme="minorHAnsi"/>
                <w:sz w:val="16"/>
                <w:szCs w:val="16"/>
                <w:lang w:eastAsia="en-US"/>
              </w:rPr>
              <w:t xml:space="preserve"> (Jalon Lettre d’intention) : 4</w:t>
            </w:r>
            <w:r w:rsidRPr="00DF1549">
              <w:rPr>
                <w:rFonts w:eastAsiaTheme="minorHAnsi"/>
                <w:sz w:val="16"/>
                <w:szCs w:val="16"/>
                <w:lang w:eastAsia="en-US"/>
              </w:rPr>
              <w:t xml:space="preserve"> 000</w:t>
            </w:r>
          </w:p>
          <w:p w:rsidR="00DF1549" w:rsidRPr="00DF1549" w:rsidRDefault="00DF1549" w:rsidP="00DF1549">
            <w:pPr>
              <w:spacing w:after="0"/>
              <w:contextualSpacing/>
              <w:rPr>
                <w:rFonts w:eastAsiaTheme="minorHAnsi"/>
                <w:sz w:val="16"/>
                <w:szCs w:val="16"/>
                <w:lang w:eastAsia="en-US"/>
              </w:rPr>
            </w:pPr>
            <w:r>
              <w:rPr>
                <w:rFonts w:eastAsiaTheme="minorHAnsi"/>
                <w:sz w:val="16"/>
                <w:szCs w:val="16"/>
                <w:lang w:eastAsia="en-US"/>
              </w:rPr>
              <w:t>Déc. 2019 (après 3 ans) : 10</w:t>
            </w:r>
            <w:r w:rsidRPr="00DF1549">
              <w:rPr>
                <w:rFonts w:eastAsiaTheme="minorHAnsi"/>
                <w:sz w:val="16"/>
                <w:szCs w:val="16"/>
                <w:lang w:eastAsia="en-US"/>
              </w:rPr>
              <w:t xml:space="preserve"> 000</w:t>
            </w:r>
          </w:p>
          <w:p w:rsidR="00DF1549" w:rsidRPr="00DF1549" w:rsidRDefault="00DF1549" w:rsidP="00DF1549">
            <w:pPr>
              <w:spacing w:after="0"/>
              <w:contextualSpacing/>
              <w:rPr>
                <w:rFonts w:eastAsiaTheme="minorHAnsi"/>
                <w:sz w:val="20"/>
                <w:szCs w:val="20"/>
                <w:lang w:eastAsia="en-US"/>
              </w:rPr>
            </w:pPr>
            <w:r w:rsidRPr="00DF1549">
              <w:rPr>
                <w:rFonts w:eastAsiaTheme="minorHAnsi"/>
                <w:sz w:val="16"/>
                <w:szCs w:val="16"/>
                <w:lang w:eastAsia="en-US"/>
              </w:rPr>
              <w:t>Déc. 202</w:t>
            </w:r>
            <w:r>
              <w:rPr>
                <w:rFonts w:eastAsiaTheme="minorHAnsi"/>
                <w:sz w:val="16"/>
                <w:szCs w:val="16"/>
                <w:lang w:eastAsia="en-US"/>
              </w:rPr>
              <w:t>1 (à la clôture du projet) : 15</w:t>
            </w:r>
            <w:r w:rsidRPr="00DF1549">
              <w:rPr>
                <w:rFonts w:eastAsiaTheme="minorHAnsi"/>
                <w:sz w:val="16"/>
                <w:szCs w:val="16"/>
                <w:lang w:eastAsia="en-US"/>
              </w:rPr>
              <w:t xml:space="preserve"> 000</w:t>
            </w:r>
          </w:p>
        </w:tc>
      </w:tr>
    </w:tbl>
    <w:p w:rsidR="00EE0CA3" w:rsidRDefault="00EE0CA3" w:rsidP="00AF2D73">
      <w:pPr>
        <w:spacing w:after="120"/>
        <w:contextualSpacing/>
        <w:jc w:val="both"/>
        <w:rPr>
          <w:rFonts w:eastAsiaTheme="minorHAnsi"/>
          <w:b/>
          <w:sz w:val="20"/>
          <w:szCs w:val="20"/>
          <w:lang w:eastAsia="en-US"/>
        </w:rPr>
      </w:pPr>
    </w:p>
    <w:p w:rsidR="00045DDB" w:rsidRPr="004E7C36" w:rsidRDefault="00045DDB" w:rsidP="00AF2D73">
      <w:pPr>
        <w:spacing w:after="120"/>
        <w:contextualSpacing/>
        <w:jc w:val="both"/>
        <w:rPr>
          <w:rFonts w:eastAsiaTheme="minorHAnsi"/>
          <w:b/>
          <w:sz w:val="20"/>
          <w:szCs w:val="20"/>
          <w:lang w:eastAsia="en-US"/>
        </w:rPr>
      </w:pP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1404"/>
        <w:gridCol w:w="2122"/>
        <w:gridCol w:w="1568"/>
        <w:gridCol w:w="1494"/>
        <w:gridCol w:w="1656"/>
      </w:tblGrid>
      <w:tr w:rsidR="00AF2D73" w:rsidRPr="000F598B" w:rsidTr="00ED144B">
        <w:trPr>
          <w:trHeight w:val="265"/>
          <w:jc w:val="center"/>
        </w:trPr>
        <w:tc>
          <w:tcPr>
            <w:tcW w:w="10885" w:type="dxa"/>
            <w:gridSpan w:val="6"/>
            <w:shd w:val="clear" w:color="auto" w:fill="DEEAF6" w:themeFill="accent1" w:themeFillTint="33"/>
            <w:vAlign w:val="center"/>
          </w:tcPr>
          <w:p w:rsidR="00AF2D73" w:rsidRPr="000F598B" w:rsidRDefault="00AF2D73" w:rsidP="000828CD">
            <w:pPr>
              <w:contextualSpacing/>
              <w:jc w:val="center"/>
              <w:rPr>
                <w:b/>
                <w:sz w:val="20"/>
                <w:szCs w:val="20"/>
              </w:rPr>
            </w:pPr>
            <w:r w:rsidRPr="000F598B">
              <w:rPr>
                <w:b/>
                <w:sz w:val="20"/>
                <w:szCs w:val="20"/>
              </w:rPr>
              <w:t>Objectif</w:t>
            </w:r>
            <w:r w:rsidR="00AC2420">
              <w:rPr>
                <w:b/>
                <w:sz w:val="20"/>
                <w:szCs w:val="20"/>
              </w:rPr>
              <w:t>s</w:t>
            </w:r>
            <w:r w:rsidRPr="000F598B">
              <w:rPr>
                <w:b/>
                <w:sz w:val="20"/>
                <w:szCs w:val="20"/>
              </w:rPr>
              <w:t xml:space="preserve"> spécifique</w:t>
            </w:r>
            <w:r w:rsidR="00AC2420">
              <w:rPr>
                <w:b/>
                <w:sz w:val="20"/>
                <w:szCs w:val="20"/>
              </w:rPr>
              <w:t>s</w:t>
            </w:r>
            <w:r w:rsidRPr="000F598B">
              <w:rPr>
                <w:b/>
                <w:sz w:val="20"/>
                <w:szCs w:val="20"/>
              </w:rPr>
              <w:t xml:space="preserve"> du Fonds auq</w:t>
            </w:r>
            <w:r w:rsidR="00AC2420">
              <w:rPr>
                <w:b/>
                <w:sz w:val="20"/>
                <w:szCs w:val="20"/>
              </w:rPr>
              <w:t>uel le programme va contribuer</w:t>
            </w:r>
          </w:p>
        </w:tc>
      </w:tr>
      <w:tr w:rsidR="00C306CE" w:rsidRPr="000F598B" w:rsidTr="00ED144B">
        <w:trPr>
          <w:trHeight w:val="796"/>
          <w:jc w:val="center"/>
        </w:trPr>
        <w:tc>
          <w:tcPr>
            <w:tcW w:w="2641" w:type="dxa"/>
            <w:shd w:val="clear" w:color="auto" w:fill="DEEAF6" w:themeFill="accent1" w:themeFillTint="33"/>
            <w:vAlign w:val="center"/>
          </w:tcPr>
          <w:p w:rsidR="00AF2D73" w:rsidRPr="000F598B" w:rsidRDefault="00AF2D73" w:rsidP="00AC2420">
            <w:pPr>
              <w:spacing w:after="0"/>
              <w:contextualSpacing/>
              <w:rPr>
                <w:b/>
                <w:sz w:val="20"/>
                <w:szCs w:val="20"/>
              </w:rPr>
            </w:pPr>
            <w:r w:rsidRPr="000F598B">
              <w:rPr>
                <w:b/>
                <w:sz w:val="20"/>
                <w:szCs w:val="20"/>
              </w:rPr>
              <w:t xml:space="preserve">Effet attendu tel que décrit dans le cadre de résultat du </w:t>
            </w:r>
            <w:r w:rsidR="00AC2420" w:rsidRPr="00AC2420">
              <w:rPr>
                <w:b/>
                <w:sz w:val="20"/>
                <w:szCs w:val="20"/>
              </w:rPr>
              <w:t>Plan d’Investissement</w:t>
            </w:r>
            <w:r w:rsidR="00AC2420">
              <w:rPr>
                <w:b/>
                <w:sz w:val="20"/>
                <w:szCs w:val="20"/>
              </w:rPr>
              <w:t xml:space="preserve"> 2015 - 2020</w:t>
            </w:r>
          </w:p>
        </w:tc>
        <w:tc>
          <w:tcPr>
            <w:tcW w:w="1404"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Indicateurs</w:t>
            </w:r>
          </w:p>
        </w:tc>
        <w:tc>
          <w:tcPr>
            <w:tcW w:w="2122"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Situations de référence et cibles finales</w:t>
            </w:r>
          </w:p>
        </w:tc>
        <w:tc>
          <w:tcPr>
            <w:tcW w:w="1568"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Moyens de vérification</w:t>
            </w:r>
          </w:p>
        </w:tc>
        <w:tc>
          <w:tcPr>
            <w:tcW w:w="3150" w:type="dxa"/>
            <w:gridSpan w:val="2"/>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Hypothèses et conditions critiques</w:t>
            </w:r>
          </w:p>
        </w:tc>
      </w:tr>
      <w:tr w:rsidR="000E1A6C" w:rsidRPr="000F598B" w:rsidTr="00ED144B">
        <w:trPr>
          <w:trHeight w:val="355"/>
          <w:jc w:val="center"/>
        </w:trPr>
        <w:tc>
          <w:tcPr>
            <w:tcW w:w="10885" w:type="dxa"/>
            <w:gridSpan w:val="6"/>
            <w:shd w:val="clear" w:color="auto" w:fill="D9D9D9" w:themeFill="background1" w:themeFillShade="D9"/>
            <w:vAlign w:val="center"/>
          </w:tcPr>
          <w:p w:rsidR="000E1A6C" w:rsidRDefault="000E1A6C" w:rsidP="00653C9E">
            <w:pPr>
              <w:contextualSpacing/>
              <w:rPr>
                <w:sz w:val="20"/>
                <w:szCs w:val="20"/>
              </w:rPr>
            </w:pPr>
            <w:r>
              <w:rPr>
                <w:rFonts w:cs="Times New Roman"/>
                <w:sz w:val="20"/>
                <w:szCs w:val="20"/>
              </w:rPr>
              <w:t>Effet 1 : Investissements agricoles respectueux de la forêt et améliorant les moyens d’existence des populations rurales, y compris des personnes vulnérables et marginalisées.</w:t>
            </w:r>
          </w:p>
        </w:tc>
      </w:tr>
      <w:tr w:rsidR="000E1A6C" w:rsidRPr="000F598B" w:rsidTr="00ED144B">
        <w:trPr>
          <w:trHeight w:val="355"/>
          <w:jc w:val="center"/>
        </w:trPr>
        <w:tc>
          <w:tcPr>
            <w:tcW w:w="2641" w:type="dxa"/>
            <w:vAlign w:val="center"/>
          </w:tcPr>
          <w:p w:rsidR="000E1A6C" w:rsidRPr="000F598B" w:rsidRDefault="000E1A6C" w:rsidP="00653C9E">
            <w:pPr>
              <w:spacing w:after="0"/>
              <w:contextualSpacing/>
              <w:rPr>
                <w:rFonts w:cs="Times New Roman"/>
                <w:sz w:val="20"/>
                <w:szCs w:val="20"/>
              </w:rPr>
            </w:pPr>
            <w:r>
              <w:rPr>
                <w:rFonts w:cs="Times New Roman"/>
                <w:sz w:val="20"/>
                <w:szCs w:val="20"/>
              </w:rPr>
              <w:t>Superficies en zone forestière sous système de cultures durables ou à dégradation atténuée</w:t>
            </w:r>
          </w:p>
        </w:tc>
        <w:tc>
          <w:tcPr>
            <w:tcW w:w="1404" w:type="dxa"/>
            <w:vAlign w:val="center"/>
          </w:tcPr>
          <w:p w:rsidR="000E1A6C" w:rsidRDefault="000E1A6C" w:rsidP="002000E1">
            <w:pPr>
              <w:spacing w:after="0"/>
              <w:contextualSpacing/>
              <w:jc w:val="center"/>
              <w:rPr>
                <w:rFonts w:cs="Times New Roman"/>
                <w:sz w:val="20"/>
                <w:szCs w:val="20"/>
              </w:rPr>
            </w:pPr>
            <w:r>
              <w:rPr>
                <w:rFonts w:cs="Times New Roman"/>
                <w:sz w:val="20"/>
                <w:szCs w:val="20"/>
              </w:rPr>
              <w:t>Hectare</w:t>
            </w:r>
          </w:p>
          <w:p w:rsidR="000E1A6C" w:rsidRPr="000F598B" w:rsidRDefault="000E1A6C" w:rsidP="002000E1">
            <w:pPr>
              <w:spacing w:after="0"/>
              <w:contextualSpacing/>
              <w:jc w:val="center"/>
              <w:rPr>
                <w:rFonts w:cs="Times New Roman"/>
                <w:sz w:val="20"/>
                <w:szCs w:val="20"/>
              </w:rPr>
            </w:pPr>
            <w:r>
              <w:rPr>
                <w:rFonts w:cs="Times New Roman"/>
                <w:sz w:val="20"/>
                <w:szCs w:val="20"/>
              </w:rPr>
              <w:t>(ha)</w:t>
            </w:r>
          </w:p>
        </w:tc>
        <w:tc>
          <w:tcPr>
            <w:tcW w:w="2122" w:type="dxa"/>
            <w:vAlign w:val="center"/>
          </w:tcPr>
          <w:p w:rsidR="000E1A6C" w:rsidRDefault="00BE0E6A" w:rsidP="002000E1">
            <w:pPr>
              <w:spacing w:after="0"/>
              <w:contextualSpacing/>
              <w:jc w:val="center"/>
              <w:rPr>
                <w:rFonts w:cs="Times New Roman"/>
                <w:color w:val="000000" w:themeColor="text1"/>
                <w:sz w:val="20"/>
                <w:szCs w:val="20"/>
              </w:rPr>
            </w:pPr>
            <w:r>
              <w:rPr>
                <w:rFonts w:cs="Times New Roman"/>
                <w:color w:val="000000" w:themeColor="text1"/>
                <w:sz w:val="20"/>
                <w:szCs w:val="20"/>
              </w:rPr>
              <w:t xml:space="preserve">0 - </w:t>
            </w:r>
            <w:r w:rsidR="000E1A6C">
              <w:rPr>
                <w:rFonts w:cs="Times New Roman"/>
                <w:color w:val="000000" w:themeColor="text1"/>
                <w:sz w:val="20"/>
                <w:szCs w:val="20"/>
              </w:rPr>
              <w:t>10 000</w:t>
            </w:r>
          </w:p>
        </w:tc>
        <w:tc>
          <w:tcPr>
            <w:tcW w:w="1568" w:type="dxa"/>
            <w:vAlign w:val="center"/>
          </w:tcPr>
          <w:p w:rsidR="000E1A6C" w:rsidRPr="000F598B" w:rsidRDefault="008D3E8B" w:rsidP="00653C9E">
            <w:pPr>
              <w:spacing w:after="0"/>
              <w:contextualSpacing/>
              <w:rPr>
                <w:sz w:val="20"/>
                <w:szCs w:val="20"/>
              </w:rPr>
            </w:pPr>
            <w:r>
              <w:rPr>
                <w:sz w:val="20"/>
                <w:szCs w:val="20"/>
              </w:rPr>
              <w:t>Equipes de</w:t>
            </w:r>
            <w:r w:rsidRPr="008D3E8B">
              <w:rPr>
                <w:sz w:val="20"/>
                <w:szCs w:val="20"/>
              </w:rPr>
              <w:t xml:space="preserve"> suivi &amp; évaluation de</w:t>
            </w:r>
            <w:r>
              <w:rPr>
                <w:sz w:val="20"/>
                <w:szCs w:val="20"/>
              </w:rPr>
              <w:t xml:space="preserve"> l’ALE et de</w:t>
            </w:r>
            <w:r w:rsidRPr="008D3E8B">
              <w:rPr>
                <w:sz w:val="20"/>
                <w:szCs w:val="20"/>
              </w:rPr>
              <w:t xml:space="preserve"> l’UC-PIF</w:t>
            </w:r>
          </w:p>
        </w:tc>
        <w:tc>
          <w:tcPr>
            <w:tcW w:w="3150" w:type="dxa"/>
            <w:gridSpan w:val="2"/>
            <w:vAlign w:val="center"/>
          </w:tcPr>
          <w:p w:rsidR="000E1A6C" w:rsidRDefault="00F12A99" w:rsidP="00F12A99">
            <w:pPr>
              <w:contextualSpacing/>
              <w:rPr>
                <w:sz w:val="20"/>
                <w:szCs w:val="20"/>
              </w:rPr>
            </w:pPr>
            <w:r>
              <w:rPr>
                <w:sz w:val="20"/>
                <w:szCs w:val="20"/>
              </w:rPr>
              <w:t>Cultures pérennes de café, cacao, hévéa et palmier à huile</w:t>
            </w:r>
          </w:p>
          <w:p w:rsidR="005F75A5" w:rsidRDefault="005F75A5" w:rsidP="00F12A99">
            <w:pPr>
              <w:contextualSpacing/>
              <w:rPr>
                <w:sz w:val="20"/>
                <w:szCs w:val="20"/>
              </w:rPr>
            </w:pPr>
          </w:p>
          <w:p w:rsidR="00E95215" w:rsidRPr="00ED144B" w:rsidRDefault="00E95215" w:rsidP="00F12A99">
            <w:pPr>
              <w:contextualSpacing/>
              <w:rPr>
                <w:sz w:val="16"/>
                <w:szCs w:val="16"/>
              </w:rPr>
            </w:pPr>
            <w:r w:rsidRPr="005F75A5">
              <w:rPr>
                <w:sz w:val="16"/>
                <w:szCs w:val="16"/>
              </w:rPr>
              <w:t>Déc.</w:t>
            </w:r>
            <w:r w:rsidRPr="00ED144B">
              <w:rPr>
                <w:sz w:val="16"/>
                <w:szCs w:val="16"/>
              </w:rPr>
              <w:t xml:space="preserve"> 2018</w:t>
            </w:r>
            <w:r w:rsidRPr="005F75A5">
              <w:rPr>
                <w:sz w:val="16"/>
                <w:szCs w:val="16"/>
              </w:rPr>
              <w:t xml:space="preserve"> (Jalon Lettre d’intention)</w:t>
            </w:r>
            <w:r w:rsidR="003301C3">
              <w:rPr>
                <w:sz w:val="16"/>
                <w:szCs w:val="16"/>
              </w:rPr>
              <w:t> :</w:t>
            </w:r>
            <w:r w:rsidR="0054687A" w:rsidRPr="005F75A5">
              <w:rPr>
                <w:sz w:val="16"/>
                <w:szCs w:val="16"/>
              </w:rPr>
              <w:t>3 000 ha</w:t>
            </w:r>
          </w:p>
          <w:p w:rsidR="00E95215" w:rsidRPr="005F75A5" w:rsidRDefault="00E95215" w:rsidP="00F12A99">
            <w:pPr>
              <w:contextualSpacing/>
              <w:rPr>
                <w:sz w:val="16"/>
                <w:szCs w:val="16"/>
              </w:rPr>
            </w:pPr>
            <w:r w:rsidRPr="005F75A5">
              <w:rPr>
                <w:sz w:val="16"/>
                <w:szCs w:val="16"/>
              </w:rPr>
              <w:t>Déc.</w:t>
            </w:r>
            <w:r w:rsidRPr="00ED144B">
              <w:rPr>
                <w:sz w:val="16"/>
                <w:szCs w:val="16"/>
              </w:rPr>
              <w:t xml:space="preserve"> 2019</w:t>
            </w:r>
            <w:r w:rsidRPr="005F75A5">
              <w:rPr>
                <w:sz w:val="16"/>
                <w:szCs w:val="16"/>
              </w:rPr>
              <w:t xml:space="preserve"> (après 3 ans) :</w:t>
            </w:r>
            <w:r w:rsidR="003301C3">
              <w:rPr>
                <w:sz w:val="16"/>
                <w:szCs w:val="16"/>
              </w:rPr>
              <w:t xml:space="preserve"> </w:t>
            </w:r>
            <w:r w:rsidR="0054687A" w:rsidRPr="005F75A5">
              <w:rPr>
                <w:sz w:val="16"/>
                <w:szCs w:val="16"/>
              </w:rPr>
              <w:t>6 000 ha</w:t>
            </w:r>
          </w:p>
          <w:p w:rsidR="00E95215" w:rsidRPr="003301C3" w:rsidRDefault="00E95215" w:rsidP="00F12A99">
            <w:pPr>
              <w:contextualSpacing/>
              <w:rPr>
                <w:sz w:val="16"/>
                <w:szCs w:val="16"/>
              </w:rPr>
            </w:pPr>
            <w:r w:rsidRPr="005F75A5">
              <w:rPr>
                <w:sz w:val="16"/>
                <w:szCs w:val="16"/>
              </w:rPr>
              <w:t>Déc. 2021 (à la clôture du projet) :</w:t>
            </w:r>
            <w:r w:rsidR="003301C3">
              <w:rPr>
                <w:sz w:val="16"/>
                <w:szCs w:val="16"/>
              </w:rPr>
              <w:t xml:space="preserve"> </w:t>
            </w:r>
            <w:r w:rsidRPr="005F75A5">
              <w:rPr>
                <w:sz w:val="16"/>
                <w:szCs w:val="16"/>
              </w:rPr>
              <w:t>10 000 ha</w:t>
            </w:r>
          </w:p>
        </w:tc>
      </w:tr>
      <w:tr w:rsidR="000E1A6C" w:rsidRPr="000F598B" w:rsidTr="00ED144B">
        <w:trPr>
          <w:trHeight w:val="355"/>
          <w:jc w:val="center"/>
        </w:trPr>
        <w:tc>
          <w:tcPr>
            <w:tcW w:w="2641" w:type="dxa"/>
            <w:vAlign w:val="center"/>
          </w:tcPr>
          <w:p w:rsidR="000E1A6C" w:rsidRDefault="000E1A6C" w:rsidP="00BE0E6A">
            <w:pPr>
              <w:spacing w:after="0"/>
              <w:contextualSpacing/>
              <w:rPr>
                <w:rFonts w:cs="Times New Roman"/>
                <w:sz w:val="20"/>
                <w:szCs w:val="20"/>
              </w:rPr>
            </w:pPr>
            <w:r w:rsidRPr="000E1A6C">
              <w:rPr>
                <w:rFonts w:cs="Times New Roman"/>
                <w:sz w:val="20"/>
                <w:szCs w:val="20"/>
              </w:rPr>
              <w:t xml:space="preserve">Superficies </w:t>
            </w:r>
            <w:r w:rsidR="00BE0E6A">
              <w:rPr>
                <w:rFonts w:cs="Times New Roman"/>
                <w:sz w:val="20"/>
                <w:szCs w:val="20"/>
              </w:rPr>
              <w:t xml:space="preserve">de savanes </w:t>
            </w:r>
            <w:r w:rsidRPr="000E1A6C">
              <w:rPr>
                <w:rFonts w:cs="Times New Roman"/>
                <w:sz w:val="20"/>
                <w:szCs w:val="20"/>
              </w:rPr>
              <w:t>sous système de cultures durables ou à dégradation atténuée</w:t>
            </w:r>
          </w:p>
        </w:tc>
        <w:tc>
          <w:tcPr>
            <w:tcW w:w="1404" w:type="dxa"/>
            <w:vAlign w:val="center"/>
          </w:tcPr>
          <w:p w:rsidR="00BE0E6A" w:rsidRPr="00BE0E6A" w:rsidRDefault="00BE0E6A" w:rsidP="002000E1">
            <w:pPr>
              <w:spacing w:after="0"/>
              <w:contextualSpacing/>
              <w:jc w:val="center"/>
              <w:rPr>
                <w:rFonts w:cs="Times New Roman"/>
                <w:sz w:val="20"/>
                <w:szCs w:val="20"/>
              </w:rPr>
            </w:pPr>
            <w:r w:rsidRPr="00BE0E6A">
              <w:rPr>
                <w:rFonts w:cs="Times New Roman"/>
                <w:sz w:val="20"/>
                <w:szCs w:val="20"/>
              </w:rPr>
              <w:t>Hectare</w:t>
            </w:r>
          </w:p>
          <w:p w:rsidR="000E1A6C" w:rsidRDefault="00BE0E6A" w:rsidP="002000E1">
            <w:pPr>
              <w:spacing w:after="0"/>
              <w:contextualSpacing/>
              <w:jc w:val="center"/>
              <w:rPr>
                <w:rFonts w:cs="Times New Roman"/>
                <w:sz w:val="20"/>
                <w:szCs w:val="20"/>
              </w:rPr>
            </w:pPr>
            <w:r w:rsidRPr="00BE0E6A">
              <w:rPr>
                <w:rFonts w:cs="Times New Roman"/>
                <w:sz w:val="20"/>
                <w:szCs w:val="20"/>
              </w:rPr>
              <w:t>(ha)</w:t>
            </w:r>
          </w:p>
        </w:tc>
        <w:tc>
          <w:tcPr>
            <w:tcW w:w="2122" w:type="dxa"/>
            <w:vAlign w:val="center"/>
          </w:tcPr>
          <w:p w:rsidR="00BE0E6A" w:rsidRDefault="00BE0E6A" w:rsidP="002000E1">
            <w:pPr>
              <w:spacing w:after="0"/>
              <w:contextualSpacing/>
              <w:jc w:val="center"/>
              <w:rPr>
                <w:rFonts w:cs="Times New Roman"/>
                <w:color w:val="000000" w:themeColor="text1"/>
                <w:sz w:val="20"/>
                <w:szCs w:val="20"/>
              </w:rPr>
            </w:pPr>
            <w:r>
              <w:rPr>
                <w:rFonts w:cs="Times New Roman"/>
                <w:color w:val="000000" w:themeColor="text1"/>
                <w:sz w:val="20"/>
                <w:szCs w:val="20"/>
              </w:rPr>
              <w:t>Palmier à huile</w:t>
            </w:r>
          </w:p>
          <w:p w:rsidR="00BE0E6A" w:rsidRDefault="00BE0E6A" w:rsidP="002000E1">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B2386B">
              <w:rPr>
                <w:rFonts w:cs="Times New Roman"/>
                <w:color w:val="000000" w:themeColor="text1"/>
                <w:sz w:val="20"/>
                <w:szCs w:val="20"/>
              </w:rPr>
              <w:t>-</w:t>
            </w:r>
            <w:r>
              <w:rPr>
                <w:rFonts w:cs="Times New Roman"/>
                <w:color w:val="000000" w:themeColor="text1"/>
                <w:sz w:val="20"/>
                <w:szCs w:val="20"/>
              </w:rPr>
              <w:t xml:space="preserve"> 1 650</w:t>
            </w:r>
          </w:p>
          <w:p w:rsidR="00BE0E6A" w:rsidRDefault="00BE0E6A" w:rsidP="002000E1">
            <w:pPr>
              <w:spacing w:after="0"/>
              <w:contextualSpacing/>
              <w:jc w:val="center"/>
              <w:rPr>
                <w:rFonts w:cs="Times New Roman"/>
                <w:color w:val="000000" w:themeColor="text1"/>
                <w:sz w:val="20"/>
                <w:szCs w:val="20"/>
              </w:rPr>
            </w:pPr>
          </w:p>
        </w:tc>
        <w:tc>
          <w:tcPr>
            <w:tcW w:w="1568" w:type="dxa"/>
            <w:vAlign w:val="center"/>
          </w:tcPr>
          <w:p w:rsidR="000E1A6C"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54687A" w:rsidRPr="00ED144B" w:rsidRDefault="0054687A" w:rsidP="0054687A">
            <w:pPr>
              <w:contextualSpacing/>
              <w:rPr>
                <w:sz w:val="16"/>
                <w:szCs w:val="16"/>
              </w:rPr>
            </w:pPr>
            <w:r w:rsidRPr="00ED144B">
              <w:rPr>
                <w:sz w:val="16"/>
                <w:szCs w:val="16"/>
              </w:rPr>
              <w:t>Déc. 2018 (</w:t>
            </w:r>
            <w:r w:rsidRPr="005F75A5">
              <w:rPr>
                <w:sz w:val="16"/>
                <w:szCs w:val="16"/>
              </w:rPr>
              <w:t>Jalon Lettre d’intention) :495</w:t>
            </w:r>
            <w:r w:rsidRPr="00ED144B">
              <w:rPr>
                <w:sz w:val="16"/>
                <w:szCs w:val="16"/>
              </w:rPr>
              <w:t xml:space="preserve"> ha</w:t>
            </w:r>
          </w:p>
          <w:p w:rsidR="0054687A" w:rsidRPr="00ED144B" w:rsidRDefault="0054687A" w:rsidP="0054687A">
            <w:pPr>
              <w:contextualSpacing/>
              <w:rPr>
                <w:sz w:val="16"/>
                <w:szCs w:val="16"/>
              </w:rPr>
            </w:pPr>
            <w:r w:rsidRPr="005F75A5">
              <w:rPr>
                <w:sz w:val="16"/>
                <w:szCs w:val="16"/>
              </w:rPr>
              <w:t>Déc. 2019 (après 3 ans) : 990</w:t>
            </w:r>
            <w:r w:rsidRPr="00ED144B">
              <w:rPr>
                <w:sz w:val="16"/>
                <w:szCs w:val="16"/>
              </w:rPr>
              <w:t xml:space="preserve"> ha</w:t>
            </w:r>
          </w:p>
          <w:p w:rsidR="000E1A6C" w:rsidRDefault="0054687A" w:rsidP="0054687A">
            <w:pPr>
              <w:contextualSpacing/>
              <w:rPr>
                <w:sz w:val="20"/>
                <w:szCs w:val="20"/>
              </w:rPr>
            </w:pPr>
            <w:r w:rsidRPr="00ED144B">
              <w:rPr>
                <w:sz w:val="16"/>
                <w:szCs w:val="16"/>
              </w:rPr>
              <w:t>Déc. 2021 (</w:t>
            </w:r>
            <w:r w:rsidRPr="005F75A5">
              <w:rPr>
                <w:sz w:val="16"/>
                <w:szCs w:val="16"/>
              </w:rPr>
              <w:t>à la clôture du projet) : 1 650</w:t>
            </w:r>
            <w:r w:rsidRPr="00ED144B">
              <w:rPr>
                <w:sz w:val="16"/>
                <w:szCs w:val="16"/>
              </w:rPr>
              <w:t xml:space="preserve"> ha</w:t>
            </w:r>
          </w:p>
        </w:tc>
      </w:tr>
      <w:tr w:rsidR="00BE0E6A" w:rsidRPr="000F598B" w:rsidTr="00ED144B">
        <w:trPr>
          <w:trHeight w:val="355"/>
          <w:jc w:val="center"/>
        </w:trPr>
        <w:tc>
          <w:tcPr>
            <w:tcW w:w="10885" w:type="dxa"/>
            <w:gridSpan w:val="6"/>
            <w:shd w:val="clear" w:color="auto" w:fill="D9D9D9" w:themeFill="background1" w:themeFillShade="D9"/>
            <w:vAlign w:val="center"/>
          </w:tcPr>
          <w:p w:rsidR="00BE0E6A" w:rsidRDefault="00BE0E6A" w:rsidP="00653C9E">
            <w:pPr>
              <w:contextualSpacing/>
              <w:rPr>
                <w:sz w:val="20"/>
                <w:szCs w:val="20"/>
              </w:rPr>
            </w:pPr>
            <w:r>
              <w:rPr>
                <w:sz w:val="20"/>
                <w:szCs w:val="20"/>
              </w:rPr>
              <w:t>Effet 2 : Réduction de la part de bois énergie non-durable</w:t>
            </w:r>
          </w:p>
        </w:tc>
      </w:tr>
      <w:tr w:rsidR="00BE0E6A" w:rsidRPr="000F598B" w:rsidTr="00ED144B">
        <w:trPr>
          <w:trHeight w:val="355"/>
          <w:jc w:val="center"/>
        </w:trPr>
        <w:tc>
          <w:tcPr>
            <w:tcW w:w="2641" w:type="dxa"/>
            <w:vAlign w:val="center"/>
          </w:tcPr>
          <w:p w:rsidR="00BE0E6A" w:rsidRPr="000F598B" w:rsidRDefault="00BE0E6A" w:rsidP="00653C9E">
            <w:pPr>
              <w:spacing w:after="0"/>
              <w:contextualSpacing/>
              <w:rPr>
                <w:rFonts w:cs="Times New Roman"/>
                <w:sz w:val="20"/>
                <w:szCs w:val="20"/>
              </w:rPr>
            </w:pPr>
            <w:r>
              <w:rPr>
                <w:rFonts w:cs="Times New Roman"/>
                <w:sz w:val="20"/>
                <w:szCs w:val="20"/>
              </w:rPr>
              <w:t xml:space="preserve">Augmentation de la quantité de bois énergie produite par </w:t>
            </w:r>
            <w:r>
              <w:rPr>
                <w:rFonts w:cs="Times New Roman"/>
                <w:sz w:val="20"/>
                <w:szCs w:val="20"/>
              </w:rPr>
              <w:lastRenderedPageBreak/>
              <w:t>les mises en défens et plantations agro-forestières</w:t>
            </w:r>
          </w:p>
        </w:tc>
        <w:tc>
          <w:tcPr>
            <w:tcW w:w="1404" w:type="dxa"/>
            <w:vAlign w:val="center"/>
          </w:tcPr>
          <w:p w:rsidR="00BE0E6A" w:rsidRPr="00BE0E6A" w:rsidRDefault="00BE0E6A" w:rsidP="002000E1">
            <w:pPr>
              <w:spacing w:after="0"/>
              <w:contextualSpacing/>
              <w:jc w:val="center"/>
              <w:rPr>
                <w:rFonts w:cs="Times New Roman"/>
                <w:sz w:val="20"/>
                <w:szCs w:val="20"/>
              </w:rPr>
            </w:pPr>
            <w:r w:rsidRPr="00BE0E6A">
              <w:rPr>
                <w:rFonts w:cs="Times New Roman"/>
                <w:sz w:val="20"/>
                <w:szCs w:val="20"/>
              </w:rPr>
              <w:lastRenderedPageBreak/>
              <w:t>Hectare</w:t>
            </w:r>
          </w:p>
          <w:p w:rsidR="00BE0E6A" w:rsidRPr="000F598B" w:rsidRDefault="00BE0E6A" w:rsidP="002000E1">
            <w:pPr>
              <w:spacing w:after="0"/>
              <w:contextualSpacing/>
              <w:jc w:val="center"/>
              <w:rPr>
                <w:rFonts w:cs="Times New Roman"/>
                <w:sz w:val="20"/>
                <w:szCs w:val="20"/>
              </w:rPr>
            </w:pPr>
            <w:r w:rsidRPr="00BE0E6A">
              <w:rPr>
                <w:rFonts w:cs="Times New Roman"/>
                <w:sz w:val="20"/>
                <w:szCs w:val="20"/>
              </w:rPr>
              <w:t>(ha)</w:t>
            </w:r>
          </w:p>
        </w:tc>
        <w:tc>
          <w:tcPr>
            <w:tcW w:w="2122" w:type="dxa"/>
            <w:vAlign w:val="center"/>
          </w:tcPr>
          <w:p w:rsidR="008930BE" w:rsidRPr="008930BE" w:rsidRDefault="008930BE" w:rsidP="002000E1">
            <w:pPr>
              <w:spacing w:after="0"/>
              <w:contextualSpacing/>
              <w:jc w:val="center"/>
              <w:rPr>
                <w:rFonts w:cs="Times New Roman"/>
                <w:color w:val="000000" w:themeColor="text1"/>
                <w:sz w:val="20"/>
                <w:szCs w:val="20"/>
              </w:rPr>
            </w:pPr>
            <w:r w:rsidRPr="008930BE">
              <w:rPr>
                <w:rFonts w:cs="Times New Roman"/>
                <w:color w:val="000000" w:themeColor="text1"/>
                <w:sz w:val="20"/>
                <w:szCs w:val="20"/>
              </w:rPr>
              <w:t>Acacia</w:t>
            </w:r>
          </w:p>
          <w:p w:rsidR="00BE0E6A" w:rsidRDefault="008930BE" w:rsidP="002000E1">
            <w:pPr>
              <w:spacing w:after="0"/>
              <w:contextualSpacing/>
              <w:jc w:val="center"/>
              <w:rPr>
                <w:rFonts w:cs="Times New Roman"/>
                <w:color w:val="000000" w:themeColor="text1"/>
                <w:sz w:val="20"/>
                <w:szCs w:val="20"/>
              </w:rPr>
            </w:pPr>
            <w:r w:rsidRPr="008930BE">
              <w:rPr>
                <w:rFonts w:cs="Times New Roman"/>
                <w:color w:val="000000" w:themeColor="text1"/>
                <w:sz w:val="20"/>
                <w:szCs w:val="20"/>
              </w:rPr>
              <w:t xml:space="preserve">0 </w:t>
            </w:r>
            <w:r w:rsidR="00B2386B">
              <w:rPr>
                <w:rFonts w:cs="Times New Roman"/>
                <w:color w:val="000000" w:themeColor="text1"/>
                <w:sz w:val="20"/>
                <w:szCs w:val="20"/>
              </w:rPr>
              <w:t>-</w:t>
            </w:r>
            <w:r w:rsidRPr="008930BE">
              <w:rPr>
                <w:rFonts w:cs="Times New Roman"/>
                <w:color w:val="000000" w:themeColor="text1"/>
                <w:sz w:val="20"/>
                <w:szCs w:val="20"/>
              </w:rPr>
              <w:t xml:space="preserve"> </w:t>
            </w:r>
            <w:bookmarkStart w:id="29" w:name="_GoBack"/>
            <w:r w:rsidRPr="008930BE">
              <w:rPr>
                <w:rFonts w:cs="Times New Roman"/>
                <w:color w:val="000000" w:themeColor="text1"/>
                <w:sz w:val="20"/>
                <w:szCs w:val="20"/>
              </w:rPr>
              <w:t>3 350</w:t>
            </w:r>
            <w:bookmarkEnd w:id="29"/>
          </w:p>
          <w:p w:rsidR="008930BE" w:rsidRPr="008930BE" w:rsidRDefault="008930BE" w:rsidP="002000E1">
            <w:pPr>
              <w:spacing w:after="0"/>
              <w:contextualSpacing/>
              <w:jc w:val="center"/>
              <w:rPr>
                <w:rFonts w:cs="Times New Roman"/>
                <w:color w:val="000000" w:themeColor="text1"/>
                <w:sz w:val="20"/>
                <w:szCs w:val="20"/>
              </w:rPr>
            </w:pPr>
            <w:r w:rsidRPr="008930BE">
              <w:rPr>
                <w:rFonts w:cs="Times New Roman"/>
                <w:color w:val="000000" w:themeColor="text1"/>
                <w:sz w:val="20"/>
                <w:szCs w:val="20"/>
              </w:rPr>
              <w:lastRenderedPageBreak/>
              <w:t>Mise en défens</w:t>
            </w:r>
          </w:p>
          <w:p w:rsidR="008930BE" w:rsidRDefault="008930BE" w:rsidP="002000E1">
            <w:pPr>
              <w:spacing w:after="0"/>
              <w:contextualSpacing/>
              <w:jc w:val="center"/>
              <w:rPr>
                <w:rFonts w:cs="Times New Roman"/>
                <w:color w:val="000000" w:themeColor="text1"/>
                <w:sz w:val="20"/>
                <w:szCs w:val="20"/>
              </w:rPr>
            </w:pPr>
            <w:r w:rsidRPr="008930BE">
              <w:rPr>
                <w:rFonts w:cs="Times New Roman"/>
                <w:color w:val="000000" w:themeColor="text1"/>
                <w:sz w:val="20"/>
                <w:szCs w:val="20"/>
              </w:rPr>
              <w:t xml:space="preserve">0 </w:t>
            </w:r>
            <w:r w:rsidR="00B2386B">
              <w:rPr>
                <w:rFonts w:cs="Times New Roman"/>
                <w:color w:val="000000" w:themeColor="text1"/>
                <w:sz w:val="20"/>
                <w:szCs w:val="20"/>
              </w:rPr>
              <w:t>-</w:t>
            </w:r>
            <w:r w:rsidRPr="008930BE">
              <w:rPr>
                <w:rFonts w:cs="Times New Roman"/>
                <w:color w:val="000000" w:themeColor="text1"/>
                <w:sz w:val="20"/>
                <w:szCs w:val="20"/>
              </w:rPr>
              <w:t xml:space="preserve"> 30 000</w:t>
            </w:r>
          </w:p>
          <w:p w:rsidR="00F12A99" w:rsidRDefault="00F12A99" w:rsidP="002000E1">
            <w:pPr>
              <w:spacing w:after="0"/>
              <w:contextualSpacing/>
              <w:jc w:val="center"/>
              <w:rPr>
                <w:rFonts w:cs="Times New Roman"/>
                <w:color w:val="000000" w:themeColor="text1"/>
                <w:sz w:val="20"/>
                <w:szCs w:val="20"/>
              </w:rPr>
            </w:pPr>
          </w:p>
        </w:tc>
        <w:tc>
          <w:tcPr>
            <w:tcW w:w="1568" w:type="dxa"/>
            <w:vAlign w:val="center"/>
          </w:tcPr>
          <w:p w:rsidR="00BE0E6A" w:rsidRPr="000F598B" w:rsidRDefault="008D3E8B" w:rsidP="00653C9E">
            <w:pPr>
              <w:spacing w:after="0"/>
              <w:contextualSpacing/>
              <w:rPr>
                <w:sz w:val="20"/>
                <w:szCs w:val="20"/>
              </w:rPr>
            </w:pPr>
            <w:r w:rsidRPr="008D3E8B">
              <w:rPr>
                <w:sz w:val="20"/>
                <w:szCs w:val="20"/>
              </w:rPr>
              <w:lastRenderedPageBreak/>
              <w:t xml:space="preserve">Equipes de suivi &amp; évaluation de </w:t>
            </w:r>
            <w:r w:rsidRPr="008D3E8B">
              <w:rPr>
                <w:sz w:val="20"/>
                <w:szCs w:val="20"/>
              </w:rPr>
              <w:lastRenderedPageBreak/>
              <w:t>l’ALE et de l’UC-PIF</w:t>
            </w:r>
          </w:p>
        </w:tc>
        <w:tc>
          <w:tcPr>
            <w:tcW w:w="3150" w:type="dxa"/>
            <w:gridSpan w:val="2"/>
            <w:vAlign w:val="center"/>
          </w:tcPr>
          <w:p w:rsidR="00BE0E6A" w:rsidRDefault="00F12A99" w:rsidP="00653C9E">
            <w:pPr>
              <w:contextualSpacing/>
              <w:rPr>
                <w:sz w:val="20"/>
                <w:szCs w:val="20"/>
              </w:rPr>
            </w:pPr>
            <w:r>
              <w:rPr>
                <w:sz w:val="20"/>
                <w:szCs w:val="20"/>
              </w:rPr>
              <w:lastRenderedPageBreak/>
              <w:t xml:space="preserve">Les zones de conservation seront identifiées dans le cadre des </w:t>
            </w:r>
            <w:r>
              <w:rPr>
                <w:sz w:val="20"/>
                <w:szCs w:val="20"/>
              </w:rPr>
              <w:lastRenderedPageBreak/>
              <w:t>développements des Plans de Développement Durable des terroirs villageois</w:t>
            </w:r>
          </w:p>
          <w:p w:rsidR="005F75A5" w:rsidRDefault="005F75A5" w:rsidP="00653C9E">
            <w:pPr>
              <w:contextualSpacing/>
              <w:rPr>
                <w:sz w:val="20"/>
                <w:szCs w:val="20"/>
              </w:rPr>
            </w:pPr>
          </w:p>
          <w:p w:rsidR="005F75A5" w:rsidRDefault="0054687A" w:rsidP="00ED144B">
            <w:pPr>
              <w:spacing w:after="0"/>
              <w:contextualSpacing/>
              <w:rPr>
                <w:sz w:val="16"/>
                <w:szCs w:val="16"/>
              </w:rPr>
            </w:pPr>
            <w:r w:rsidRPr="00ED144B">
              <w:rPr>
                <w:sz w:val="16"/>
                <w:szCs w:val="16"/>
              </w:rPr>
              <w:t>Déc. 2018 (Ja</w:t>
            </w:r>
            <w:r w:rsidR="005F75A5" w:rsidRPr="005F75A5">
              <w:rPr>
                <w:sz w:val="16"/>
                <w:szCs w:val="16"/>
              </w:rPr>
              <w:t>lon Lettre d’intention) :</w:t>
            </w:r>
          </w:p>
          <w:p w:rsidR="005F75A5" w:rsidRPr="00ED144B" w:rsidRDefault="005F75A5" w:rsidP="002E3A02">
            <w:pPr>
              <w:pStyle w:val="ListParagraph"/>
              <w:numPr>
                <w:ilvl w:val="0"/>
                <w:numId w:val="15"/>
              </w:numPr>
              <w:contextualSpacing/>
              <w:rPr>
                <w:sz w:val="16"/>
                <w:szCs w:val="16"/>
              </w:rPr>
            </w:pPr>
            <w:r w:rsidRPr="004701FB">
              <w:rPr>
                <w:sz w:val="16"/>
                <w:szCs w:val="16"/>
              </w:rPr>
              <w:t>Acacia :</w:t>
            </w:r>
            <w:r>
              <w:rPr>
                <w:sz w:val="16"/>
                <w:szCs w:val="16"/>
              </w:rPr>
              <w:t xml:space="preserve"> 1 000 ha</w:t>
            </w:r>
          </w:p>
          <w:p w:rsidR="005F75A5" w:rsidRPr="004701FB" w:rsidRDefault="005F75A5" w:rsidP="002E3A02">
            <w:pPr>
              <w:pStyle w:val="ListParagraph"/>
              <w:numPr>
                <w:ilvl w:val="0"/>
                <w:numId w:val="15"/>
              </w:numPr>
              <w:contextualSpacing/>
              <w:rPr>
                <w:sz w:val="16"/>
                <w:szCs w:val="16"/>
              </w:rPr>
            </w:pPr>
            <w:r w:rsidRPr="004701FB">
              <w:rPr>
                <w:sz w:val="16"/>
                <w:szCs w:val="16"/>
              </w:rPr>
              <w:t>Mise en défens :</w:t>
            </w:r>
            <w:r w:rsidR="00BA28EC">
              <w:rPr>
                <w:sz w:val="16"/>
                <w:szCs w:val="16"/>
              </w:rPr>
              <w:t xml:space="preserve"> 9 000 ha</w:t>
            </w:r>
          </w:p>
          <w:p w:rsidR="0054687A" w:rsidRDefault="0054687A" w:rsidP="00ED144B">
            <w:pPr>
              <w:spacing w:after="0"/>
              <w:contextualSpacing/>
              <w:rPr>
                <w:sz w:val="16"/>
                <w:szCs w:val="16"/>
              </w:rPr>
            </w:pPr>
            <w:r w:rsidRPr="00ED144B">
              <w:rPr>
                <w:sz w:val="16"/>
                <w:szCs w:val="16"/>
              </w:rPr>
              <w:t>D</w:t>
            </w:r>
            <w:r w:rsidR="005F75A5">
              <w:rPr>
                <w:sz w:val="16"/>
                <w:szCs w:val="16"/>
              </w:rPr>
              <w:t>éc. 2019 (après 3 ans) :</w:t>
            </w:r>
          </w:p>
          <w:p w:rsidR="005F75A5" w:rsidRPr="005F75A5" w:rsidRDefault="005F75A5" w:rsidP="002E3A02">
            <w:pPr>
              <w:pStyle w:val="ListParagraph"/>
              <w:numPr>
                <w:ilvl w:val="0"/>
                <w:numId w:val="15"/>
              </w:numPr>
              <w:contextualSpacing/>
              <w:rPr>
                <w:sz w:val="16"/>
                <w:szCs w:val="16"/>
              </w:rPr>
            </w:pPr>
            <w:r w:rsidRPr="005F75A5">
              <w:rPr>
                <w:sz w:val="16"/>
                <w:szCs w:val="16"/>
              </w:rPr>
              <w:t>Acacia :</w:t>
            </w:r>
            <w:r>
              <w:rPr>
                <w:sz w:val="16"/>
                <w:szCs w:val="16"/>
              </w:rPr>
              <w:t xml:space="preserve"> 2 000 ha</w:t>
            </w:r>
          </w:p>
          <w:p w:rsidR="005F75A5" w:rsidRPr="005F75A5" w:rsidRDefault="005F75A5" w:rsidP="002E3A02">
            <w:pPr>
              <w:pStyle w:val="ListParagraph"/>
              <w:numPr>
                <w:ilvl w:val="0"/>
                <w:numId w:val="15"/>
              </w:numPr>
              <w:contextualSpacing/>
              <w:rPr>
                <w:sz w:val="16"/>
                <w:szCs w:val="16"/>
              </w:rPr>
            </w:pPr>
            <w:r w:rsidRPr="005F75A5">
              <w:rPr>
                <w:sz w:val="16"/>
                <w:szCs w:val="16"/>
              </w:rPr>
              <w:t>Mise en défens :</w:t>
            </w:r>
            <w:r w:rsidR="00BA28EC">
              <w:rPr>
                <w:sz w:val="16"/>
                <w:szCs w:val="16"/>
              </w:rPr>
              <w:t xml:space="preserve"> 18 000 ha</w:t>
            </w:r>
          </w:p>
          <w:p w:rsidR="0054687A" w:rsidRDefault="0054687A" w:rsidP="00ED144B">
            <w:pPr>
              <w:spacing w:after="0"/>
              <w:contextualSpacing/>
              <w:rPr>
                <w:sz w:val="16"/>
                <w:szCs w:val="16"/>
              </w:rPr>
            </w:pPr>
            <w:r w:rsidRPr="00ED144B">
              <w:rPr>
                <w:sz w:val="16"/>
                <w:szCs w:val="16"/>
              </w:rPr>
              <w:t>Déc. 2021 (à</w:t>
            </w:r>
            <w:r w:rsidR="005F75A5">
              <w:rPr>
                <w:sz w:val="16"/>
                <w:szCs w:val="16"/>
              </w:rPr>
              <w:t xml:space="preserve"> la clôture du projet) :</w:t>
            </w:r>
          </w:p>
          <w:p w:rsidR="005F75A5" w:rsidRPr="00ED144B" w:rsidRDefault="005F75A5" w:rsidP="002E3A02">
            <w:pPr>
              <w:pStyle w:val="ListParagraph"/>
              <w:numPr>
                <w:ilvl w:val="0"/>
                <w:numId w:val="15"/>
              </w:numPr>
              <w:contextualSpacing/>
              <w:rPr>
                <w:sz w:val="16"/>
                <w:szCs w:val="16"/>
              </w:rPr>
            </w:pPr>
            <w:r w:rsidRPr="00ED144B">
              <w:rPr>
                <w:sz w:val="16"/>
                <w:szCs w:val="16"/>
              </w:rPr>
              <w:t>Acacia :</w:t>
            </w:r>
            <w:r>
              <w:rPr>
                <w:sz w:val="16"/>
                <w:szCs w:val="16"/>
              </w:rPr>
              <w:t xml:space="preserve"> 3 350 ha</w:t>
            </w:r>
          </w:p>
          <w:p w:rsidR="005F75A5" w:rsidRPr="00ED144B" w:rsidRDefault="005F75A5" w:rsidP="002E3A02">
            <w:pPr>
              <w:pStyle w:val="ListParagraph"/>
              <w:numPr>
                <w:ilvl w:val="0"/>
                <w:numId w:val="15"/>
              </w:numPr>
              <w:contextualSpacing/>
              <w:rPr>
                <w:sz w:val="16"/>
                <w:szCs w:val="16"/>
              </w:rPr>
            </w:pPr>
            <w:r w:rsidRPr="00ED144B">
              <w:rPr>
                <w:sz w:val="16"/>
                <w:szCs w:val="16"/>
              </w:rPr>
              <w:t>Mise en défens :</w:t>
            </w:r>
            <w:r>
              <w:rPr>
                <w:sz w:val="16"/>
                <w:szCs w:val="16"/>
              </w:rPr>
              <w:t xml:space="preserve"> 30 000 ha</w:t>
            </w:r>
          </w:p>
        </w:tc>
      </w:tr>
      <w:tr w:rsidR="008930BE" w:rsidRPr="000F598B" w:rsidTr="00ED144B">
        <w:trPr>
          <w:trHeight w:val="355"/>
          <w:jc w:val="center"/>
        </w:trPr>
        <w:tc>
          <w:tcPr>
            <w:tcW w:w="10885" w:type="dxa"/>
            <w:gridSpan w:val="6"/>
            <w:shd w:val="clear" w:color="auto" w:fill="D9D9D9" w:themeFill="background1" w:themeFillShade="D9"/>
            <w:vAlign w:val="center"/>
          </w:tcPr>
          <w:p w:rsidR="008930BE" w:rsidRDefault="008930BE" w:rsidP="00653C9E">
            <w:pPr>
              <w:contextualSpacing/>
              <w:rPr>
                <w:sz w:val="20"/>
                <w:szCs w:val="20"/>
              </w:rPr>
            </w:pPr>
            <w:r>
              <w:rPr>
                <w:sz w:val="20"/>
                <w:szCs w:val="20"/>
              </w:rPr>
              <w:lastRenderedPageBreak/>
              <w:t>Effet 3 : La déforestation et la dégradation issues de l’exploitation des forêts est réduite grâce à une gestion plus durable</w:t>
            </w:r>
          </w:p>
        </w:tc>
      </w:tr>
      <w:tr w:rsidR="008930BE" w:rsidRPr="000F598B" w:rsidTr="00ED144B">
        <w:trPr>
          <w:trHeight w:val="355"/>
          <w:jc w:val="center"/>
        </w:trPr>
        <w:tc>
          <w:tcPr>
            <w:tcW w:w="2641" w:type="dxa"/>
            <w:vAlign w:val="center"/>
          </w:tcPr>
          <w:p w:rsidR="008930BE" w:rsidRPr="000F598B" w:rsidRDefault="008930BE" w:rsidP="00653C9E">
            <w:pPr>
              <w:spacing w:after="0"/>
              <w:contextualSpacing/>
              <w:rPr>
                <w:rFonts w:cs="Times New Roman"/>
                <w:sz w:val="20"/>
                <w:szCs w:val="20"/>
              </w:rPr>
            </w:pPr>
            <w:r>
              <w:rPr>
                <w:rFonts w:cs="Times New Roman"/>
                <w:sz w:val="20"/>
                <w:szCs w:val="20"/>
              </w:rPr>
              <w:t xml:space="preserve">Augmentation du nombre de communautés et </w:t>
            </w:r>
            <w:r w:rsidR="006A6AC7">
              <w:rPr>
                <w:rFonts w:cs="Times New Roman"/>
                <w:sz w:val="20"/>
                <w:szCs w:val="20"/>
              </w:rPr>
              <w:t>d’</w:t>
            </w:r>
            <w:r>
              <w:rPr>
                <w:rFonts w:cs="Times New Roman"/>
                <w:sz w:val="20"/>
                <w:szCs w:val="20"/>
              </w:rPr>
              <w:t>ETD soutenues pour la mise en œuvre de la foresterie communautaire</w:t>
            </w:r>
          </w:p>
        </w:tc>
        <w:tc>
          <w:tcPr>
            <w:tcW w:w="1404" w:type="dxa"/>
            <w:vAlign w:val="center"/>
          </w:tcPr>
          <w:p w:rsidR="008930BE" w:rsidRPr="000F598B" w:rsidRDefault="008930BE">
            <w:pPr>
              <w:spacing w:after="0"/>
              <w:contextualSpacing/>
              <w:jc w:val="center"/>
              <w:rPr>
                <w:rFonts w:cs="Times New Roman"/>
                <w:sz w:val="20"/>
                <w:szCs w:val="20"/>
              </w:rPr>
            </w:pPr>
            <w:r>
              <w:rPr>
                <w:rFonts w:cs="Times New Roman"/>
                <w:sz w:val="20"/>
                <w:szCs w:val="20"/>
              </w:rPr>
              <w:t>Nombre</w:t>
            </w:r>
            <w:r w:rsidR="00640BA8">
              <w:rPr>
                <w:rFonts w:cs="Times New Roman"/>
                <w:sz w:val="20"/>
                <w:szCs w:val="20"/>
              </w:rPr>
              <w:t xml:space="preserve"> </w:t>
            </w:r>
            <w:r w:rsidR="008477EE">
              <w:rPr>
                <w:rFonts w:cs="Times New Roman"/>
                <w:sz w:val="20"/>
                <w:szCs w:val="20"/>
              </w:rPr>
              <w:t xml:space="preserve"> </w:t>
            </w:r>
          </w:p>
        </w:tc>
        <w:tc>
          <w:tcPr>
            <w:tcW w:w="2122" w:type="dxa"/>
            <w:vAlign w:val="center"/>
          </w:tcPr>
          <w:p w:rsidR="007F44FA" w:rsidRDefault="007F44FA">
            <w:pPr>
              <w:spacing w:after="0"/>
              <w:contextualSpacing/>
              <w:jc w:val="center"/>
            </w:pPr>
            <w:r>
              <w:rPr>
                <w:rFonts w:cs="Times New Roman"/>
                <w:color w:val="000000" w:themeColor="text1"/>
                <w:sz w:val="20"/>
                <w:szCs w:val="20"/>
              </w:rPr>
              <w:t>CLD</w:t>
            </w:r>
            <w:r w:rsidR="00951CDF" w:rsidRPr="00951CDF">
              <w:rPr>
                <w:rFonts w:cs="Times New Roman"/>
                <w:color w:val="000000" w:themeColor="text1"/>
                <w:sz w:val="20"/>
                <w:szCs w:val="20"/>
              </w:rPr>
              <w:t xml:space="preserve"> soutenus par</w:t>
            </w:r>
            <w:r>
              <w:rPr>
                <w:rFonts w:cs="Times New Roman"/>
                <w:color w:val="000000" w:themeColor="text1"/>
                <w:sz w:val="20"/>
                <w:szCs w:val="20"/>
              </w:rPr>
              <w:t xml:space="preserve"> le projet et disposant d’un PSG</w:t>
            </w:r>
            <w:r w:rsidR="00951CDF" w:rsidRPr="00951CDF">
              <w:rPr>
                <w:rFonts w:cs="Times New Roman"/>
                <w:color w:val="000000" w:themeColor="text1"/>
                <w:sz w:val="20"/>
                <w:szCs w:val="20"/>
              </w:rPr>
              <w:t xml:space="preserve"> enregistré</w:t>
            </w:r>
          </w:p>
          <w:p w:rsidR="007F44FA" w:rsidRDefault="007F44FA" w:rsidP="00951CDF">
            <w:pPr>
              <w:spacing w:after="0"/>
              <w:contextualSpacing/>
              <w:jc w:val="center"/>
            </w:pPr>
            <w:r>
              <w:t>0 – 600</w:t>
            </w:r>
          </w:p>
          <w:p w:rsidR="00951CDF" w:rsidRPr="00951CDF" w:rsidRDefault="00951CDF" w:rsidP="00951CDF">
            <w:pPr>
              <w:spacing w:after="0"/>
              <w:contextualSpacing/>
              <w:jc w:val="center"/>
              <w:rPr>
                <w:rFonts w:cs="Times New Roman"/>
                <w:color w:val="000000" w:themeColor="text1"/>
                <w:sz w:val="20"/>
                <w:szCs w:val="20"/>
              </w:rPr>
            </w:pPr>
            <w:r w:rsidRPr="00951CDF">
              <w:rPr>
                <w:rFonts w:cs="Times New Roman"/>
                <w:color w:val="000000" w:themeColor="text1"/>
                <w:sz w:val="20"/>
                <w:szCs w:val="20"/>
              </w:rPr>
              <w:t>Conservation</w:t>
            </w:r>
          </w:p>
          <w:p w:rsidR="008930BE" w:rsidRDefault="00951CDF" w:rsidP="00951CDF">
            <w:pPr>
              <w:spacing w:after="0"/>
              <w:contextualSpacing/>
              <w:jc w:val="center"/>
              <w:rPr>
                <w:rFonts w:cs="Times New Roman"/>
                <w:color w:val="000000" w:themeColor="text1"/>
                <w:sz w:val="20"/>
                <w:szCs w:val="20"/>
              </w:rPr>
            </w:pPr>
            <w:r w:rsidRPr="00951CDF">
              <w:rPr>
                <w:rFonts w:cs="Times New Roman"/>
                <w:color w:val="000000" w:themeColor="text1"/>
                <w:sz w:val="20"/>
                <w:szCs w:val="20"/>
              </w:rPr>
              <w:t>0 - 10 000</w:t>
            </w:r>
            <w:r>
              <w:rPr>
                <w:rFonts w:cs="Times New Roman"/>
                <w:color w:val="000000" w:themeColor="text1"/>
                <w:sz w:val="20"/>
                <w:szCs w:val="20"/>
              </w:rPr>
              <w:t xml:space="preserve"> ha</w:t>
            </w:r>
          </w:p>
        </w:tc>
        <w:tc>
          <w:tcPr>
            <w:tcW w:w="1568" w:type="dxa"/>
            <w:vAlign w:val="center"/>
          </w:tcPr>
          <w:p w:rsidR="008930BE"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951CDF" w:rsidRDefault="0039657F" w:rsidP="00ED144B">
            <w:pPr>
              <w:spacing w:after="0"/>
              <w:contextualSpacing/>
              <w:rPr>
                <w:sz w:val="16"/>
                <w:szCs w:val="16"/>
              </w:rPr>
            </w:pPr>
            <w:r w:rsidRPr="00ED144B">
              <w:rPr>
                <w:sz w:val="16"/>
                <w:szCs w:val="16"/>
              </w:rPr>
              <w:t>Déc. 2018 (Jalon Lettre d’intention) :</w:t>
            </w:r>
          </w:p>
          <w:p w:rsidR="00951CDF" w:rsidRPr="00ED144B" w:rsidRDefault="008477EE" w:rsidP="002E3A02">
            <w:pPr>
              <w:pStyle w:val="ListParagraph"/>
              <w:numPr>
                <w:ilvl w:val="0"/>
                <w:numId w:val="15"/>
              </w:numPr>
              <w:contextualSpacing/>
              <w:rPr>
                <w:sz w:val="16"/>
                <w:szCs w:val="16"/>
              </w:rPr>
            </w:pPr>
            <w:r>
              <w:rPr>
                <w:sz w:val="16"/>
                <w:szCs w:val="16"/>
              </w:rPr>
              <w:t xml:space="preserve">300 </w:t>
            </w:r>
            <w:r w:rsidR="007F44FA">
              <w:rPr>
                <w:sz w:val="16"/>
                <w:szCs w:val="16"/>
              </w:rPr>
              <w:t>PSG</w:t>
            </w:r>
          </w:p>
          <w:p w:rsidR="00951CDF" w:rsidRPr="00ED144B" w:rsidRDefault="00951CDF" w:rsidP="002E3A02">
            <w:pPr>
              <w:pStyle w:val="ListParagraph"/>
              <w:numPr>
                <w:ilvl w:val="0"/>
                <w:numId w:val="15"/>
              </w:numPr>
              <w:contextualSpacing/>
              <w:rPr>
                <w:sz w:val="16"/>
                <w:szCs w:val="16"/>
              </w:rPr>
            </w:pPr>
            <w:r w:rsidRPr="00951CDF">
              <w:rPr>
                <w:sz w:val="16"/>
                <w:szCs w:val="16"/>
              </w:rPr>
              <w:t>Conservation : 3 000 ha</w:t>
            </w:r>
          </w:p>
          <w:p w:rsidR="00951CDF" w:rsidRPr="00951CDF" w:rsidRDefault="0039657F" w:rsidP="00ED144B">
            <w:pPr>
              <w:spacing w:after="0"/>
              <w:contextualSpacing/>
              <w:rPr>
                <w:sz w:val="16"/>
                <w:szCs w:val="16"/>
              </w:rPr>
            </w:pPr>
            <w:r>
              <w:rPr>
                <w:sz w:val="16"/>
                <w:szCs w:val="16"/>
              </w:rPr>
              <w:t xml:space="preserve">Déc. 2019 (après 3 ans) : </w:t>
            </w:r>
          </w:p>
          <w:p w:rsidR="007F44FA" w:rsidRDefault="00951CDF" w:rsidP="002E3A02">
            <w:pPr>
              <w:pStyle w:val="ListParagraph"/>
              <w:numPr>
                <w:ilvl w:val="0"/>
                <w:numId w:val="15"/>
              </w:numPr>
              <w:contextualSpacing/>
              <w:rPr>
                <w:sz w:val="16"/>
                <w:szCs w:val="16"/>
              </w:rPr>
            </w:pPr>
            <w:r>
              <w:rPr>
                <w:sz w:val="16"/>
                <w:szCs w:val="16"/>
              </w:rPr>
              <w:t>600</w:t>
            </w:r>
            <w:r w:rsidR="007F44FA">
              <w:rPr>
                <w:sz w:val="16"/>
                <w:szCs w:val="16"/>
              </w:rPr>
              <w:t xml:space="preserve"> PSG</w:t>
            </w:r>
          </w:p>
          <w:p w:rsidR="00951CDF" w:rsidRPr="00ED144B" w:rsidRDefault="00951CDF" w:rsidP="002E3A02">
            <w:pPr>
              <w:pStyle w:val="ListParagraph"/>
              <w:numPr>
                <w:ilvl w:val="0"/>
                <w:numId w:val="15"/>
              </w:numPr>
              <w:contextualSpacing/>
              <w:rPr>
                <w:sz w:val="16"/>
                <w:szCs w:val="16"/>
              </w:rPr>
            </w:pPr>
            <w:r w:rsidRPr="00ED144B">
              <w:rPr>
                <w:sz w:val="16"/>
                <w:szCs w:val="16"/>
              </w:rPr>
              <w:t>Conservation : 6000 ha</w:t>
            </w:r>
          </w:p>
          <w:p w:rsidR="00951CDF" w:rsidRPr="00951CDF" w:rsidRDefault="0039657F" w:rsidP="00ED144B">
            <w:pPr>
              <w:spacing w:after="0"/>
              <w:contextualSpacing/>
              <w:rPr>
                <w:sz w:val="16"/>
                <w:szCs w:val="16"/>
              </w:rPr>
            </w:pPr>
            <w:r w:rsidRPr="00ED144B">
              <w:rPr>
                <w:sz w:val="16"/>
                <w:szCs w:val="16"/>
              </w:rPr>
              <w:t>Déc. 2021 (à</w:t>
            </w:r>
            <w:r>
              <w:rPr>
                <w:sz w:val="16"/>
                <w:szCs w:val="16"/>
              </w:rPr>
              <w:t xml:space="preserve"> la clôture du projet) : </w:t>
            </w:r>
          </w:p>
          <w:p w:rsidR="00951CDF" w:rsidRPr="00951CDF" w:rsidRDefault="00951CDF" w:rsidP="002E3A02">
            <w:pPr>
              <w:pStyle w:val="ListParagraph"/>
              <w:numPr>
                <w:ilvl w:val="0"/>
                <w:numId w:val="15"/>
              </w:numPr>
              <w:contextualSpacing/>
              <w:rPr>
                <w:sz w:val="16"/>
                <w:szCs w:val="16"/>
              </w:rPr>
            </w:pPr>
            <w:r>
              <w:rPr>
                <w:sz w:val="16"/>
                <w:szCs w:val="16"/>
              </w:rPr>
              <w:t>600</w:t>
            </w:r>
            <w:r w:rsidR="007F44FA">
              <w:rPr>
                <w:sz w:val="16"/>
                <w:szCs w:val="16"/>
              </w:rPr>
              <w:t xml:space="preserve"> PSG</w:t>
            </w:r>
          </w:p>
          <w:p w:rsidR="008930BE" w:rsidRDefault="00951CDF" w:rsidP="002E3A02">
            <w:pPr>
              <w:pStyle w:val="ListParagraph"/>
              <w:numPr>
                <w:ilvl w:val="0"/>
                <w:numId w:val="15"/>
              </w:numPr>
              <w:contextualSpacing/>
              <w:rPr>
                <w:sz w:val="20"/>
                <w:szCs w:val="20"/>
              </w:rPr>
            </w:pPr>
            <w:r>
              <w:rPr>
                <w:sz w:val="16"/>
                <w:szCs w:val="16"/>
              </w:rPr>
              <w:t>Conservation : 10</w:t>
            </w:r>
            <w:r w:rsidRPr="00951CDF">
              <w:rPr>
                <w:sz w:val="16"/>
                <w:szCs w:val="16"/>
              </w:rPr>
              <w:t xml:space="preserve"> 000 ha</w:t>
            </w:r>
          </w:p>
        </w:tc>
      </w:tr>
      <w:tr w:rsidR="00640BA8" w:rsidRPr="000F598B" w:rsidTr="00ED144B">
        <w:trPr>
          <w:trHeight w:val="355"/>
          <w:jc w:val="center"/>
        </w:trPr>
        <w:tc>
          <w:tcPr>
            <w:tcW w:w="10885" w:type="dxa"/>
            <w:gridSpan w:val="6"/>
            <w:shd w:val="clear" w:color="auto" w:fill="D9D9D9" w:themeFill="background1" w:themeFillShade="D9"/>
            <w:vAlign w:val="center"/>
          </w:tcPr>
          <w:p w:rsidR="00640BA8" w:rsidRDefault="00640BA8" w:rsidP="00653C9E">
            <w:pPr>
              <w:contextualSpacing/>
              <w:rPr>
                <w:sz w:val="20"/>
                <w:szCs w:val="20"/>
              </w:rPr>
            </w:pPr>
            <w:r>
              <w:rPr>
                <w:sz w:val="20"/>
                <w:szCs w:val="20"/>
              </w:rPr>
              <w:t>Effet 5 : Les activités humaines sont mieux planifiées permettant une optimisation de l’utilisation de l’espace et une diminution de leur impact sur les forêts</w:t>
            </w:r>
          </w:p>
        </w:tc>
      </w:tr>
      <w:tr w:rsidR="00640BA8" w:rsidRPr="000F598B" w:rsidTr="00ED144B">
        <w:trPr>
          <w:trHeight w:val="355"/>
          <w:jc w:val="center"/>
        </w:trPr>
        <w:tc>
          <w:tcPr>
            <w:tcW w:w="2641" w:type="dxa"/>
            <w:vAlign w:val="center"/>
          </w:tcPr>
          <w:p w:rsidR="00640BA8" w:rsidRPr="000F598B" w:rsidRDefault="00640BA8" w:rsidP="00653C9E">
            <w:pPr>
              <w:spacing w:after="0"/>
              <w:contextualSpacing/>
              <w:rPr>
                <w:rFonts w:cs="Times New Roman"/>
                <w:sz w:val="20"/>
                <w:szCs w:val="20"/>
              </w:rPr>
            </w:pPr>
            <w:r>
              <w:rPr>
                <w:rFonts w:cs="Times New Roman"/>
                <w:sz w:val="20"/>
                <w:szCs w:val="20"/>
              </w:rPr>
              <w:t>Nombre de secteurs administratifs, territoires et provinces disposant d’un plan d’usage des sols respecté</w:t>
            </w:r>
          </w:p>
        </w:tc>
        <w:tc>
          <w:tcPr>
            <w:tcW w:w="1404" w:type="dxa"/>
            <w:vAlign w:val="center"/>
          </w:tcPr>
          <w:p w:rsidR="00640BA8" w:rsidRPr="000F598B" w:rsidRDefault="00640BA8">
            <w:pPr>
              <w:spacing w:after="0"/>
              <w:contextualSpacing/>
              <w:jc w:val="center"/>
              <w:rPr>
                <w:rFonts w:cs="Times New Roman"/>
                <w:sz w:val="20"/>
                <w:szCs w:val="20"/>
              </w:rPr>
            </w:pPr>
            <w:r>
              <w:rPr>
                <w:rFonts w:cs="Times New Roman"/>
                <w:sz w:val="20"/>
                <w:szCs w:val="20"/>
              </w:rPr>
              <w:t>Nombre</w:t>
            </w:r>
            <w:r w:rsidR="00B2386B">
              <w:t xml:space="preserve"> </w:t>
            </w:r>
            <w:r w:rsidR="00B2386B" w:rsidRPr="00B2386B">
              <w:rPr>
                <w:rFonts w:cs="Times New Roman"/>
                <w:sz w:val="20"/>
                <w:szCs w:val="20"/>
              </w:rPr>
              <w:t xml:space="preserve">de </w:t>
            </w:r>
            <w:r w:rsidR="008477EE">
              <w:rPr>
                <w:rFonts w:cs="Times New Roman"/>
                <w:sz w:val="20"/>
                <w:szCs w:val="20"/>
              </w:rPr>
              <w:t>secteurs disposant d’un plan d’usage des sols</w:t>
            </w:r>
          </w:p>
        </w:tc>
        <w:tc>
          <w:tcPr>
            <w:tcW w:w="2122" w:type="dxa"/>
            <w:vAlign w:val="center"/>
          </w:tcPr>
          <w:p w:rsidR="00C75874" w:rsidRDefault="00C75874" w:rsidP="002000E1">
            <w:pPr>
              <w:spacing w:after="0"/>
              <w:contextualSpacing/>
              <w:jc w:val="center"/>
              <w:rPr>
                <w:rFonts w:cs="Times New Roman"/>
                <w:color w:val="000000" w:themeColor="text1"/>
                <w:sz w:val="20"/>
                <w:szCs w:val="20"/>
              </w:rPr>
            </w:pPr>
            <w:r>
              <w:rPr>
                <w:rFonts w:cs="Times New Roman"/>
                <w:color w:val="000000" w:themeColor="text1"/>
                <w:sz w:val="20"/>
                <w:szCs w:val="20"/>
              </w:rPr>
              <w:t>PDD</w:t>
            </w:r>
          </w:p>
          <w:p w:rsidR="00640BA8" w:rsidRDefault="00640BA8" w:rsidP="002000E1">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B2386B">
              <w:rPr>
                <w:rFonts w:cs="Times New Roman"/>
                <w:color w:val="000000" w:themeColor="text1"/>
                <w:sz w:val="20"/>
                <w:szCs w:val="20"/>
              </w:rPr>
              <w:t>-</w:t>
            </w:r>
            <w:r>
              <w:rPr>
                <w:rFonts w:cs="Times New Roman"/>
                <w:color w:val="000000" w:themeColor="text1"/>
                <w:sz w:val="20"/>
                <w:szCs w:val="20"/>
              </w:rPr>
              <w:t xml:space="preserve"> </w:t>
            </w:r>
            <w:r w:rsidR="00C75874">
              <w:rPr>
                <w:rFonts w:cs="Times New Roman"/>
                <w:color w:val="000000" w:themeColor="text1"/>
                <w:sz w:val="20"/>
                <w:szCs w:val="20"/>
              </w:rPr>
              <w:t>21</w:t>
            </w:r>
          </w:p>
          <w:p w:rsidR="00640BA8" w:rsidRDefault="00640BA8" w:rsidP="00653C9E">
            <w:pPr>
              <w:spacing w:after="0"/>
              <w:contextualSpacing/>
              <w:rPr>
                <w:rFonts w:cs="Times New Roman"/>
                <w:color w:val="000000" w:themeColor="text1"/>
                <w:sz w:val="20"/>
                <w:szCs w:val="20"/>
              </w:rPr>
            </w:pPr>
          </w:p>
        </w:tc>
        <w:tc>
          <w:tcPr>
            <w:tcW w:w="1568" w:type="dxa"/>
            <w:vAlign w:val="center"/>
          </w:tcPr>
          <w:p w:rsidR="00640BA8"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B2386B" w:rsidRPr="00ED144B" w:rsidRDefault="00B2386B" w:rsidP="00B2386B">
            <w:pPr>
              <w:contextualSpacing/>
              <w:rPr>
                <w:sz w:val="16"/>
                <w:szCs w:val="16"/>
              </w:rPr>
            </w:pPr>
            <w:r w:rsidRPr="00ED144B">
              <w:rPr>
                <w:sz w:val="16"/>
                <w:szCs w:val="16"/>
              </w:rPr>
              <w:t xml:space="preserve">Déc. 2018 (Jalon Lettre d’intention) : </w:t>
            </w:r>
            <w:r w:rsidR="00C75874">
              <w:rPr>
                <w:sz w:val="16"/>
                <w:szCs w:val="16"/>
              </w:rPr>
              <w:t>21</w:t>
            </w:r>
          </w:p>
          <w:p w:rsidR="00B2386B" w:rsidRPr="00ED144B" w:rsidRDefault="00B2386B" w:rsidP="00B2386B">
            <w:pPr>
              <w:contextualSpacing/>
              <w:rPr>
                <w:sz w:val="16"/>
                <w:szCs w:val="16"/>
              </w:rPr>
            </w:pPr>
            <w:r w:rsidRPr="00ED144B">
              <w:rPr>
                <w:sz w:val="16"/>
                <w:szCs w:val="16"/>
              </w:rPr>
              <w:t>D</w:t>
            </w:r>
            <w:r w:rsidR="00C75874">
              <w:rPr>
                <w:sz w:val="16"/>
                <w:szCs w:val="16"/>
              </w:rPr>
              <w:t>éc. 2019 (après 3 ans) : 21</w:t>
            </w:r>
          </w:p>
          <w:p w:rsidR="00640BA8" w:rsidRDefault="00B2386B">
            <w:pPr>
              <w:contextualSpacing/>
              <w:rPr>
                <w:sz w:val="20"/>
                <w:szCs w:val="20"/>
              </w:rPr>
            </w:pPr>
            <w:r w:rsidRPr="00ED144B">
              <w:rPr>
                <w:sz w:val="16"/>
                <w:szCs w:val="16"/>
              </w:rPr>
              <w:t xml:space="preserve">Déc. 2021 (à la clôture du projet) : </w:t>
            </w:r>
            <w:r w:rsidR="00C75874">
              <w:rPr>
                <w:sz w:val="16"/>
                <w:szCs w:val="16"/>
              </w:rPr>
              <w:t>21</w:t>
            </w:r>
          </w:p>
        </w:tc>
      </w:tr>
      <w:tr w:rsidR="00864286" w:rsidRPr="000F598B" w:rsidTr="00ED144B">
        <w:trPr>
          <w:trHeight w:val="355"/>
          <w:jc w:val="center"/>
        </w:trPr>
        <w:tc>
          <w:tcPr>
            <w:tcW w:w="10885" w:type="dxa"/>
            <w:gridSpan w:val="6"/>
            <w:shd w:val="clear" w:color="auto" w:fill="D9D9D9" w:themeFill="background1" w:themeFillShade="D9"/>
            <w:vAlign w:val="center"/>
          </w:tcPr>
          <w:p w:rsidR="00864286" w:rsidRDefault="00864286" w:rsidP="00653C9E">
            <w:pPr>
              <w:contextualSpacing/>
              <w:rPr>
                <w:sz w:val="20"/>
                <w:szCs w:val="20"/>
              </w:rPr>
            </w:pPr>
            <w:r>
              <w:rPr>
                <w:sz w:val="20"/>
                <w:szCs w:val="20"/>
              </w:rPr>
              <w:t>Effet 6 : Les droits fonciers permettent l’évolution durable de l’exploitation forestière et agricole</w:t>
            </w:r>
          </w:p>
        </w:tc>
      </w:tr>
      <w:tr w:rsidR="00864286" w:rsidRPr="000F598B" w:rsidTr="00ED144B">
        <w:trPr>
          <w:trHeight w:val="355"/>
          <w:jc w:val="center"/>
        </w:trPr>
        <w:tc>
          <w:tcPr>
            <w:tcW w:w="2641" w:type="dxa"/>
            <w:vAlign w:val="center"/>
          </w:tcPr>
          <w:p w:rsidR="00864286" w:rsidRPr="000F598B" w:rsidRDefault="00864286" w:rsidP="00653C9E">
            <w:pPr>
              <w:spacing w:after="0"/>
              <w:contextualSpacing/>
              <w:rPr>
                <w:rFonts w:cs="Times New Roman"/>
                <w:sz w:val="20"/>
                <w:szCs w:val="20"/>
              </w:rPr>
            </w:pPr>
            <w:r>
              <w:rPr>
                <w:rFonts w:cs="Times New Roman"/>
                <w:sz w:val="20"/>
                <w:szCs w:val="20"/>
              </w:rPr>
              <w:t>Edits fonciers provinciaux élaborés de manière participative</w:t>
            </w:r>
          </w:p>
        </w:tc>
        <w:tc>
          <w:tcPr>
            <w:tcW w:w="1404" w:type="dxa"/>
            <w:vAlign w:val="center"/>
          </w:tcPr>
          <w:p w:rsidR="00864286" w:rsidRPr="000F598B" w:rsidRDefault="00864286" w:rsidP="002000E1">
            <w:pPr>
              <w:spacing w:after="0"/>
              <w:contextualSpacing/>
              <w:jc w:val="center"/>
              <w:rPr>
                <w:rFonts w:cs="Times New Roman"/>
                <w:sz w:val="20"/>
                <w:szCs w:val="20"/>
              </w:rPr>
            </w:pPr>
            <w:r>
              <w:rPr>
                <w:rFonts w:cs="Times New Roman"/>
                <w:sz w:val="20"/>
                <w:szCs w:val="20"/>
              </w:rPr>
              <w:t>Nombre</w:t>
            </w:r>
          </w:p>
        </w:tc>
        <w:tc>
          <w:tcPr>
            <w:tcW w:w="2122" w:type="dxa"/>
            <w:vAlign w:val="center"/>
          </w:tcPr>
          <w:p w:rsidR="00864286" w:rsidRDefault="00864286" w:rsidP="002000E1">
            <w:pPr>
              <w:spacing w:after="0"/>
              <w:contextualSpacing/>
              <w:jc w:val="center"/>
              <w:rPr>
                <w:rFonts w:cs="Times New Roman"/>
                <w:color w:val="000000" w:themeColor="text1"/>
                <w:sz w:val="20"/>
                <w:szCs w:val="20"/>
              </w:rPr>
            </w:pPr>
            <w:r>
              <w:rPr>
                <w:rFonts w:cs="Times New Roman"/>
                <w:color w:val="000000" w:themeColor="text1"/>
                <w:sz w:val="20"/>
                <w:szCs w:val="20"/>
              </w:rPr>
              <w:t>0 - 1</w:t>
            </w:r>
          </w:p>
        </w:tc>
        <w:tc>
          <w:tcPr>
            <w:tcW w:w="1568" w:type="dxa"/>
            <w:vAlign w:val="center"/>
          </w:tcPr>
          <w:p w:rsidR="00864286"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354A9B" w:rsidRPr="00ED144B" w:rsidRDefault="00354A9B" w:rsidP="00354A9B">
            <w:pPr>
              <w:contextualSpacing/>
              <w:rPr>
                <w:sz w:val="16"/>
                <w:szCs w:val="16"/>
              </w:rPr>
            </w:pPr>
            <w:r w:rsidRPr="00ED144B">
              <w:rPr>
                <w:sz w:val="16"/>
                <w:szCs w:val="16"/>
              </w:rPr>
              <w:t xml:space="preserve">Déc. 2018 (Jalon Lettre d’intention) : </w:t>
            </w:r>
            <w:r w:rsidR="008477EE">
              <w:rPr>
                <w:sz w:val="16"/>
                <w:szCs w:val="16"/>
              </w:rPr>
              <w:t>0</w:t>
            </w:r>
          </w:p>
          <w:p w:rsidR="00354A9B" w:rsidRPr="00ED144B" w:rsidRDefault="00354A9B" w:rsidP="00354A9B">
            <w:pPr>
              <w:contextualSpacing/>
              <w:rPr>
                <w:sz w:val="16"/>
                <w:szCs w:val="16"/>
              </w:rPr>
            </w:pPr>
            <w:r w:rsidRPr="00ED144B">
              <w:rPr>
                <w:sz w:val="16"/>
                <w:szCs w:val="16"/>
              </w:rPr>
              <w:t xml:space="preserve">Déc. 2019 (après 3 ans) : </w:t>
            </w:r>
            <w:r w:rsidR="008477EE">
              <w:rPr>
                <w:sz w:val="16"/>
                <w:szCs w:val="16"/>
              </w:rPr>
              <w:t>1</w:t>
            </w:r>
          </w:p>
          <w:p w:rsidR="00864286" w:rsidRDefault="00354A9B">
            <w:pPr>
              <w:contextualSpacing/>
              <w:rPr>
                <w:sz w:val="20"/>
                <w:szCs w:val="20"/>
              </w:rPr>
            </w:pPr>
            <w:r w:rsidRPr="00ED144B">
              <w:rPr>
                <w:sz w:val="16"/>
                <w:szCs w:val="16"/>
              </w:rPr>
              <w:t xml:space="preserve">Déc. 2021 (à la clôture du projet) : </w:t>
            </w:r>
            <w:r w:rsidR="008477EE">
              <w:rPr>
                <w:sz w:val="16"/>
                <w:szCs w:val="16"/>
              </w:rPr>
              <w:t>1</w:t>
            </w:r>
          </w:p>
        </w:tc>
      </w:tr>
      <w:tr w:rsidR="00864286" w:rsidRPr="000F598B" w:rsidTr="00ED144B">
        <w:trPr>
          <w:trHeight w:val="355"/>
          <w:jc w:val="center"/>
        </w:trPr>
        <w:tc>
          <w:tcPr>
            <w:tcW w:w="2641" w:type="dxa"/>
            <w:vAlign w:val="center"/>
          </w:tcPr>
          <w:p w:rsidR="00864286" w:rsidRDefault="00864286" w:rsidP="00653C9E">
            <w:pPr>
              <w:spacing w:after="0"/>
              <w:contextualSpacing/>
              <w:rPr>
                <w:rFonts w:cs="Times New Roman"/>
                <w:sz w:val="20"/>
                <w:szCs w:val="20"/>
              </w:rPr>
            </w:pPr>
            <w:r>
              <w:rPr>
                <w:rFonts w:cs="Times New Roman"/>
                <w:sz w:val="20"/>
                <w:szCs w:val="20"/>
              </w:rPr>
              <w:t>Coordinations foncières fonctionnelles</w:t>
            </w:r>
          </w:p>
        </w:tc>
        <w:tc>
          <w:tcPr>
            <w:tcW w:w="1404" w:type="dxa"/>
            <w:vAlign w:val="center"/>
          </w:tcPr>
          <w:p w:rsidR="00864286" w:rsidRDefault="00864286" w:rsidP="002000E1">
            <w:pPr>
              <w:spacing w:after="0"/>
              <w:contextualSpacing/>
              <w:jc w:val="center"/>
              <w:rPr>
                <w:rFonts w:cs="Times New Roman"/>
                <w:sz w:val="20"/>
                <w:szCs w:val="20"/>
              </w:rPr>
            </w:pPr>
            <w:r>
              <w:rPr>
                <w:rFonts w:cs="Times New Roman"/>
                <w:sz w:val="20"/>
                <w:szCs w:val="20"/>
              </w:rPr>
              <w:t>Nombre</w:t>
            </w:r>
          </w:p>
        </w:tc>
        <w:tc>
          <w:tcPr>
            <w:tcW w:w="2122" w:type="dxa"/>
            <w:vAlign w:val="center"/>
          </w:tcPr>
          <w:p w:rsidR="00864286" w:rsidRDefault="00864286" w:rsidP="002000E1">
            <w:pPr>
              <w:spacing w:after="0"/>
              <w:contextualSpacing/>
              <w:jc w:val="center"/>
              <w:rPr>
                <w:rFonts w:cs="Times New Roman"/>
                <w:color w:val="000000" w:themeColor="text1"/>
                <w:sz w:val="20"/>
                <w:szCs w:val="20"/>
              </w:rPr>
            </w:pPr>
            <w:r>
              <w:rPr>
                <w:rFonts w:cs="Times New Roman"/>
                <w:color w:val="000000" w:themeColor="text1"/>
                <w:sz w:val="20"/>
                <w:szCs w:val="20"/>
              </w:rPr>
              <w:t>0 - 1</w:t>
            </w:r>
          </w:p>
        </w:tc>
        <w:tc>
          <w:tcPr>
            <w:tcW w:w="1568" w:type="dxa"/>
            <w:vAlign w:val="center"/>
          </w:tcPr>
          <w:p w:rsidR="00864286"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354A9B" w:rsidRPr="00ED144B" w:rsidRDefault="00354A9B" w:rsidP="00354A9B">
            <w:pPr>
              <w:contextualSpacing/>
              <w:rPr>
                <w:sz w:val="16"/>
                <w:szCs w:val="16"/>
              </w:rPr>
            </w:pPr>
            <w:r w:rsidRPr="00ED144B">
              <w:rPr>
                <w:sz w:val="16"/>
                <w:szCs w:val="16"/>
              </w:rPr>
              <w:t xml:space="preserve">Déc. 2018 (Jalon Lettre d’intention) : </w:t>
            </w:r>
            <w:r w:rsidR="00963094">
              <w:rPr>
                <w:sz w:val="16"/>
                <w:szCs w:val="16"/>
              </w:rPr>
              <w:t>1</w:t>
            </w:r>
          </w:p>
          <w:p w:rsidR="00354A9B" w:rsidRPr="00ED144B" w:rsidRDefault="00354A9B" w:rsidP="00354A9B">
            <w:pPr>
              <w:contextualSpacing/>
              <w:rPr>
                <w:sz w:val="16"/>
                <w:szCs w:val="16"/>
              </w:rPr>
            </w:pPr>
            <w:r w:rsidRPr="00ED144B">
              <w:rPr>
                <w:sz w:val="16"/>
                <w:szCs w:val="16"/>
              </w:rPr>
              <w:t xml:space="preserve">Déc. 2019 (après 3 ans) : </w:t>
            </w:r>
            <w:r w:rsidR="00963094">
              <w:rPr>
                <w:sz w:val="16"/>
                <w:szCs w:val="16"/>
              </w:rPr>
              <w:t>1</w:t>
            </w:r>
          </w:p>
          <w:p w:rsidR="00864286" w:rsidRDefault="00354A9B">
            <w:pPr>
              <w:contextualSpacing/>
              <w:rPr>
                <w:sz w:val="20"/>
                <w:szCs w:val="20"/>
              </w:rPr>
            </w:pPr>
            <w:r w:rsidRPr="00ED144B">
              <w:rPr>
                <w:sz w:val="16"/>
                <w:szCs w:val="16"/>
              </w:rPr>
              <w:t xml:space="preserve">Déc. 2021 (à la clôture du projet) : </w:t>
            </w:r>
            <w:r w:rsidR="00963094">
              <w:rPr>
                <w:sz w:val="16"/>
                <w:szCs w:val="16"/>
              </w:rPr>
              <w:t>1</w:t>
            </w:r>
          </w:p>
        </w:tc>
      </w:tr>
      <w:tr w:rsidR="00864286" w:rsidRPr="000F598B" w:rsidTr="00ED144B">
        <w:trPr>
          <w:trHeight w:val="355"/>
          <w:jc w:val="center"/>
        </w:trPr>
        <w:tc>
          <w:tcPr>
            <w:tcW w:w="2641" w:type="dxa"/>
            <w:vAlign w:val="center"/>
          </w:tcPr>
          <w:p w:rsidR="00864286" w:rsidRDefault="00864286" w:rsidP="00653C9E">
            <w:pPr>
              <w:spacing w:after="0"/>
              <w:contextualSpacing/>
              <w:rPr>
                <w:rFonts w:cs="Times New Roman"/>
                <w:sz w:val="20"/>
                <w:szCs w:val="20"/>
              </w:rPr>
            </w:pPr>
            <w:r>
              <w:rPr>
                <w:rFonts w:cs="Times New Roman"/>
                <w:sz w:val="20"/>
                <w:szCs w:val="20"/>
              </w:rPr>
              <w:t>Nombre de conseils consultatifs de l’agriculture fonctionnels</w:t>
            </w:r>
          </w:p>
        </w:tc>
        <w:tc>
          <w:tcPr>
            <w:tcW w:w="1404" w:type="dxa"/>
            <w:vAlign w:val="center"/>
          </w:tcPr>
          <w:p w:rsidR="00864286" w:rsidRDefault="00864286" w:rsidP="002000E1">
            <w:pPr>
              <w:spacing w:after="0"/>
              <w:contextualSpacing/>
              <w:jc w:val="center"/>
              <w:rPr>
                <w:rFonts w:cs="Times New Roman"/>
                <w:sz w:val="20"/>
                <w:szCs w:val="20"/>
              </w:rPr>
            </w:pPr>
            <w:r>
              <w:rPr>
                <w:rFonts w:cs="Times New Roman"/>
                <w:sz w:val="20"/>
                <w:szCs w:val="20"/>
              </w:rPr>
              <w:t>Nombre</w:t>
            </w:r>
          </w:p>
        </w:tc>
        <w:tc>
          <w:tcPr>
            <w:tcW w:w="2122" w:type="dxa"/>
            <w:vAlign w:val="center"/>
          </w:tcPr>
          <w:p w:rsidR="00864286" w:rsidRDefault="00864286">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963094">
              <w:rPr>
                <w:rFonts w:cs="Times New Roman"/>
                <w:color w:val="000000" w:themeColor="text1"/>
                <w:sz w:val="20"/>
                <w:szCs w:val="20"/>
              </w:rPr>
              <w:t>-</w:t>
            </w:r>
            <w:r>
              <w:rPr>
                <w:rFonts w:cs="Times New Roman"/>
                <w:color w:val="000000" w:themeColor="text1"/>
                <w:sz w:val="20"/>
                <w:szCs w:val="20"/>
              </w:rPr>
              <w:t xml:space="preserve"> </w:t>
            </w:r>
            <w:r w:rsidR="00963094">
              <w:rPr>
                <w:rFonts w:cs="Times New Roman"/>
                <w:color w:val="000000" w:themeColor="text1"/>
                <w:sz w:val="20"/>
                <w:szCs w:val="20"/>
              </w:rPr>
              <w:t>4</w:t>
            </w:r>
          </w:p>
          <w:p w:rsidR="00963094" w:rsidRDefault="00963094">
            <w:pPr>
              <w:spacing w:after="0"/>
              <w:contextualSpacing/>
              <w:jc w:val="center"/>
              <w:rPr>
                <w:rFonts w:cs="Times New Roman"/>
                <w:color w:val="000000" w:themeColor="text1"/>
                <w:sz w:val="20"/>
                <w:szCs w:val="20"/>
              </w:rPr>
            </w:pPr>
            <w:r>
              <w:rPr>
                <w:rFonts w:cs="Times New Roman"/>
                <w:color w:val="000000" w:themeColor="text1"/>
                <w:sz w:val="20"/>
                <w:szCs w:val="20"/>
              </w:rPr>
              <w:t>CARTs</w:t>
            </w:r>
          </w:p>
        </w:tc>
        <w:tc>
          <w:tcPr>
            <w:tcW w:w="1568" w:type="dxa"/>
            <w:vAlign w:val="center"/>
          </w:tcPr>
          <w:p w:rsidR="00864286"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963094" w:rsidRPr="00ED144B" w:rsidRDefault="00963094" w:rsidP="00ED144B">
            <w:pPr>
              <w:spacing w:after="0"/>
              <w:contextualSpacing/>
              <w:rPr>
                <w:rFonts w:cs="Times New Roman"/>
                <w:sz w:val="20"/>
                <w:szCs w:val="20"/>
              </w:rPr>
            </w:pPr>
            <w:r w:rsidRPr="00ED144B">
              <w:rPr>
                <w:rFonts w:cs="Times New Roman"/>
                <w:sz w:val="20"/>
                <w:szCs w:val="20"/>
              </w:rPr>
              <w:t>En sus des 4 Conseils Agricoles Ruraux de Territoire (CART), le projet supportera aussi la refondation ou l’émergence de Conseils Agricoles Ruraux de Secteur dont le nombre reste à préciser.</w:t>
            </w:r>
          </w:p>
          <w:p w:rsidR="00963094" w:rsidRDefault="00963094" w:rsidP="00354A9B">
            <w:pPr>
              <w:contextualSpacing/>
              <w:rPr>
                <w:sz w:val="16"/>
                <w:szCs w:val="16"/>
              </w:rPr>
            </w:pPr>
          </w:p>
          <w:p w:rsidR="00354A9B" w:rsidRPr="00ED144B" w:rsidRDefault="00354A9B" w:rsidP="00354A9B">
            <w:pPr>
              <w:contextualSpacing/>
              <w:rPr>
                <w:sz w:val="16"/>
                <w:szCs w:val="16"/>
              </w:rPr>
            </w:pPr>
            <w:r w:rsidRPr="00ED144B">
              <w:rPr>
                <w:sz w:val="16"/>
                <w:szCs w:val="16"/>
              </w:rPr>
              <w:t xml:space="preserve">Déc. 2018 (Jalon Lettre d’intention) : </w:t>
            </w:r>
            <w:r w:rsidR="00963094">
              <w:rPr>
                <w:sz w:val="16"/>
                <w:szCs w:val="16"/>
              </w:rPr>
              <w:t>4</w:t>
            </w:r>
          </w:p>
          <w:p w:rsidR="00354A9B" w:rsidRPr="00ED144B" w:rsidRDefault="00354A9B" w:rsidP="00354A9B">
            <w:pPr>
              <w:contextualSpacing/>
              <w:rPr>
                <w:sz w:val="16"/>
                <w:szCs w:val="16"/>
              </w:rPr>
            </w:pPr>
            <w:r w:rsidRPr="00ED144B">
              <w:rPr>
                <w:sz w:val="16"/>
                <w:szCs w:val="16"/>
              </w:rPr>
              <w:t xml:space="preserve">Déc. 2019 (après 3 ans) : </w:t>
            </w:r>
            <w:r w:rsidR="00963094">
              <w:rPr>
                <w:sz w:val="16"/>
                <w:szCs w:val="16"/>
              </w:rPr>
              <w:t>4</w:t>
            </w:r>
          </w:p>
          <w:p w:rsidR="00864286" w:rsidRDefault="00354A9B">
            <w:pPr>
              <w:contextualSpacing/>
              <w:rPr>
                <w:sz w:val="20"/>
                <w:szCs w:val="20"/>
              </w:rPr>
            </w:pPr>
            <w:r w:rsidRPr="00ED144B">
              <w:rPr>
                <w:sz w:val="16"/>
                <w:szCs w:val="16"/>
              </w:rPr>
              <w:t>Déc. 202</w:t>
            </w:r>
            <w:r w:rsidR="00963094">
              <w:rPr>
                <w:sz w:val="16"/>
                <w:szCs w:val="16"/>
              </w:rPr>
              <w:t>1 (à la clôture du projet) : 4</w:t>
            </w:r>
          </w:p>
        </w:tc>
      </w:tr>
      <w:tr w:rsidR="00864286" w:rsidRPr="000F598B" w:rsidTr="00ED144B">
        <w:trPr>
          <w:trHeight w:val="355"/>
          <w:jc w:val="center"/>
        </w:trPr>
        <w:tc>
          <w:tcPr>
            <w:tcW w:w="2641" w:type="dxa"/>
            <w:vAlign w:val="center"/>
          </w:tcPr>
          <w:p w:rsidR="00864286" w:rsidRDefault="00864286" w:rsidP="00653C9E">
            <w:pPr>
              <w:spacing w:after="0"/>
              <w:contextualSpacing/>
              <w:rPr>
                <w:rFonts w:cs="Times New Roman"/>
                <w:sz w:val="20"/>
                <w:szCs w:val="20"/>
              </w:rPr>
            </w:pPr>
            <w:r>
              <w:rPr>
                <w:rFonts w:cs="Times New Roman"/>
                <w:sz w:val="20"/>
                <w:szCs w:val="20"/>
              </w:rPr>
              <w:t>Carte(s) des diverses emprises foncières sectorielles formelles ou informelles, publiques et privées</w:t>
            </w:r>
          </w:p>
        </w:tc>
        <w:tc>
          <w:tcPr>
            <w:tcW w:w="1404" w:type="dxa"/>
            <w:vAlign w:val="center"/>
          </w:tcPr>
          <w:p w:rsidR="00864286" w:rsidRDefault="00864286" w:rsidP="002000E1">
            <w:pPr>
              <w:spacing w:after="0"/>
              <w:contextualSpacing/>
              <w:jc w:val="center"/>
              <w:rPr>
                <w:rFonts w:cs="Times New Roman"/>
                <w:sz w:val="20"/>
                <w:szCs w:val="20"/>
              </w:rPr>
            </w:pPr>
            <w:r>
              <w:rPr>
                <w:rFonts w:cs="Times New Roman"/>
                <w:sz w:val="20"/>
                <w:szCs w:val="20"/>
              </w:rPr>
              <w:t>Nombre</w:t>
            </w:r>
          </w:p>
        </w:tc>
        <w:tc>
          <w:tcPr>
            <w:tcW w:w="2122" w:type="dxa"/>
            <w:vAlign w:val="center"/>
          </w:tcPr>
          <w:p w:rsidR="00864286" w:rsidRDefault="00864286" w:rsidP="002000E1">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B2386B">
              <w:rPr>
                <w:rFonts w:cs="Times New Roman"/>
                <w:color w:val="000000" w:themeColor="text1"/>
                <w:sz w:val="20"/>
                <w:szCs w:val="20"/>
              </w:rPr>
              <w:t>-</w:t>
            </w:r>
            <w:r>
              <w:rPr>
                <w:rFonts w:cs="Times New Roman"/>
                <w:color w:val="000000" w:themeColor="text1"/>
                <w:sz w:val="20"/>
                <w:szCs w:val="20"/>
              </w:rPr>
              <w:t xml:space="preserve"> 1 carte provinciale</w:t>
            </w:r>
          </w:p>
          <w:p w:rsidR="00864286" w:rsidRDefault="00864286">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B2386B">
              <w:rPr>
                <w:rFonts w:cs="Times New Roman"/>
                <w:color w:val="000000" w:themeColor="text1"/>
                <w:sz w:val="20"/>
                <w:szCs w:val="20"/>
              </w:rPr>
              <w:t>-</w:t>
            </w:r>
            <w:r>
              <w:rPr>
                <w:rFonts w:cs="Times New Roman"/>
                <w:color w:val="000000" w:themeColor="text1"/>
                <w:sz w:val="20"/>
                <w:szCs w:val="20"/>
              </w:rPr>
              <w:t xml:space="preserve"> 600 cartes participatives </w:t>
            </w:r>
            <w:r w:rsidR="00354A9B">
              <w:rPr>
                <w:rFonts w:cs="Times New Roman"/>
                <w:color w:val="000000" w:themeColor="text1"/>
                <w:sz w:val="20"/>
                <w:szCs w:val="20"/>
              </w:rPr>
              <w:t xml:space="preserve">de </w:t>
            </w:r>
            <w:r>
              <w:rPr>
                <w:rFonts w:cs="Times New Roman"/>
                <w:color w:val="000000" w:themeColor="text1"/>
                <w:sz w:val="20"/>
                <w:szCs w:val="20"/>
              </w:rPr>
              <w:t>terroir</w:t>
            </w:r>
          </w:p>
        </w:tc>
        <w:tc>
          <w:tcPr>
            <w:tcW w:w="1568" w:type="dxa"/>
            <w:vAlign w:val="center"/>
          </w:tcPr>
          <w:p w:rsidR="00864286"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AB1CFE" w:rsidRPr="00ED144B" w:rsidRDefault="00AB1CFE" w:rsidP="00AB1CFE">
            <w:pPr>
              <w:contextualSpacing/>
              <w:rPr>
                <w:sz w:val="16"/>
                <w:szCs w:val="16"/>
              </w:rPr>
            </w:pPr>
            <w:r w:rsidRPr="00ED144B">
              <w:rPr>
                <w:sz w:val="16"/>
                <w:szCs w:val="16"/>
              </w:rPr>
              <w:t>Déc. 2018 (Jalon Lettre d’intention) :</w:t>
            </w:r>
          </w:p>
          <w:p w:rsidR="00AB1CFE" w:rsidRPr="00ED144B" w:rsidRDefault="00AB1CFE" w:rsidP="00AB1CFE">
            <w:pPr>
              <w:contextualSpacing/>
              <w:rPr>
                <w:sz w:val="16"/>
                <w:szCs w:val="16"/>
              </w:rPr>
            </w:pPr>
            <w:r>
              <w:rPr>
                <w:sz w:val="16"/>
                <w:szCs w:val="16"/>
              </w:rPr>
              <w:t>-</w:t>
            </w:r>
            <w:r>
              <w:rPr>
                <w:sz w:val="16"/>
                <w:szCs w:val="16"/>
              </w:rPr>
              <w:tab/>
              <w:t>Carte provinciale : 1</w:t>
            </w:r>
          </w:p>
          <w:p w:rsidR="00AB1CFE" w:rsidRPr="00ED144B" w:rsidRDefault="00AB1CFE" w:rsidP="00AB1CFE">
            <w:pPr>
              <w:contextualSpacing/>
              <w:rPr>
                <w:sz w:val="16"/>
                <w:szCs w:val="16"/>
              </w:rPr>
            </w:pPr>
            <w:r w:rsidRPr="00ED144B">
              <w:rPr>
                <w:sz w:val="16"/>
                <w:szCs w:val="16"/>
              </w:rPr>
              <w:t>-</w:t>
            </w:r>
            <w:r w:rsidRPr="00ED144B">
              <w:rPr>
                <w:sz w:val="16"/>
                <w:szCs w:val="16"/>
              </w:rPr>
              <w:tab/>
            </w:r>
            <w:r>
              <w:rPr>
                <w:sz w:val="16"/>
                <w:szCs w:val="16"/>
              </w:rPr>
              <w:t>Carte de terroir : 300</w:t>
            </w:r>
          </w:p>
          <w:p w:rsidR="00AB1CFE" w:rsidRPr="00ED144B" w:rsidRDefault="00AB1CFE" w:rsidP="00AB1CFE">
            <w:pPr>
              <w:contextualSpacing/>
              <w:rPr>
                <w:sz w:val="16"/>
                <w:szCs w:val="16"/>
              </w:rPr>
            </w:pPr>
            <w:r w:rsidRPr="00ED144B">
              <w:rPr>
                <w:sz w:val="16"/>
                <w:szCs w:val="16"/>
              </w:rPr>
              <w:t>Déc. 2019 (après 3 ans) :</w:t>
            </w:r>
          </w:p>
          <w:p w:rsidR="00AB1CFE" w:rsidRPr="00AB1CFE" w:rsidRDefault="00AB1CFE" w:rsidP="00AB1CFE">
            <w:pPr>
              <w:contextualSpacing/>
              <w:rPr>
                <w:sz w:val="16"/>
                <w:szCs w:val="16"/>
              </w:rPr>
            </w:pPr>
            <w:r w:rsidRPr="00ED144B">
              <w:rPr>
                <w:sz w:val="16"/>
                <w:szCs w:val="16"/>
              </w:rPr>
              <w:t>-</w:t>
            </w:r>
            <w:r w:rsidRPr="00ED144B">
              <w:rPr>
                <w:sz w:val="16"/>
                <w:szCs w:val="16"/>
              </w:rPr>
              <w:tab/>
            </w:r>
            <w:r w:rsidRPr="00AB1CFE">
              <w:rPr>
                <w:sz w:val="16"/>
                <w:szCs w:val="16"/>
              </w:rPr>
              <w:t>Carte provinciale</w:t>
            </w:r>
            <w:r>
              <w:rPr>
                <w:sz w:val="16"/>
                <w:szCs w:val="16"/>
              </w:rPr>
              <w:t> : 1</w:t>
            </w:r>
          </w:p>
          <w:p w:rsidR="00AB1CFE" w:rsidRDefault="00AB1CFE" w:rsidP="00AB1CFE">
            <w:pPr>
              <w:contextualSpacing/>
              <w:rPr>
                <w:sz w:val="16"/>
                <w:szCs w:val="16"/>
              </w:rPr>
            </w:pPr>
            <w:r w:rsidRPr="00AB1CFE">
              <w:rPr>
                <w:sz w:val="16"/>
                <w:szCs w:val="16"/>
              </w:rPr>
              <w:t>-</w:t>
            </w:r>
            <w:r w:rsidRPr="00AB1CFE">
              <w:rPr>
                <w:sz w:val="16"/>
                <w:szCs w:val="16"/>
              </w:rPr>
              <w:tab/>
              <w:t>Carte de terroir</w:t>
            </w:r>
            <w:r>
              <w:rPr>
                <w:sz w:val="16"/>
                <w:szCs w:val="16"/>
              </w:rPr>
              <w:t> : 600</w:t>
            </w:r>
          </w:p>
          <w:p w:rsidR="00AB1CFE" w:rsidRPr="00ED144B" w:rsidRDefault="00AB1CFE" w:rsidP="00AB1CFE">
            <w:pPr>
              <w:contextualSpacing/>
              <w:rPr>
                <w:sz w:val="16"/>
                <w:szCs w:val="16"/>
              </w:rPr>
            </w:pPr>
            <w:r w:rsidRPr="00ED144B">
              <w:rPr>
                <w:sz w:val="16"/>
                <w:szCs w:val="16"/>
              </w:rPr>
              <w:lastRenderedPageBreak/>
              <w:t>Déc. 2021 (à la clôture du projet) :</w:t>
            </w:r>
          </w:p>
          <w:p w:rsidR="00AB1CFE" w:rsidRPr="00AB1CFE" w:rsidRDefault="00AB1CFE" w:rsidP="00AB1CFE">
            <w:pPr>
              <w:contextualSpacing/>
              <w:rPr>
                <w:sz w:val="16"/>
                <w:szCs w:val="16"/>
              </w:rPr>
            </w:pPr>
            <w:r w:rsidRPr="00ED144B">
              <w:rPr>
                <w:sz w:val="16"/>
                <w:szCs w:val="16"/>
              </w:rPr>
              <w:t>-</w:t>
            </w:r>
            <w:r w:rsidRPr="00ED144B">
              <w:rPr>
                <w:sz w:val="16"/>
                <w:szCs w:val="16"/>
              </w:rPr>
              <w:tab/>
            </w:r>
            <w:r w:rsidRPr="00AB1CFE">
              <w:rPr>
                <w:sz w:val="16"/>
                <w:szCs w:val="16"/>
              </w:rPr>
              <w:t>Carte provinciale</w:t>
            </w:r>
            <w:r>
              <w:rPr>
                <w:sz w:val="16"/>
                <w:szCs w:val="16"/>
              </w:rPr>
              <w:t> : 1</w:t>
            </w:r>
          </w:p>
          <w:p w:rsidR="00864286" w:rsidRDefault="00AB1CFE" w:rsidP="00AB1CFE">
            <w:pPr>
              <w:contextualSpacing/>
              <w:rPr>
                <w:sz w:val="20"/>
                <w:szCs w:val="20"/>
              </w:rPr>
            </w:pPr>
            <w:r w:rsidRPr="00AB1CFE">
              <w:rPr>
                <w:sz w:val="16"/>
                <w:szCs w:val="16"/>
              </w:rPr>
              <w:t>-</w:t>
            </w:r>
            <w:r w:rsidRPr="00AB1CFE">
              <w:rPr>
                <w:sz w:val="16"/>
                <w:szCs w:val="16"/>
              </w:rPr>
              <w:tab/>
              <w:t>Carte de terroir</w:t>
            </w:r>
            <w:r>
              <w:rPr>
                <w:sz w:val="16"/>
                <w:szCs w:val="16"/>
              </w:rPr>
              <w:t> : 600</w:t>
            </w:r>
          </w:p>
        </w:tc>
      </w:tr>
      <w:tr w:rsidR="00F52A22" w:rsidRPr="000F598B" w:rsidTr="00ED144B">
        <w:trPr>
          <w:trHeight w:val="355"/>
          <w:jc w:val="center"/>
        </w:trPr>
        <w:tc>
          <w:tcPr>
            <w:tcW w:w="2641" w:type="dxa"/>
            <w:vAlign w:val="center"/>
          </w:tcPr>
          <w:p w:rsidR="00F52A22" w:rsidRDefault="00F52A22" w:rsidP="00653C9E">
            <w:pPr>
              <w:spacing w:after="0"/>
              <w:contextualSpacing/>
              <w:rPr>
                <w:rFonts w:cs="Times New Roman"/>
                <w:sz w:val="20"/>
                <w:szCs w:val="20"/>
              </w:rPr>
            </w:pPr>
            <w:r w:rsidRPr="000F2DE3">
              <w:rPr>
                <w:rFonts w:cs="Times New Roman"/>
                <w:sz w:val="20"/>
                <w:szCs w:val="20"/>
              </w:rPr>
              <w:lastRenderedPageBreak/>
              <w:t xml:space="preserve">Nombre de Territoires dans lesquels les services de </w:t>
            </w:r>
            <w:r w:rsidR="00E26BB5" w:rsidRPr="000F2DE3">
              <w:rPr>
                <w:rFonts w:cs="Times New Roman"/>
                <w:sz w:val="20"/>
                <w:szCs w:val="20"/>
              </w:rPr>
              <w:t xml:space="preserve">l’environnement, de </w:t>
            </w:r>
            <w:r w:rsidRPr="000F2DE3">
              <w:rPr>
                <w:rFonts w:cs="Times New Roman"/>
                <w:sz w:val="20"/>
                <w:szCs w:val="20"/>
              </w:rPr>
              <w:t>l’agriculture et du cadastre ont été formés et équipés</w:t>
            </w:r>
          </w:p>
        </w:tc>
        <w:tc>
          <w:tcPr>
            <w:tcW w:w="1404" w:type="dxa"/>
            <w:vAlign w:val="center"/>
          </w:tcPr>
          <w:p w:rsidR="00F52A22" w:rsidRDefault="00F52A22" w:rsidP="002000E1">
            <w:pPr>
              <w:spacing w:after="0"/>
              <w:contextualSpacing/>
              <w:jc w:val="center"/>
              <w:rPr>
                <w:rFonts w:cs="Times New Roman"/>
                <w:sz w:val="20"/>
                <w:szCs w:val="20"/>
              </w:rPr>
            </w:pPr>
            <w:r>
              <w:rPr>
                <w:rFonts w:cs="Times New Roman"/>
                <w:sz w:val="20"/>
                <w:szCs w:val="20"/>
              </w:rPr>
              <w:t>Nombre</w:t>
            </w:r>
          </w:p>
        </w:tc>
        <w:tc>
          <w:tcPr>
            <w:tcW w:w="2122" w:type="dxa"/>
            <w:vAlign w:val="center"/>
          </w:tcPr>
          <w:p w:rsidR="00F52A22" w:rsidRDefault="00F52A22" w:rsidP="002000E1">
            <w:pPr>
              <w:spacing w:after="0"/>
              <w:contextualSpacing/>
              <w:jc w:val="center"/>
              <w:rPr>
                <w:rFonts w:cs="Times New Roman"/>
                <w:color w:val="000000" w:themeColor="text1"/>
                <w:sz w:val="20"/>
                <w:szCs w:val="20"/>
              </w:rPr>
            </w:pPr>
            <w:r>
              <w:rPr>
                <w:rFonts w:cs="Times New Roman"/>
                <w:color w:val="000000" w:themeColor="text1"/>
                <w:sz w:val="20"/>
                <w:szCs w:val="20"/>
              </w:rPr>
              <w:t>0 - 4</w:t>
            </w:r>
          </w:p>
        </w:tc>
        <w:tc>
          <w:tcPr>
            <w:tcW w:w="1568" w:type="dxa"/>
            <w:vAlign w:val="center"/>
          </w:tcPr>
          <w:p w:rsidR="00F52A22"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AB1CFE" w:rsidRPr="00ED144B" w:rsidRDefault="00AB1CFE" w:rsidP="00AB1CFE">
            <w:pPr>
              <w:contextualSpacing/>
              <w:rPr>
                <w:sz w:val="16"/>
                <w:szCs w:val="16"/>
              </w:rPr>
            </w:pPr>
            <w:r w:rsidRPr="00ED144B">
              <w:rPr>
                <w:sz w:val="16"/>
                <w:szCs w:val="16"/>
              </w:rPr>
              <w:t xml:space="preserve">Déc. 2018 </w:t>
            </w:r>
            <w:r>
              <w:rPr>
                <w:sz w:val="16"/>
                <w:szCs w:val="16"/>
              </w:rPr>
              <w:t>(Jalon Lettre d’intention) : 4</w:t>
            </w:r>
          </w:p>
          <w:p w:rsidR="00AB1CFE" w:rsidRPr="00ED144B" w:rsidRDefault="00AB1CFE" w:rsidP="00AB1CFE">
            <w:pPr>
              <w:contextualSpacing/>
              <w:rPr>
                <w:sz w:val="16"/>
                <w:szCs w:val="16"/>
              </w:rPr>
            </w:pPr>
            <w:r w:rsidRPr="00ED144B">
              <w:rPr>
                <w:sz w:val="16"/>
                <w:szCs w:val="16"/>
              </w:rPr>
              <w:t xml:space="preserve">Déc. 2019 (après 3 ans) : </w:t>
            </w:r>
            <w:r>
              <w:rPr>
                <w:sz w:val="16"/>
                <w:szCs w:val="16"/>
              </w:rPr>
              <w:t>4</w:t>
            </w:r>
          </w:p>
          <w:p w:rsidR="00F52A22" w:rsidRDefault="00AB1CFE" w:rsidP="00AB1CFE">
            <w:pPr>
              <w:contextualSpacing/>
              <w:rPr>
                <w:sz w:val="20"/>
                <w:szCs w:val="20"/>
              </w:rPr>
            </w:pPr>
            <w:r w:rsidRPr="00ED144B">
              <w:rPr>
                <w:sz w:val="16"/>
                <w:szCs w:val="16"/>
              </w:rPr>
              <w:t>Déc. 20</w:t>
            </w:r>
            <w:r>
              <w:rPr>
                <w:sz w:val="16"/>
                <w:szCs w:val="16"/>
              </w:rPr>
              <w:t>21 (à la clôture du projet) : 4</w:t>
            </w:r>
          </w:p>
        </w:tc>
      </w:tr>
      <w:tr w:rsidR="00F52A22" w:rsidRPr="000F598B" w:rsidTr="00ED144B">
        <w:trPr>
          <w:trHeight w:val="355"/>
          <w:jc w:val="center"/>
        </w:trPr>
        <w:tc>
          <w:tcPr>
            <w:tcW w:w="2641" w:type="dxa"/>
            <w:vAlign w:val="center"/>
          </w:tcPr>
          <w:p w:rsidR="00F52A22" w:rsidRDefault="00F52A22" w:rsidP="00653C9E">
            <w:pPr>
              <w:spacing w:after="0"/>
              <w:contextualSpacing/>
              <w:rPr>
                <w:rFonts w:cs="Times New Roman"/>
                <w:sz w:val="20"/>
                <w:szCs w:val="20"/>
              </w:rPr>
            </w:pPr>
            <w:r>
              <w:rPr>
                <w:rFonts w:cs="Times New Roman"/>
                <w:sz w:val="20"/>
                <w:szCs w:val="20"/>
              </w:rPr>
              <w:t>% de terroirs villageois cartographiés de manière participative</w:t>
            </w:r>
          </w:p>
        </w:tc>
        <w:tc>
          <w:tcPr>
            <w:tcW w:w="1404" w:type="dxa"/>
            <w:vAlign w:val="center"/>
          </w:tcPr>
          <w:p w:rsidR="00F52A22" w:rsidRDefault="00F52A22" w:rsidP="002000E1">
            <w:pPr>
              <w:spacing w:after="0"/>
              <w:contextualSpacing/>
              <w:jc w:val="center"/>
              <w:rPr>
                <w:rFonts w:cs="Times New Roman"/>
                <w:sz w:val="20"/>
                <w:szCs w:val="20"/>
              </w:rPr>
            </w:pPr>
            <w:r>
              <w:rPr>
                <w:rFonts w:cs="Times New Roman"/>
                <w:sz w:val="20"/>
                <w:szCs w:val="20"/>
              </w:rPr>
              <w:t>%</w:t>
            </w:r>
          </w:p>
        </w:tc>
        <w:tc>
          <w:tcPr>
            <w:tcW w:w="2122" w:type="dxa"/>
            <w:vAlign w:val="center"/>
          </w:tcPr>
          <w:p w:rsidR="00F52A22" w:rsidRDefault="00F52A22" w:rsidP="002000E1">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B2386B">
              <w:rPr>
                <w:rFonts w:cs="Times New Roman"/>
                <w:color w:val="000000" w:themeColor="text1"/>
                <w:sz w:val="20"/>
                <w:szCs w:val="20"/>
              </w:rPr>
              <w:t>-</w:t>
            </w:r>
            <w:r>
              <w:rPr>
                <w:rFonts w:cs="Times New Roman"/>
                <w:color w:val="000000" w:themeColor="text1"/>
                <w:sz w:val="20"/>
                <w:szCs w:val="20"/>
              </w:rPr>
              <w:t xml:space="preserve"> 46% (600/1300)</w:t>
            </w:r>
          </w:p>
        </w:tc>
        <w:tc>
          <w:tcPr>
            <w:tcW w:w="1568" w:type="dxa"/>
            <w:vAlign w:val="center"/>
          </w:tcPr>
          <w:p w:rsidR="00F52A22"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AB1CFE" w:rsidRPr="00ED144B" w:rsidRDefault="00AB1CFE" w:rsidP="00AB1CFE">
            <w:pPr>
              <w:contextualSpacing/>
              <w:rPr>
                <w:sz w:val="16"/>
                <w:szCs w:val="16"/>
              </w:rPr>
            </w:pPr>
            <w:r w:rsidRPr="00ED144B">
              <w:rPr>
                <w:sz w:val="16"/>
                <w:szCs w:val="16"/>
              </w:rPr>
              <w:t xml:space="preserve">Déc. 2018 (Jalon Lettre d’intention) : </w:t>
            </w:r>
            <w:r>
              <w:rPr>
                <w:sz w:val="16"/>
                <w:szCs w:val="16"/>
              </w:rPr>
              <w:t>23%</w:t>
            </w:r>
          </w:p>
          <w:p w:rsidR="00AB1CFE" w:rsidRPr="00ED144B" w:rsidRDefault="00AB1CFE" w:rsidP="00AB1CFE">
            <w:pPr>
              <w:contextualSpacing/>
              <w:rPr>
                <w:sz w:val="16"/>
                <w:szCs w:val="16"/>
              </w:rPr>
            </w:pPr>
            <w:r w:rsidRPr="00ED144B">
              <w:rPr>
                <w:sz w:val="16"/>
                <w:szCs w:val="16"/>
              </w:rPr>
              <w:t xml:space="preserve">Déc. 2019 (après 3 ans) : </w:t>
            </w:r>
            <w:r>
              <w:rPr>
                <w:sz w:val="16"/>
                <w:szCs w:val="16"/>
              </w:rPr>
              <w:t>46%</w:t>
            </w:r>
          </w:p>
          <w:p w:rsidR="00F52A22" w:rsidRDefault="00AB1CFE" w:rsidP="00AB1CFE">
            <w:pPr>
              <w:contextualSpacing/>
              <w:rPr>
                <w:sz w:val="20"/>
                <w:szCs w:val="20"/>
              </w:rPr>
            </w:pPr>
            <w:r w:rsidRPr="00ED144B">
              <w:rPr>
                <w:sz w:val="16"/>
                <w:szCs w:val="16"/>
              </w:rPr>
              <w:t>Déc. 20</w:t>
            </w:r>
            <w:r>
              <w:rPr>
                <w:sz w:val="16"/>
                <w:szCs w:val="16"/>
              </w:rPr>
              <w:t>21 (à la clôture du projet) : 46%</w:t>
            </w:r>
          </w:p>
        </w:tc>
      </w:tr>
      <w:tr w:rsidR="00F52A22" w:rsidRPr="000F598B" w:rsidTr="00ED144B">
        <w:trPr>
          <w:trHeight w:val="355"/>
          <w:jc w:val="center"/>
        </w:trPr>
        <w:tc>
          <w:tcPr>
            <w:tcW w:w="10885" w:type="dxa"/>
            <w:gridSpan w:val="6"/>
            <w:shd w:val="clear" w:color="auto" w:fill="D9D9D9" w:themeFill="background1" w:themeFillShade="D9"/>
            <w:vAlign w:val="center"/>
          </w:tcPr>
          <w:p w:rsidR="00F52A22" w:rsidRDefault="00F52A22" w:rsidP="00653C9E">
            <w:pPr>
              <w:contextualSpacing/>
              <w:rPr>
                <w:sz w:val="20"/>
                <w:szCs w:val="20"/>
              </w:rPr>
            </w:pPr>
            <w:r>
              <w:rPr>
                <w:sz w:val="20"/>
                <w:szCs w:val="20"/>
              </w:rPr>
              <w:t>Effet 7 : La pression humaine sur les forêts, liée aux phénomènes migratoires et à la dynamique démographique, est réduite</w:t>
            </w:r>
          </w:p>
        </w:tc>
      </w:tr>
      <w:tr w:rsidR="00F52A22" w:rsidRPr="000F598B" w:rsidTr="00ED144B">
        <w:trPr>
          <w:trHeight w:val="355"/>
          <w:jc w:val="center"/>
        </w:trPr>
        <w:tc>
          <w:tcPr>
            <w:tcW w:w="2641" w:type="dxa"/>
            <w:vAlign w:val="center"/>
          </w:tcPr>
          <w:p w:rsidR="00F52A22" w:rsidRDefault="00F52A22" w:rsidP="00653C9E">
            <w:pPr>
              <w:spacing w:after="0"/>
              <w:contextualSpacing/>
              <w:rPr>
                <w:rFonts w:cs="Times New Roman"/>
                <w:sz w:val="20"/>
                <w:szCs w:val="20"/>
              </w:rPr>
            </w:pPr>
            <w:r>
              <w:rPr>
                <w:rFonts w:cs="Times New Roman"/>
                <w:sz w:val="20"/>
                <w:szCs w:val="20"/>
              </w:rPr>
              <w:t>La prévalence contraceptive moderne augmente</w:t>
            </w:r>
          </w:p>
        </w:tc>
        <w:tc>
          <w:tcPr>
            <w:tcW w:w="1404" w:type="dxa"/>
            <w:vAlign w:val="center"/>
          </w:tcPr>
          <w:p w:rsidR="00F52A22" w:rsidRDefault="00F52A22" w:rsidP="002000E1">
            <w:pPr>
              <w:spacing w:after="0"/>
              <w:contextualSpacing/>
              <w:jc w:val="center"/>
              <w:rPr>
                <w:rFonts w:cs="Times New Roman"/>
                <w:sz w:val="20"/>
                <w:szCs w:val="20"/>
              </w:rPr>
            </w:pPr>
            <w:r>
              <w:rPr>
                <w:rFonts w:cs="Times New Roman"/>
                <w:sz w:val="20"/>
                <w:szCs w:val="20"/>
              </w:rPr>
              <w:t>%</w:t>
            </w:r>
          </w:p>
        </w:tc>
        <w:tc>
          <w:tcPr>
            <w:tcW w:w="2122" w:type="dxa"/>
            <w:vAlign w:val="center"/>
          </w:tcPr>
          <w:p w:rsidR="00F52A22" w:rsidRDefault="00B422DB">
            <w:pPr>
              <w:spacing w:after="0"/>
              <w:contextualSpacing/>
              <w:jc w:val="center"/>
              <w:rPr>
                <w:rFonts w:cs="Times New Roman"/>
                <w:color w:val="000000" w:themeColor="text1"/>
                <w:sz w:val="20"/>
                <w:szCs w:val="20"/>
              </w:rPr>
            </w:pPr>
            <w:r>
              <w:rPr>
                <w:rFonts w:cs="Times New Roman"/>
                <w:color w:val="000000" w:themeColor="text1"/>
                <w:sz w:val="20"/>
                <w:szCs w:val="20"/>
              </w:rPr>
              <w:t>5%</w:t>
            </w:r>
            <w:r w:rsidR="00F52A22">
              <w:rPr>
                <w:rFonts w:cs="Times New Roman"/>
                <w:color w:val="000000" w:themeColor="text1"/>
                <w:sz w:val="20"/>
                <w:szCs w:val="20"/>
              </w:rPr>
              <w:t xml:space="preserve"> </w:t>
            </w:r>
            <w:r>
              <w:rPr>
                <w:rFonts w:cs="Times New Roman"/>
                <w:color w:val="000000" w:themeColor="text1"/>
                <w:sz w:val="20"/>
                <w:szCs w:val="20"/>
              </w:rPr>
              <w:t>-</w:t>
            </w:r>
            <w:r w:rsidR="00F52A22">
              <w:rPr>
                <w:rFonts w:cs="Times New Roman"/>
                <w:color w:val="000000" w:themeColor="text1"/>
                <w:sz w:val="20"/>
                <w:szCs w:val="20"/>
              </w:rPr>
              <w:t xml:space="preserve"> </w:t>
            </w:r>
            <w:r>
              <w:rPr>
                <w:rFonts w:cs="Times New Roman"/>
                <w:color w:val="000000" w:themeColor="text1"/>
                <w:sz w:val="20"/>
                <w:szCs w:val="20"/>
              </w:rPr>
              <w:t>1</w:t>
            </w:r>
            <w:r w:rsidR="00974F59">
              <w:rPr>
                <w:rFonts w:cs="Times New Roman"/>
                <w:color w:val="000000" w:themeColor="text1"/>
                <w:sz w:val="20"/>
                <w:szCs w:val="20"/>
              </w:rPr>
              <w:t>0</w:t>
            </w:r>
            <w:r>
              <w:rPr>
                <w:rFonts w:cs="Times New Roman"/>
                <w:color w:val="000000" w:themeColor="text1"/>
                <w:sz w:val="20"/>
                <w:szCs w:val="20"/>
              </w:rPr>
              <w:t>%</w:t>
            </w:r>
          </w:p>
          <w:p w:rsidR="00B422DB" w:rsidRDefault="00B422DB">
            <w:pPr>
              <w:spacing w:after="0"/>
              <w:contextualSpacing/>
              <w:jc w:val="center"/>
              <w:rPr>
                <w:rFonts w:cs="Times New Roman"/>
                <w:color w:val="000000" w:themeColor="text1"/>
                <w:sz w:val="20"/>
                <w:szCs w:val="20"/>
              </w:rPr>
            </w:pPr>
          </w:p>
        </w:tc>
        <w:tc>
          <w:tcPr>
            <w:tcW w:w="1568" w:type="dxa"/>
            <w:vAlign w:val="center"/>
          </w:tcPr>
          <w:p w:rsidR="00F52A22"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B422DB" w:rsidRPr="00ED144B" w:rsidRDefault="00B422DB" w:rsidP="00B422DB">
            <w:pPr>
              <w:contextualSpacing/>
              <w:rPr>
                <w:sz w:val="16"/>
                <w:szCs w:val="16"/>
              </w:rPr>
            </w:pPr>
            <w:r w:rsidRPr="00ED144B">
              <w:rPr>
                <w:sz w:val="16"/>
                <w:szCs w:val="16"/>
              </w:rPr>
              <w:t>Déc. 2018</w:t>
            </w:r>
            <w:r>
              <w:rPr>
                <w:sz w:val="16"/>
                <w:szCs w:val="16"/>
              </w:rPr>
              <w:t xml:space="preserve"> (Jalon Lettre d’intention) : </w:t>
            </w:r>
            <w:r w:rsidR="006C6BAF">
              <w:rPr>
                <w:sz w:val="16"/>
                <w:szCs w:val="16"/>
              </w:rPr>
              <w:t>7</w:t>
            </w:r>
            <w:r w:rsidRPr="00ED144B">
              <w:rPr>
                <w:sz w:val="16"/>
                <w:szCs w:val="16"/>
              </w:rPr>
              <w:t>%</w:t>
            </w:r>
          </w:p>
          <w:p w:rsidR="00B422DB" w:rsidRPr="00ED144B" w:rsidRDefault="00B422DB" w:rsidP="00B422DB">
            <w:pPr>
              <w:contextualSpacing/>
              <w:rPr>
                <w:sz w:val="16"/>
                <w:szCs w:val="16"/>
              </w:rPr>
            </w:pPr>
            <w:r>
              <w:rPr>
                <w:sz w:val="16"/>
                <w:szCs w:val="16"/>
              </w:rPr>
              <w:t xml:space="preserve">Déc. 2019 (après 3 ans) : </w:t>
            </w:r>
            <w:r w:rsidR="006C6BAF">
              <w:rPr>
                <w:sz w:val="16"/>
                <w:szCs w:val="16"/>
              </w:rPr>
              <w:t>8</w:t>
            </w:r>
            <w:r w:rsidRPr="00ED144B">
              <w:rPr>
                <w:sz w:val="16"/>
                <w:szCs w:val="16"/>
              </w:rPr>
              <w:t>%</w:t>
            </w:r>
          </w:p>
          <w:p w:rsidR="00F52A22" w:rsidRDefault="00B422DB" w:rsidP="00B422DB">
            <w:pPr>
              <w:contextualSpacing/>
              <w:rPr>
                <w:sz w:val="20"/>
                <w:szCs w:val="20"/>
              </w:rPr>
            </w:pPr>
            <w:r w:rsidRPr="00ED144B">
              <w:rPr>
                <w:sz w:val="16"/>
                <w:szCs w:val="16"/>
              </w:rPr>
              <w:t>Déc. 20</w:t>
            </w:r>
            <w:r>
              <w:rPr>
                <w:sz w:val="16"/>
                <w:szCs w:val="16"/>
              </w:rPr>
              <w:t>21 (à la clôture du projet) : 1</w:t>
            </w:r>
            <w:r w:rsidR="006C6BAF">
              <w:rPr>
                <w:sz w:val="16"/>
                <w:szCs w:val="16"/>
              </w:rPr>
              <w:t>0</w:t>
            </w:r>
            <w:r w:rsidRPr="00ED144B">
              <w:rPr>
                <w:sz w:val="16"/>
                <w:szCs w:val="16"/>
              </w:rPr>
              <w:t>%</w:t>
            </w:r>
          </w:p>
        </w:tc>
      </w:tr>
      <w:tr w:rsidR="006C6BAF" w:rsidRPr="000F598B" w:rsidTr="003301C3">
        <w:trPr>
          <w:trHeight w:val="355"/>
          <w:jc w:val="center"/>
        </w:trPr>
        <w:tc>
          <w:tcPr>
            <w:tcW w:w="2641" w:type="dxa"/>
            <w:vAlign w:val="center"/>
          </w:tcPr>
          <w:p w:rsidR="006C6BAF" w:rsidRDefault="006C6BAF" w:rsidP="00653C9E">
            <w:pPr>
              <w:spacing w:after="0"/>
              <w:contextualSpacing/>
              <w:rPr>
                <w:rFonts w:cs="Times New Roman"/>
                <w:sz w:val="20"/>
                <w:szCs w:val="20"/>
              </w:rPr>
            </w:pPr>
            <w:r>
              <w:rPr>
                <w:rFonts w:cs="Times New Roman"/>
                <w:sz w:val="20"/>
                <w:szCs w:val="20"/>
              </w:rPr>
              <w:t>Ménages agricoles du District du Mai-Ndombe ayant bénéficié de programmes de sensibilisation à la planification familiale</w:t>
            </w:r>
            <w:r w:rsidR="00974F59">
              <w:t xml:space="preserve"> </w:t>
            </w:r>
            <w:r w:rsidR="00974F59" w:rsidRPr="00974F59">
              <w:rPr>
                <w:rFonts w:cs="Times New Roman"/>
                <w:sz w:val="20"/>
                <w:szCs w:val="20"/>
              </w:rPr>
              <w:t>et à la prévention d'Ebola et du VIH SIDA</w:t>
            </w:r>
          </w:p>
        </w:tc>
        <w:tc>
          <w:tcPr>
            <w:tcW w:w="1404" w:type="dxa"/>
            <w:vAlign w:val="center"/>
          </w:tcPr>
          <w:p w:rsidR="006C6BAF" w:rsidRDefault="006C6BAF" w:rsidP="002000E1">
            <w:pPr>
              <w:spacing w:after="0"/>
              <w:contextualSpacing/>
              <w:jc w:val="center"/>
              <w:rPr>
                <w:rFonts w:cs="Times New Roman"/>
                <w:sz w:val="20"/>
                <w:szCs w:val="20"/>
              </w:rPr>
            </w:pPr>
            <w:r>
              <w:rPr>
                <w:rFonts w:cs="Times New Roman"/>
                <w:sz w:val="20"/>
                <w:szCs w:val="20"/>
              </w:rPr>
              <w:t>Nombre</w:t>
            </w:r>
          </w:p>
        </w:tc>
        <w:tc>
          <w:tcPr>
            <w:tcW w:w="2122" w:type="dxa"/>
            <w:vAlign w:val="center"/>
          </w:tcPr>
          <w:p w:rsidR="006C6BAF" w:rsidRDefault="006C6BAF">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974F59">
              <w:rPr>
                <w:rFonts w:cs="Times New Roman"/>
                <w:color w:val="000000" w:themeColor="text1"/>
                <w:sz w:val="20"/>
                <w:szCs w:val="20"/>
              </w:rPr>
              <w:t>-</w:t>
            </w:r>
            <w:r>
              <w:rPr>
                <w:rFonts w:cs="Times New Roman"/>
                <w:color w:val="000000" w:themeColor="text1"/>
                <w:sz w:val="20"/>
                <w:szCs w:val="20"/>
              </w:rPr>
              <w:t xml:space="preserve"> 180 000</w:t>
            </w:r>
          </w:p>
        </w:tc>
        <w:tc>
          <w:tcPr>
            <w:tcW w:w="1568" w:type="dxa"/>
            <w:vAlign w:val="center"/>
          </w:tcPr>
          <w:p w:rsidR="006C6BAF" w:rsidRPr="008D3E8B" w:rsidRDefault="006C6BAF" w:rsidP="00653C9E">
            <w:pPr>
              <w:spacing w:after="0"/>
              <w:contextualSpacing/>
              <w:rPr>
                <w:sz w:val="20"/>
                <w:szCs w:val="20"/>
              </w:rPr>
            </w:pPr>
            <w:r w:rsidRPr="006C6BAF">
              <w:rPr>
                <w:sz w:val="20"/>
                <w:szCs w:val="20"/>
              </w:rPr>
              <w:t>Equipes de suivi &amp; évaluation de l’ALE et de l’UC-PIF</w:t>
            </w:r>
          </w:p>
        </w:tc>
        <w:tc>
          <w:tcPr>
            <w:tcW w:w="3150" w:type="dxa"/>
            <w:gridSpan w:val="2"/>
            <w:vAlign w:val="center"/>
          </w:tcPr>
          <w:p w:rsidR="00974F59" w:rsidRDefault="006C6BAF" w:rsidP="006C6BAF">
            <w:pPr>
              <w:contextualSpacing/>
              <w:rPr>
                <w:sz w:val="16"/>
                <w:szCs w:val="16"/>
              </w:rPr>
            </w:pPr>
            <w:r w:rsidRPr="006C6BAF">
              <w:rPr>
                <w:sz w:val="16"/>
                <w:szCs w:val="16"/>
              </w:rPr>
              <w:t>Déc. 2018 (Jalon Lettre d’int</w:t>
            </w:r>
            <w:r w:rsidR="00974F59">
              <w:rPr>
                <w:sz w:val="16"/>
                <w:szCs w:val="16"/>
              </w:rPr>
              <w:t>ention) :</w:t>
            </w:r>
          </w:p>
          <w:p w:rsidR="006C6BAF" w:rsidRPr="006C6BAF" w:rsidRDefault="00974F59" w:rsidP="006C6BAF">
            <w:pPr>
              <w:contextualSpacing/>
              <w:rPr>
                <w:sz w:val="16"/>
                <w:szCs w:val="16"/>
              </w:rPr>
            </w:pPr>
            <w:r>
              <w:rPr>
                <w:sz w:val="16"/>
                <w:szCs w:val="16"/>
              </w:rPr>
              <w:t>90 000</w:t>
            </w:r>
          </w:p>
          <w:p w:rsidR="006C6BAF" w:rsidRDefault="00974F59" w:rsidP="006C6BAF">
            <w:pPr>
              <w:contextualSpacing/>
              <w:rPr>
                <w:sz w:val="16"/>
                <w:szCs w:val="16"/>
              </w:rPr>
            </w:pPr>
            <w:r>
              <w:rPr>
                <w:sz w:val="16"/>
                <w:szCs w:val="16"/>
              </w:rPr>
              <w:t>Déc. 2019 (après 3 ans) :</w:t>
            </w:r>
          </w:p>
          <w:p w:rsidR="00974F59" w:rsidRPr="006C6BAF" w:rsidRDefault="00974F59" w:rsidP="006C6BAF">
            <w:pPr>
              <w:contextualSpacing/>
              <w:rPr>
                <w:sz w:val="16"/>
                <w:szCs w:val="16"/>
              </w:rPr>
            </w:pPr>
            <w:r>
              <w:rPr>
                <w:sz w:val="16"/>
                <w:szCs w:val="16"/>
              </w:rPr>
              <w:t>135 000</w:t>
            </w:r>
          </w:p>
          <w:p w:rsidR="006C6BAF" w:rsidRDefault="006C6BAF" w:rsidP="006C6BAF">
            <w:pPr>
              <w:contextualSpacing/>
              <w:rPr>
                <w:sz w:val="16"/>
                <w:szCs w:val="16"/>
              </w:rPr>
            </w:pPr>
            <w:r w:rsidRPr="006C6BAF">
              <w:rPr>
                <w:sz w:val="16"/>
                <w:szCs w:val="16"/>
              </w:rPr>
              <w:t>Déc. 20</w:t>
            </w:r>
            <w:r w:rsidR="00974F59">
              <w:rPr>
                <w:sz w:val="16"/>
                <w:szCs w:val="16"/>
              </w:rPr>
              <w:t>21 (à la clôture du projet) :</w:t>
            </w:r>
          </w:p>
          <w:p w:rsidR="00974F59" w:rsidRPr="00FA0CE8" w:rsidRDefault="00974F59" w:rsidP="006C6BAF">
            <w:pPr>
              <w:contextualSpacing/>
              <w:rPr>
                <w:sz w:val="16"/>
                <w:szCs w:val="16"/>
              </w:rPr>
            </w:pPr>
            <w:r>
              <w:rPr>
                <w:sz w:val="16"/>
                <w:szCs w:val="16"/>
              </w:rPr>
              <w:t>180 000</w:t>
            </w:r>
          </w:p>
        </w:tc>
      </w:tr>
      <w:tr w:rsidR="007730AA" w:rsidRPr="000F598B" w:rsidTr="00ED144B">
        <w:trPr>
          <w:trHeight w:val="355"/>
          <w:jc w:val="center"/>
        </w:trPr>
        <w:tc>
          <w:tcPr>
            <w:tcW w:w="10885" w:type="dxa"/>
            <w:gridSpan w:val="6"/>
            <w:shd w:val="clear" w:color="auto" w:fill="D9D9D9" w:themeFill="background1" w:themeFillShade="D9"/>
            <w:vAlign w:val="center"/>
          </w:tcPr>
          <w:p w:rsidR="007730AA" w:rsidRDefault="007730AA" w:rsidP="00653C9E">
            <w:pPr>
              <w:contextualSpacing/>
              <w:rPr>
                <w:sz w:val="20"/>
                <w:szCs w:val="20"/>
              </w:rPr>
            </w:pPr>
            <w:r>
              <w:rPr>
                <w:sz w:val="20"/>
                <w:szCs w:val="20"/>
              </w:rPr>
              <w:t xml:space="preserve">Effet 8 : </w:t>
            </w:r>
            <w:r w:rsidRPr="007730AA">
              <w:rPr>
                <w:sz w:val="20"/>
                <w:szCs w:val="20"/>
              </w:rPr>
              <w:t>La bonne gouvernance est assurée permettant une mise en œuvre effective, transversale et intégrée, transparente, équitable et durable de REDD+, basée sur les résultats, et intégrant l’information, la consultation, la participation et l’appropriation de toutes les parties prenantes, y compris équitablement entre les femmes et les hommes</w:t>
            </w:r>
          </w:p>
        </w:tc>
      </w:tr>
      <w:tr w:rsidR="007730AA" w:rsidRPr="000F598B" w:rsidTr="00ED144B">
        <w:trPr>
          <w:trHeight w:val="355"/>
          <w:jc w:val="center"/>
        </w:trPr>
        <w:tc>
          <w:tcPr>
            <w:tcW w:w="2641" w:type="dxa"/>
            <w:vAlign w:val="center"/>
          </w:tcPr>
          <w:p w:rsidR="007730AA" w:rsidRPr="000F598B" w:rsidRDefault="007730AA">
            <w:pPr>
              <w:spacing w:after="0"/>
              <w:contextualSpacing/>
              <w:rPr>
                <w:rFonts w:cs="Times New Roman"/>
                <w:sz w:val="20"/>
                <w:szCs w:val="20"/>
              </w:rPr>
            </w:pPr>
            <w:r w:rsidRPr="007730AA">
              <w:rPr>
                <w:rFonts w:cs="Times New Roman"/>
                <w:sz w:val="20"/>
                <w:szCs w:val="20"/>
              </w:rPr>
              <w:t>Nb structures de gouvernance renforcées ou créées et fonctionnelles.</w:t>
            </w:r>
          </w:p>
        </w:tc>
        <w:tc>
          <w:tcPr>
            <w:tcW w:w="1404" w:type="dxa"/>
            <w:vAlign w:val="center"/>
          </w:tcPr>
          <w:p w:rsidR="007730AA" w:rsidRPr="000F598B" w:rsidRDefault="00742728" w:rsidP="002000E1">
            <w:pPr>
              <w:spacing w:after="0"/>
              <w:contextualSpacing/>
              <w:jc w:val="center"/>
              <w:rPr>
                <w:rFonts w:cs="Times New Roman"/>
                <w:sz w:val="20"/>
                <w:szCs w:val="20"/>
              </w:rPr>
            </w:pPr>
            <w:r>
              <w:rPr>
                <w:rFonts w:cs="Times New Roman"/>
                <w:sz w:val="20"/>
                <w:szCs w:val="20"/>
              </w:rPr>
              <w:t>Nombre</w:t>
            </w:r>
          </w:p>
        </w:tc>
        <w:tc>
          <w:tcPr>
            <w:tcW w:w="2122" w:type="dxa"/>
            <w:vAlign w:val="center"/>
          </w:tcPr>
          <w:p w:rsidR="007730AA" w:rsidRDefault="007730AA">
            <w:pPr>
              <w:spacing w:after="0"/>
              <w:contextualSpacing/>
              <w:jc w:val="center"/>
              <w:rPr>
                <w:rFonts w:cs="Times New Roman"/>
                <w:color w:val="000000" w:themeColor="text1"/>
                <w:sz w:val="20"/>
                <w:szCs w:val="20"/>
              </w:rPr>
            </w:pPr>
            <w:r>
              <w:rPr>
                <w:rFonts w:cs="Times New Roman"/>
                <w:color w:val="000000" w:themeColor="text1"/>
                <w:sz w:val="20"/>
                <w:szCs w:val="20"/>
              </w:rPr>
              <w:t xml:space="preserve">0 </w:t>
            </w:r>
            <w:r w:rsidR="00742728">
              <w:rPr>
                <w:rFonts w:cs="Times New Roman"/>
                <w:color w:val="000000" w:themeColor="text1"/>
                <w:sz w:val="20"/>
                <w:szCs w:val="20"/>
              </w:rPr>
              <w:t>-</w:t>
            </w:r>
            <w:r>
              <w:rPr>
                <w:rFonts w:cs="Times New Roman"/>
                <w:color w:val="000000" w:themeColor="text1"/>
                <w:sz w:val="20"/>
                <w:szCs w:val="20"/>
              </w:rPr>
              <w:t xml:space="preserve"> </w:t>
            </w:r>
            <w:r w:rsidR="00742728">
              <w:rPr>
                <w:rFonts w:cs="Times New Roman"/>
                <w:color w:val="000000" w:themeColor="text1"/>
                <w:sz w:val="20"/>
                <w:szCs w:val="20"/>
              </w:rPr>
              <w:t>600</w:t>
            </w:r>
            <w:r w:rsidR="00BC1321">
              <w:rPr>
                <w:rFonts w:cs="Times New Roman"/>
                <w:color w:val="000000" w:themeColor="text1"/>
                <w:sz w:val="20"/>
                <w:szCs w:val="20"/>
              </w:rPr>
              <w:t xml:space="preserve"> CLD</w:t>
            </w:r>
          </w:p>
          <w:p w:rsidR="00742728" w:rsidRDefault="00BC1321">
            <w:pPr>
              <w:spacing w:after="0"/>
              <w:contextualSpacing/>
              <w:jc w:val="center"/>
              <w:rPr>
                <w:rFonts w:cs="Times New Roman"/>
                <w:color w:val="000000" w:themeColor="text1"/>
                <w:sz w:val="20"/>
                <w:szCs w:val="20"/>
              </w:rPr>
            </w:pPr>
            <w:r>
              <w:rPr>
                <w:rFonts w:cs="Times New Roman"/>
                <w:color w:val="000000" w:themeColor="text1"/>
                <w:sz w:val="20"/>
                <w:szCs w:val="20"/>
              </w:rPr>
              <w:t xml:space="preserve">0 - 1 </w:t>
            </w:r>
            <w:r w:rsidR="00742728" w:rsidRPr="00742728">
              <w:rPr>
                <w:rFonts w:cs="Times New Roman"/>
                <w:color w:val="000000" w:themeColor="text1"/>
                <w:sz w:val="20"/>
                <w:szCs w:val="20"/>
              </w:rPr>
              <w:t>Conseil Provincial des Forêts</w:t>
            </w:r>
            <w:r w:rsidR="00742728">
              <w:rPr>
                <w:rFonts w:cs="Times New Roman"/>
                <w:color w:val="000000" w:themeColor="text1"/>
                <w:sz w:val="20"/>
                <w:szCs w:val="20"/>
              </w:rPr>
              <w:t xml:space="preserve"> (CPF)</w:t>
            </w:r>
          </w:p>
          <w:p w:rsidR="00BC1321" w:rsidRDefault="00BC1321">
            <w:pPr>
              <w:spacing w:after="0"/>
              <w:contextualSpacing/>
              <w:jc w:val="center"/>
              <w:rPr>
                <w:rFonts w:cs="Times New Roman"/>
                <w:color w:val="000000" w:themeColor="text1"/>
                <w:sz w:val="20"/>
                <w:szCs w:val="20"/>
              </w:rPr>
            </w:pPr>
            <w:r>
              <w:rPr>
                <w:rFonts w:cs="Times New Roman"/>
                <w:color w:val="000000" w:themeColor="text1"/>
                <w:sz w:val="20"/>
                <w:szCs w:val="20"/>
              </w:rPr>
              <w:t>0 - 4 CART</w:t>
            </w:r>
          </w:p>
          <w:p w:rsidR="00BC1321" w:rsidRDefault="00BC1321">
            <w:pPr>
              <w:spacing w:after="0"/>
              <w:contextualSpacing/>
              <w:jc w:val="center"/>
              <w:rPr>
                <w:rFonts w:cs="Times New Roman"/>
                <w:color w:val="000000" w:themeColor="text1"/>
                <w:sz w:val="20"/>
                <w:szCs w:val="20"/>
              </w:rPr>
            </w:pPr>
          </w:p>
        </w:tc>
        <w:tc>
          <w:tcPr>
            <w:tcW w:w="1568" w:type="dxa"/>
            <w:vAlign w:val="center"/>
          </w:tcPr>
          <w:p w:rsidR="007730AA" w:rsidRPr="000F598B" w:rsidRDefault="008D3E8B" w:rsidP="00653C9E">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742728" w:rsidRPr="00ED144B" w:rsidRDefault="00742728" w:rsidP="00742728">
            <w:pPr>
              <w:contextualSpacing/>
              <w:rPr>
                <w:sz w:val="16"/>
                <w:szCs w:val="16"/>
              </w:rPr>
            </w:pPr>
            <w:r w:rsidRPr="00ED144B">
              <w:rPr>
                <w:sz w:val="16"/>
                <w:szCs w:val="16"/>
              </w:rPr>
              <w:t>Déc. 2018 (Jalon Lettre d’intention) :</w:t>
            </w:r>
          </w:p>
          <w:p w:rsidR="00742728" w:rsidRPr="00ED144B" w:rsidRDefault="00742728" w:rsidP="00742728">
            <w:pPr>
              <w:contextualSpacing/>
              <w:rPr>
                <w:sz w:val="16"/>
                <w:szCs w:val="16"/>
              </w:rPr>
            </w:pPr>
            <w:r>
              <w:rPr>
                <w:sz w:val="16"/>
                <w:szCs w:val="16"/>
              </w:rPr>
              <w:t>-</w:t>
            </w:r>
            <w:r>
              <w:rPr>
                <w:sz w:val="16"/>
                <w:szCs w:val="16"/>
              </w:rPr>
              <w:tab/>
              <w:t>CPF : 1</w:t>
            </w:r>
          </w:p>
          <w:p w:rsidR="00742728" w:rsidRPr="00ED144B" w:rsidRDefault="00742728" w:rsidP="00742728">
            <w:pPr>
              <w:contextualSpacing/>
              <w:rPr>
                <w:sz w:val="16"/>
                <w:szCs w:val="16"/>
              </w:rPr>
            </w:pPr>
            <w:r>
              <w:rPr>
                <w:sz w:val="16"/>
                <w:szCs w:val="16"/>
              </w:rPr>
              <w:t>-</w:t>
            </w:r>
            <w:r>
              <w:rPr>
                <w:sz w:val="16"/>
                <w:szCs w:val="16"/>
              </w:rPr>
              <w:tab/>
              <w:t>CLD</w:t>
            </w:r>
            <w:r w:rsidRPr="00ED144B">
              <w:rPr>
                <w:sz w:val="16"/>
                <w:szCs w:val="16"/>
              </w:rPr>
              <w:t xml:space="preserve"> : </w:t>
            </w:r>
            <w:r w:rsidR="00BC1321">
              <w:rPr>
                <w:sz w:val="16"/>
                <w:szCs w:val="16"/>
              </w:rPr>
              <w:t>300</w:t>
            </w:r>
          </w:p>
          <w:p w:rsidR="00742728" w:rsidRPr="00ED144B" w:rsidRDefault="00742728" w:rsidP="00742728">
            <w:pPr>
              <w:contextualSpacing/>
              <w:rPr>
                <w:sz w:val="16"/>
                <w:szCs w:val="16"/>
              </w:rPr>
            </w:pPr>
            <w:r w:rsidRPr="00ED144B">
              <w:rPr>
                <w:sz w:val="16"/>
                <w:szCs w:val="16"/>
              </w:rPr>
              <w:t>-</w:t>
            </w:r>
            <w:r w:rsidRPr="00ED144B">
              <w:rPr>
                <w:sz w:val="16"/>
                <w:szCs w:val="16"/>
              </w:rPr>
              <w:tab/>
            </w:r>
            <w:r w:rsidR="00BC1321">
              <w:rPr>
                <w:sz w:val="16"/>
                <w:szCs w:val="16"/>
              </w:rPr>
              <w:t>CART : 4</w:t>
            </w:r>
          </w:p>
          <w:p w:rsidR="00742728" w:rsidRPr="00ED144B" w:rsidRDefault="00742728" w:rsidP="00742728">
            <w:pPr>
              <w:contextualSpacing/>
              <w:rPr>
                <w:sz w:val="16"/>
                <w:szCs w:val="16"/>
              </w:rPr>
            </w:pPr>
            <w:r w:rsidRPr="00ED144B">
              <w:rPr>
                <w:sz w:val="16"/>
                <w:szCs w:val="16"/>
              </w:rPr>
              <w:t>Déc. 2019 (après 3 ans) :</w:t>
            </w:r>
          </w:p>
          <w:p w:rsidR="00BC1321" w:rsidRPr="00BC1321" w:rsidRDefault="00742728" w:rsidP="00BC1321">
            <w:pPr>
              <w:contextualSpacing/>
              <w:rPr>
                <w:sz w:val="16"/>
                <w:szCs w:val="16"/>
              </w:rPr>
            </w:pPr>
            <w:r w:rsidRPr="00ED144B">
              <w:rPr>
                <w:sz w:val="16"/>
                <w:szCs w:val="16"/>
              </w:rPr>
              <w:t>-</w:t>
            </w:r>
            <w:r w:rsidRPr="00ED144B">
              <w:rPr>
                <w:sz w:val="16"/>
                <w:szCs w:val="16"/>
              </w:rPr>
              <w:tab/>
            </w:r>
            <w:r w:rsidR="00BC1321" w:rsidRPr="00BC1321">
              <w:rPr>
                <w:sz w:val="16"/>
                <w:szCs w:val="16"/>
              </w:rPr>
              <w:t>CPF : 1</w:t>
            </w:r>
          </w:p>
          <w:p w:rsidR="00BC1321" w:rsidRPr="00BC1321" w:rsidRDefault="00BC1321" w:rsidP="00BC1321">
            <w:pPr>
              <w:contextualSpacing/>
              <w:rPr>
                <w:sz w:val="16"/>
                <w:szCs w:val="16"/>
              </w:rPr>
            </w:pPr>
            <w:r w:rsidRPr="00BC1321">
              <w:rPr>
                <w:sz w:val="16"/>
                <w:szCs w:val="16"/>
              </w:rPr>
              <w:t>-</w:t>
            </w:r>
            <w:r w:rsidRPr="00BC1321">
              <w:rPr>
                <w:sz w:val="16"/>
                <w:szCs w:val="16"/>
              </w:rPr>
              <w:tab/>
              <w:t xml:space="preserve">CLD : </w:t>
            </w:r>
            <w:r>
              <w:rPr>
                <w:sz w:val="16"/>
                <w:szCs w:val="16"/>
              </w:rPr>
              <w:t>600</w:t>
            </w:r>
          </w:p>
          <w:p w:rsidR="00BC1321" w:rsidRDefault="00BC1321" w:rsidP="00BC1321">
            <w:pPr>
              <w:contextualSpacing/>
              <w:rPr>
                <w:sz w:val="16"/>
                <w:szCs w:val="16"/>
              </w:rPr>
            </w:pPr>
            <w:r w:rsidRPr="00BC1321">
              <w:rPr>
                <w:sz w:val="16"/>
                <w:szCs w:val="16"/>
              </w:rPr>
              <w:t>-</w:t>
            </w:r>
            <w:r w:rsidRPr="00BC1321">
              <w:rPr>
                <w:sz w:val="16"/>
                <w:szCs w:val="16"/>
              </w:rPr>
              <w:tab/>
              <w:t>CART :</w:t>
            </w:r>
            <w:r>
              <w:rPr>
                <w:sz w:val="16"/>
                <w:szCs w:val="16"/>
              </w:rPr>
              <w:t xml:space="preserve"> 4</w:t>
            </w:r>
          </w:p>
          <w:p w:rsidR="00742728" w:rsidRPr="00ED144B" w:rsidRDefault="00742728" w:rsidP="00BC1321">
            <w:pPr>
              <w:contextualSpacing/>
              <w:rPr>
                <w:sz w:val="16"/>
                <w:szCs w:val="16"/>
              </w:rPr>
            </w:pPr>
            <w:r w:rsidRPr="00ED144B">
              <w:rPr>
                <w:sz w:val="16"/>
                <w:szCs w:val="16"/>
              </w:rPr>
              <w:t>Déc. 2021 (à la clôture du projet) :</w:t>
            </w:r>
          </w:p>
          <w:p w:rsidR="00BC1321" w:rsidRPr="00BC1321" w:rsidRDefault="00742728" w:rsidP="00BC1321">
            <w:pPr>
              <w:contextualSpacing/>
              <w:rPr>
                <w:sz w:val="16"/>
                <w:szCs w:val="16"/>
              </w:rPr>
            </w:pPr>
            <w:r w:rsidRPr="00ED144B">
              <w:rPr>
                <w:sz w:val="16"/>
                <w:szCs w:val="16"/>
              </w:rPr>
              <w:t>-</w:t>
            </w:r>
            <w:r w:rsidRPr="00ED144B">
              <w:rPr>
                <w:sz w:val="16"/>
                <w:szCs w:val="16"/>
              </w:rPr>
              <w:tab/>
            </w:r>
            <w:r w:rsidR="00BC1321" w:rsidRPr="00BC1321">
              <w:rPr>
                <w:sz w:val="16"/>
                <w:szCs w:val="16"/>
              </w:rPr>
              <w:t>CPF : 1</w:t>
            </w:r>
          </w:p>
          <w:p w:rsidR="00BC1321" w:rsidRPr="00BC1321" w:rsidRDefault="00BC1321" w:rsidP="00BC1321">
            <w:pPr>
              <w:contextualSpacing/>
              <w:rPr>
                <w:sz w:val="16"/>
                <w:szCs w:val="16"/>
              </w:rPr>
            </w:pPr>
            <w:r w:rsidRPr="00BC1321">
              <w:rPr>
                <w:sz w:val="16"/>
                <w:szCs w:val="16"/>
              </w:rPr>
              <w:t>-</w:t>
            </w:r>
            <w:r w:rsidRPr="00BC1321">
              <w:rPr>
                <w:sz w:val="16"/>
                <w:szCs w:val="16"/>
              </w:rPr>
              <w:tab/>
              <w:t xml:space="preserve">CLD : </w:t>
            </w:r>
            <w:r>
              <w:rPr>
                <w:sz w:val="16"/>
                <w:szCs w:val="16"/>
              </w:rPr>
              <w:t>600</w:t>
            </w:r>
          </w:p>
          <w:p w:rsidR="007730AA" w:rsidRDefault="00BC1321" w:rsidP="00BC1321">
            <w:pPr>
              <w:contextualSpacing/>
              <w:rPr>
                <w:sz w:val="20"/>
                <w:szCs w:val="20"/>
              </w:rPr>
            </w:pPr>
            <w:r w:rsidRPr="00BC1321">
              <w:rPr>
                <w:sz w:val="16"/>
                <w:szCs w:val="16"/>
              </w:rPr>
              <w:t>-</w:t>
            </w:r>
            <w:r w:rsidRPr="00BC1321">
              <w:rPr>
                <w:sz w:val="16"/>
                <w:szCs w:val="16"/>
              </w:rPr>
              <w:tab/>
              <w:t>CART :</w:t>
            </w:r>
            <w:r>
              <w:rPr>
                <w:sz w:val="16"/>
                <w:szCs w:val="16"/>
              </w:rPr>
              <w:t xml:space="preserve"> 4</w:t>
            </w:r>
          </w:p>
        </w:tc>
      </w:tr>
      <w:tr w:rsidR="005819DD" w:rsidRPr="000F598B" w:rsidTr="00125B32">
        <w:trPr>
          <w:trHeight w:val="355"/>
          <w:jc w:val="center"/>
        </w:trPr>
        <w:tc>
          <w:tcPr>
            <w:tcW w:w="2641" w:type="dxa"/>
            <w:vMerge w:val="restart"/>
            <w:vAlign w:val="center"/>
          </w:tcPr>
          <w:p w:rsidR="005819DD" w:rsidRPr="007730AA" w:rsidRDefault="005819DD">
            <w:pPr>
              <w:spacing w:after="0"/>
              <w:contextualSpacing/>
              <w:rPr>
                <w:rFonts w:cs="Times New Roman"/>
                <w:sz w:val="20"/>
                <w:szCs w:val="20"/>
              </w:rPr>
            </w:pPr>
            <w:r>
              <w:rPr>
                <w:rFonts w:cs="Times New Roman"/>
                <w:sz w:val="20"/>
                <w:szCs w:val="20"/>
              </w:rPr>
              <w:t>Participants à des activités de con</w:t>
            </w:r>
            <w:r w:rsidR="00CC46FD">
              <w:rPr>
                <w:rFonts w:cs="Times New Roman"/>
                <w:sz w:val="20"/>
                <w:szCs w:val="20"/>
              </w:rPr>
              <w:t>certation</w:t>
            </w:r>
            <w:r>
              <w:rPr>
                <w:rFonts w:cs="Times New Roman"/>
                <w:sz w:val="20"/>
                <w:szCs w:val="20"/>
              </w:rPr>
              <w:t xml:space="preserve"> durant la phase de mise en œuvre du projet</w:t>
            </w:r>
          </w:p>
        </w:tc>
        <w:tc>
          <w:tcPr>
            <w:tcW w:w="1404" w:type="dxa"/>
            <w:vMerge w:val="restart"/>
            <w:vAlign w:val="center"/>
          </w:tcPr>
          <w:p w:rsidR="005819DD" w:rsidRDefault="005819DD" w:rsidP="005819DD">
            <w:pPr>
              <w:spacing w:after="0"/>
              <w:contextualSpacing/>
              <w:jc w:val="center"/>
              <w:rPr>
                <w:rFonts w:cs="Times New Roman"/>
                <w:sz w:val="20"/>
                <w:szCs w:val="20"/>
              </w:rPr>
            </w:pPr>
            <w:r>
              <w:rPr>
                <w:rFonts w:cs="Times New Roman"/>
                <w:sz w:val="20"/>
                <w:szCs w:val="20"/>
              </w:rPr>
              <w:t>Nombre</w:t>
            </w:r>
          </w:p>
          <w:p w:rsidR="005819DD" w:rsidRDefault="005819DD" w:rsidP="005819DD">
            <w:pPr>
              <w:spacing w:after="0"/>
              <w:contextualSpacing/>
              <w:jc w:val="center"/>
              <w:rPr>
                <w:rFonts w:cs="Times New Roman"/>
                <w:sz w:val="20"/>
                <w:szCs w:val="20"/>
              </w:rPr>
            </w:pPr>
          </w:p>
          <w:p w:rsidR="005819DD" w:rsidRDefault="005819DD" w:rsidP="005819DD">
            <w:pPr>
              <w:spacing w:after="0"/>
              <w:contextualSpacing/>
              <w:jc w:val="center"/>
              <w:rPr>
                <w:rFonts w:cs="Times New Roman"/>
                <w:sz w:val="20"/>
                <w:szCs w:val="20"/>
              </w:rPr>
            </w:pPr>
          </w:p>
          <w:p w:rsidR="005819DD" w:rsidRDefault="005819DD" w:rsidP="005819DD">
            <w:pPr>
              <w:spacing w:after="0"/>
              <w:contextualSpacing/>
              <w:jc w:val="center"/>
              <w:rPr>
                <w:rFonts w:cs="Times New Roman"/>
                <w:sz w:val="20"/>
                <w:szCs w:val="20"/>
              </w:rPr>
            </w:pPr>
          </w:p>
          <w:p w:rsidR="005819DD" w:rsidRDefault="005819DD" w:rsidP="005819DD">
            <w:pPr>
              <w:spacing w:after="0"/>
              <w:contextualSpacing/>
              <w:jc w:val="center"/>
              <w:rPr>
                <w:rFonts w:cs="Times New Roman"/>
                <w:sz w:val="20"/>
                <w:szCs w:val="20"/>
              </w:rPr>
            </w:pPr>
          </w:p>
          <w:p w:rsidR="005819DD" w:rsidRDefault="005819DD">
            <w:pPr>
              <w:spacing w:after="0"/>
              <w:contextualSpacing/>
              <w:jc w:val="center"/>
              <w:rPr>
                <w:rFonts w:cs="Times New Roman"/>
                <w:sz w:val="20"/>
                <w:szCs w:val="20"/>
              </w:rPr>
            </w:pPr>
            <w:r w:rsidRPr="005819DD">
              <w:rPr>
                <w:rFonts w:cs="Times New Roman"/>
                <w:sz w:val="20"/>
                <w:szCs w:val="20"/>
              </w:rPr>
              <w:t>dont femmes</w:t>
            </w:r>
          </w:p>
        </w:tc>
        <w:tc>
          <w:tcPr>
            <w:tcW w:w="2122" w:type="dxa"/>
            <w:vAlign w:val="center"/>
          </w:tcPr>
          <w:p w:rsidR="005819DD" w:rsidRDefault="005819DD">
            <w:pPr>
              <w:spacing w:after="0"/>
              <w:contextualSpacing/>
              <w:jc w:val="center"/>
              <w:rPr>
                <w:rFonts w:cs="Times New Roman"/>
                <w:color w:val="000000" w:themeColor="text1"/>
                <w:sz w:val="20"/>
                <w:szCs w:val="20"/>
              </w:rPr>
            </w:pPr>
            <w:r>
              <w:rPr>
                <w:rFonts w:cs="Times New Roman"/>
                <w:color w:val="000000" w:themeColor="text1"/>
                <w:sz w:val="20"/>
                <w:szCs w:val="20"/>
              </w:rPr>
              <w:t>0 - 60 000</w:t>
            </w:r>
          </w:p>
        </w:tc>
        <w:tc>
          <w:tcPr>
            <w:tcW w:w="1568" w:type="dxa"/>
            <w:vMerge w:val="restart"/>
          </w:tcPr>
          <w:p w:rsidR="005819DD" w:rsidRPr="008D3E8B" w:rsidRDefault="005819DD" w:rsidP="005819DD">
            <w:pPr>
              <w:spacing w:after="0"/>
              <w:contextualSpacing/>
              <w:rPr>
                <w:sz w:val="20"/>
                <w:szCs w:val="20"/>
              </w:rPr>
            </w:pPr>
            <w:r w:rsidRPr="005819DD">
              <w:t>Equipes de suivi &amp; évaluation de l’ALE et de l’UC-PIF</w:t>
            </w:r>
          </w:p>
        </w:tc>
        <w:tc>
          <w:tcPr>
            <w:tcW w:w="3150" w:type="dxa"/>
            <w:gridSpan w:val="2"/>
            <w:vAlign w:val="center"/>
          </w:tcPr>
          <w:p w:rsidR="005819DD" w:rsidRPr="005819DD" w:rsidRDefault="005819DD" w:rsidP="005819DD">
            <w:pPr>
              <w:contextualSpacing/>
              <w:rPr>
                <w:sz w:val="16"/>
                <w:szCs w:val="16"/>
              </w:rPr>
            </w:pPr>
            <w:r w:rsidRPr="005819DD">
              <w:rPr>
                <w:sz w:val="16"/>
                <w:szCs w:val="16"/>
              </w:rPr>
              <w:t>Déc. 2018 (Jalon Lettre d’intention) :</w:t>
            </w:r>
          </w:p>
          <w:p w:rsidR="005819DD" w:rsidRPr="005819DD" w:rsidRDefault="00184882" w:rsidP="005819DD">
            <w:pPr>
              <w:contextualSpacing/>
              <w:rPr>
                <w:sz w:val="16"/>
                <w:szCs w:val="16"/>
              </w:rPr>
            </w:pPr>
            <w:r>
              <w:rPr>
                <w:sz w:val="16"/>
                <w:szCs w:val="16"/>
              </w:rPr>
              <w:t>2</w:t>
            </w:r>
            <w:r w:rsidR="005819DD" w:rsidRPr="005819DD">
              <w:rPr>
                <w:sz w:val="16"/>
                <w:szCs w:val="16"/>
              </w:rPr>
              <w:t>0 000</w:t>
            </w:r>
          </w:p>
          <w:p w:rsidR="005819DD" w:rsidRPr="005819DD" w:rsidRDefault="005819DD" w:rsidP="005819DD">
            <w:pPr>
              <w:contextualSpacing/>
              <w:rPr>
                <w:sz w:val="16"/>
                <w:szCs w:val="16"/>
              </w:rPr>
            </w:pPr>
            <w:r w:rsidRPr="005819DD">
              <w:rPr>
                <w:sz w:val="16"/>
                <w:szCs w:val="16"/>
              </w:rPr>
              <w:t>Déc. 2019 (après 3 ans) :</w:t>
            </w:r>
          </w:p>
          <w:p w:rsidR="005819DD" w:rsidRPr="005819DD" w:rsidRDefault="005819DD" w:rsidP="005819DD">
            <w:pPr>
              <w:contextualSpacing/>
              <w:rPr>
                <w:sz w:val="16"/>
                <w:szCs w:val="16"/>
              </w:rPr>
            </w:pPr>
            <w:r>
              <w:rPr>
                <w:sz w:val="16"/>
                <w:szCs w:val="16"/>
              </w:rPr>
              <w:t>40</w:t>
            </w:r>
            <w:r w:rsidRPr="005819DD">
              <w:rPr>
                <w:sz w:val="16"/>
                <w:szCs w:val="16"/>
              </w:rPr>
              <w:t xml:space="preserve"> 000</w:t>
            </w:r>
          </w:p>
          <w:p w:rsidR="005819DD" w:rsidRPr="005819DD" w:rsidRDefault="005819DD" w:rsidP="005819DD">
            <w:pPr>
              <w:contextualSpacing/>
              <w:rPr>
                <w:sz w:val="16"/>
                <w:szCs w:val="16"/>
              </w:rPr>
            </w:pPr>
            <w:r w:rsidRPr="005819DD">
              <w:rPr>
                <w:sz w:val="16"/>
                <w:szCs w:val="16"/>
              </w:rPr>
              <w:t>Déc. 2021 (à la clôture du projet) :</w:t>
            </w:r>
          </w:p>
          <w:p w:rsidR="005819DD" w:rsidRPr="00742728" w:rsidRDefault="005819DD" w:rsidP="005819DD">
            <w:pPr>
              <w:contextualSpacing/>
              <w:rPr>
                <w:sz w:val="16"/>
                <w:szCs w:val="16"/>
              </w:rPr>
            </w:pPr>
            <w:r>
              <w:rPr>
                <w:sz w:val="16"/>
                <w:szCs w:val="16"/>
              </w:rPr>
              <w:t>6</w:t>
            </w:r>
            <w:r w:rsidRPr="005819DD">
              <w:rPr>
                <w:sz w:val="16"/>
                <w:szCs w:val="16"/>
              </w:rPr>
              <w:t>0 000</w:t>
            </w:r>
          </w:p>
        </w:tc>
      </w:tr>
      <w:tr w:rsidR="005819DD" w:rsidRPr="000F598B" w:rsidTr="00125B32">
        <w:trPr>
          <w:trHeight w:val="355"/>
          <w:jc w:val="center"/>
        </w:trPr>
        <w:tc>
          <w:tcPr>
            <w:tcW w:w="2641" w:type="dxa"/>
            <w:vMerge/>
            <w:vAlign w:val="center"/>
          </w:tcPr>
          <w:p w:rsidR="005819DD" w:rsidRDefault="005819DD" w:rsidP="005819DD">
            <w:pPr>
              <w:spacing w:after="0"/>
              <w:contextualSpacing/>
              <w:rPr>
                <w:rFonts w:cs="Times New Roman"/>
                <w:sz w:val="20"/>
                <w:szCs w:val="20"/>
              </w:rPr>
            </w:pPr>
          </w:p>
        </w:tc>
        <w:tc>
          <w:tcPr>
            <w:tcW w:w="1404" w:type="dxa"/>
            <w:vMerge/>
            <w:vAlign w:val="center"/>
          </w:tcPr>
          <w:p w:rsidR="005819DD" w:rsidRDefault="005819DD" w:rsidP="005819DD">
            <w:pPr>
              <w:spacing w:after="0"/>
              <w:contextualSpacing/>
              <w:jc w:val="center"/>
              <w:rPr>
                <w:rFonts w:cs="Times New Roman"/>
                <w:sz w:val="20"/>
                <w:szCs w:val="20"/>
              </w:rPr>
            </w:pPr>
          </w:p>
        </w:tc>
        <w:tc>
          <w:tcPr>
            <w:tcW w:w="2122" w:type="dxa"/>
            <w:vAlign w:val="center"/>
          </w:tcPr>
          <w:p w:rsidR="005819DD" w:rsidRDefault="005819DD">
            <w:pPr>
              <w:spacing w:after="0"/>
              <w:contextualSpacing/>
              <w:jc w:val="center"/>
              <w:rPr>
                <w:rFonts w:cs="Times New Roman"/>
                <w:color w:val="000000" w:themeColor="text1"/>
                <w:sz w:val="20"/>
                <w:szCs w:val="20"/>
              </w:rPr>
            </w:pPr>
            <w:r>
              <w:rPr>
                <w:rFonts w:cs="Times New Roman"/>
                <w:color w:val="000000" w:themeColor="text1"/>
                <w:sz w:val="20"/>
                <w:szCs w:val="20"/>
              </w:rPr>
              <w:t>0 - 2</w:t>
            </w:r>
            <w:r w:rsidRPr="005819DD">
              <w:rPr>
                <w:rFonts w:cs="Times New Roman"/>
                <w:color w:val="000000" w:themeColor="text1"/>
                <w:sz w:val="20"/>
                <w:szCs w:val="20"/>
              </w:rPr>
              <w:t>0 000</w:t>
            </w:r>
          </w:p>
        </w:tc>
        <w:tc>
          <w:tcPr>
            <w:tcW w:w="1568" w:type="dxa"/>
            <w:vMerge/>
          </w:tcPr>
          <w:p w:rsidR="005819DD" w:rsidRPr="005819DD" w:rsidRDefault="005819DD" w:rsidP="005819DD">
            <w:pPr>
              <w:spacing w:after="0"/>
              <w:contextualSpacing/>
              <w:rPr>
                <w:sz w:val="20"/>
                <w:szCs w:val="20"/>
              </w:rPr>
            </w:pPr>
          </w:p>
        </w:tc>
        <w:tc>
          <w:tcPr>
            <w:tcW w:w="3150" w:type="dxa"/>
            <w:gridSpan w:val="2"/>
            <w:vAlign w:val="center"/>
          </w:tcPr>
          <w:p w:rsidR="005819DD" w:rsidRPr="005819DD" w:rsidRDefault="005819DD" w:rsidP="005819DD">
            <w:pPr>
              <w:contextualSpacing/>
              <w:rPr>
                <w:sz w:val="16"/>
                <w:szCs w:val="16"/>
              </w:rPr>
            </w:pPr>
            <w:r w:rsidRPr="005819DD">
              <w:rPr>
                <w:sz w:val="16"/>
                <w:szCs w:val="16"/>
              </w:rPr>
              <w:t>Déc. 2018 (Jalon Lettre d’intention) :</w:t>
            </w:r>
          </w:p>
          <w:p w:rsidR="005819DD" w:rsidRPr="005819DD" w:rsidRDefault="005819DD" w:rsidP="005819DD">
            <w:pPr>
              <w:contextualSpacing/>
              <w:rPr>
                <w:sz w:val="16"/>
                <w:szCs w:val="16"/>
              </w:rPr>
            </w:pPr>
            <w:r>
              <w:rPr>
                <w:sz w:val="16"/>
                <w:szCs w:val="16"/>
              </w:rPr>
              <w:t>7</w:t>
            </w:r>
            <w:r w:rsidRPr="005819DD">
              <w:rPr>
                <w:sz w:val="16"/>
                <w:szCs w:val="16"/>
              </w:rPr>
              <w:t xml:space="preserve"> 000</w:t>
            </w:r>
          </w:p>
          <w:p w:rsidR="005819DD" w:rsidRPr="005819DD" w:rsidRDefault="005819DD" w:rsidP="005819DD">
            <w:pPr>
              <w:contextualSpacing/>
              <w:rPr>
                <w:sz w:val="16"/>
                <w:szCs w:val="16"/>
              </w:rPr>
            </w:pPr>
            <w:r w:rsidRPr="005819DD">
              <w:rPr>
                <w:sz w:val="16"/>
                <w:szCs w:val="16"/>
              </w:rPr>
              <w:t>Déc. 2019 (après 3 ans) :</w:t>
            </w:r>
          </w:p>
          <w:p w:rsidR="005819DD" w:rsidRPr="005819DD" w:rsidRDefault="005819DD" w:rsidP="005819DD">
            <w:pPr>
              <w:contextualSpacing/>
              <w:rPr>
                <w:sz w:val="16"/>
                <w:szCs w:val="16"/>
              </w:rPr>
            </w:pPr>
            <w:r>
              <w:rPr>
                <w:sz w:val="16"/>
                <w:szCs w:val="16"/>
              </w:rPr>
              <w:t>15</w:t>
            </w:r>
            <w:r w:rsidRPr="005819DD">
              <w:rPr>
                <w:sz w:val="16"/>
                <w:szCs w:val="16"/>
              </w:rPr>
              <w:t xml:space="preserve"> 000</w:t>
            </w:r>
          </w:p>
          <w:p w:rsidR="005819DD" w:rsidRPr="005819DD" w:rsidRDefault="005819DD" w:rsidP="005819DD">
            <w:pPr>
              <w:contextualSpacing/>
              <w:rPr>
                <w:sz w:val="16"/>
                <w:szCs w:val="16"/>
              </w:rPr>
            </w:pPr>
            <w:r w:rsidRPr="005819DD">
              <w:rPr>
                <w:sz w:val="16"/>
                <w:szCs w:val="16"/>
              </w:rPr>
              <w:t>Déc. 2021 (à la clôture du projet) :</w:t>
            </w:r>
          </w:p>
          <w:p w:rsidR="005819DD" w:rsidRPr="005819DD" w:rsidRDefault="005819DD" w:rsidP="005819DD">
            <w:pPr>
              <w:contextualSpacing/>
              <w:rPr>
                <w:sz w:val="16"/>
                <w:szCs w:val="16"/>
              </w:rPr>
            </w:pPr>
            <w:r>
              <w:rPr>
                <w:sz w:val="16"/>
                <w:szCs w:val="16"/>
              </w:rPr>
              <w:t>20 000</w:t>
            </w:r>
          </w:p>
        </w:tc>
      </w:tr>
      <w:tr w:rsidR="00C306CE" w:rsidRPr="000F598B" w:rsidTr="00ED144B">
        <w:trPr>
          <w:trHeight w:val="688"/>
          <w:jc w:val="center"/>
        </w:trPr>
        <w:tc>
          <w:tcPr>
            <w:tcW w:w="2641" w:type="dxa"/>
            <w:shd w:val="clear" w:color="auto" w:fill="DEEAF6" w:themeFill="accent1" w:themeFillTint="33"/>
            <w:vAlign w:val="center"/>
          </w:tcPr>
          <w:p w:rsidR="00AF2D73" w:rsidRPr="000F598B" w:rsidRDefault="00AF2D73" w:rsidP="000021EB">
            <w:pPr>
              <w:spacing w:after="0"/>
              <w:contextualSpacing/>
              <w:rPr>
                <w:b/>
                <w:sz w:val="20"/>
                <w:szCs w:val="20"/>
              </w:rPr>
            </w:pPr>
            <w:r w:rsidRPr="000F598B">
              <w:rPr>
                <w:b/>
                <w:sz w:val="20"/>
                <w:szCs w:val="20"/>
              </w:rPr>
              <w:t>Sous-Effet attendu spécifique au programme REDD+ le cas échéant</w:t>
            </w:r>
          </w:p>
        </w:tc>
        <w:tc>
          <w:tcPr>
            <w:tcW w:w="1404"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Indicateurs</w:t>
            </w:r>
          </w:p>
        </w:tc>
        <w:tc>
          <w:tcPr>
            <w:tcW w:w="2122"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Situations de référence et cibles finales</w:t>
            </w:r>
          </w:p>
        </w:tc>
        <w:tc>
          <w:tcPr>
            <w:tcW w:w="1568"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Moyens de vérification</w:t>
            </w:r>
          </w:p>
        </w:tc>
        <w:tc>
          <w:tcPr>
            <w:tcW w:w="3150" w:type="dxa"/>
            <w:gridSpan w:val="2"/>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Hypothèses et conditions critiques</w:t>
            </w:r>
          </w:p>
        </w:tc>
      </w:tr>
      <w:tr w:rsidR="00AF2D73" w:rsidRPr="000F598B" w:rsidTr="00ED144B">
        <w:trPr>
          <w:trHeight w:val="103"/>
          <w:jc w:val="center"/>
        </w:trPr>
        <w:tc>
          <w:tcPr>
            <w:tcW w:w="10885" w:type="dxa"/>
            <w:gridSpan w:val="6"/>
            <w:shd w:val="clear" w:color="auto" w:fill="DEEAF6" w:themeFill="accent1" w:themeFillTint="33"/>
            <w:vAlign w:val="center"/>
          </w:tcPr>
          <w:p w:rsidR="00AF2D73" w:rsidRPr="000F598B" w:rsidRDefault="00AF2D73" w:rsidP="000021EB">
            <w:pPr>
              <w:spacing w:after="0"/>
              <w:contextualSpacing/>
              <w:rPr>
                <w:b/>
                <w:sz w:val="20"/>
                <w:szCs w:val="20"/>
              </w:rPr>
            </w:pPr>
            <w:r w:rsidRPr="000F598B">
              <w:rPr>
                <w:b/>
                <w:sz w:val="20"/>
                <w:szCs w:val="20"/>
              </w:rPr>
              <w:t>Produit attendu du Fonds correspondant au Programme REDD+ présenté :</w:t>
            </w:r>
          </w:p>
        </w:tc>
      </w:tr>
      <w:tr w:rsidR="00C306CE" w:rsidRPr="000F598B" w:rsidTr="00ED144B">
        <w:trPr>
          <w:trHeight w:val="670"/>
          <w:jc w:val="center"/>
        </w:trPr>
        <w:tc>
          <w:tcPr>
            <w:tcW w:w="2641" w:type="dxa"/>
            <w:shd w:val="clear" w:color="auto" w:fill="DEEAF6" w:themeFill="accent1" w:themeFillTint="33"/>
            <w:vAlign w:val="center"/>
          </w:tcPr>
          <w:p w:rsidR="00AF2D73" w:rsidRPr="000F598B" w:rsidRDefault="00F12A99" w:rsidP="00810F14">
            <w:pPr>
              <w:spacing w:after="0"/>
              <w:contextualSpacing/>
              <w:rPr>
                <w:b/>
                <w:sz w:val="20"/>
                <w:szCs w:val="20"/>
              </w:rPr>
            </w:pPr>
            <w:r>
              <w:rPr>
                <w:b/>
                <w:sz w:val="20"/>
                <w:szCs w:val="20"/>
              </w:rPr>
              <w:lastRenderedPageBreak/>
              <w:t>Résultats</w:t>
            </w:r>
            <w:r w:rsidR="00AF2D73" w:rsidRPr="000F598B">
              <w:rPr>
                <w:b/>
                <w:sz w:val="20"/>
                <w:szCs w:val="20"/>
              </w:rPr>
              <w:t xml:space="preserve"> </w:t>
            </w:r>
            <w:r w:rsidR="00AF2D73" w:rsidRPr="000F598B">
              <w:rPr>
                <w:rStyle w:val="FootnoteReference"/>
                <w:b/>
                <w:sz w:val="20"/>
                <w:szCs w:val="20"/>
              </w:rPr>
              <w:footnoteReference w:id="27"/>
            </w:r>
            <w:r w:rsidR="00AF2D73" w:rsidRPr="000F598B">
              <w:rPr>
                <w:b/>
                <w:sz w:val="20"/>
                <w:szCs w:val="20"/>
              </w:rPr>
              <w:t xml:space="preserve">  </w:t>
            </w:r>
          </w:p>
        </w:tc>
        <w:tc>
          <w:tcPr>
            <w:tcW w:w="1404"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Indicateurs</w:t>
            </w:r>
          </w:p>
        </w:tc>
        <w:tc>
          <w:tcPr>
            <w:tcW w:w="2122"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 xml:space="preserve">Situations </w:t>
            </w:r>
            <w:r w:rsidR="00810F14">
              <w:rPr>
                <w:b/>
                <w:sz w:val="20"/>
                <w:szCs w:val="20"/>
              </w:rPr>
              <w:t>de référence et cibles finales</w:t>
            </w:r>
          </w:p>
        </w:tc>
        <w:tc>
          <w:tcPr>
            <w:tcW w:w="1568" w:type="dxa"/>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Moyens de vérification</w:t>
            </w:r>
          </w:p>
        </w:tc>
        <w:tc>
          <w:tcPr>
            <w:tcW w:w="3150" w:type="dxa"/>
            <w:gridSpan w:val="2"/>
            <w:shd w:val="clear" w:color="auto" w:fill="DEEAF6" w:themeFill="accent1" w:themeFillTint="33"/>
            <w:vAlign w:val="center"/>
          </w:tcPr>
          <w:p w:rsidR="00AF2D73" w:rsidRPr="000F598B" w:rsidRDefault="00AF2D73" w:rsidP="002000E1">
            <w:pPr>
              <w:spacing w:after="0"/>
              <w:contextualSpacing/>
              <w:jc w:val="center"/>
              <w:rPr>
                <w:b/>
                <w:sz w:val="20"/>
                <w:szCs w:val="20"/>
              </w:rPr>
            </w:pPr>
            <w:r w:rsidRPr="000F598B">
              <w:rPr>
                <w:b/>
                <w:sz w:val="20"/>
                <w:szCs w:val="20"/>
              </w:rPr>
              <w:t>Hypothèses et conditions critiques</w:t>
            </w:r>
          </w:p>
        </w:tc>
      </w:tr>
      <w:tr w:rsidR="00B26618" w:rsidRPr="000F598B" w:rsidTr="00ED144B">
        <w:trPr>
          <w:trHeight w:val="2159"/>
          <w:jc w:val="center"/>
        </w:trPr>
        <w:tc>
          <w:tcPr>
            <w:tcW w:w="2641" w:type="dxa"/>
            <w:vMerge w:val="restart"/>
          </w:tcPr>
          <w:p w:rsidR="00B26618" w:rsidRPr="00E91B6C" w:rsidRDefault="00B26618" w:rsidP="00335135">
            <w:pPr>
              <w:spacing w:after="0"/>
              <w:contextualSpacing/>
              <w:rPr>
                <w:rFonts w:cs="Times New Roman"/>
                <w:b/>
                <w:sz w:val="20"/>
                <w:szCs w:val="20"/>
              </w:rPr>
            </w:pPr>
            <w:r>
              <w:rPr>
                <w:rFonts w:cs="Times New Roman"/>
                <w:b/>
                <w:sz w:val="20"/>
                <w:szCs w:val="20"/>
              </w:rPr>
              <w:t xml:space="preserve">R1 : </w:t>
            </w:r>
            <w:r w:rsidRPr="00E91B6C">
              <w:rPr>
                <w:rFonts w:cs="Times New Roman"/>
                <w:b/>
                <w:sz w:val="20"/>
                <w:szCs w:val="20"/>
              </w:rPr>
              <w:t>Investissements agricoles</w:t>
            </w:r>
          </w:p>
          <w:p w:rsidR="00B26618" w:rsidRPr="00E91B6C" w:rsidRDefault="00974F59" w:rsidP="00541584">
            <w:pPr>
              <w:spacing w:after="0"/>
              <w:contextualSpacing/>
              <w:rPr>
                <w:sz w:val="20"/>
                <w:szCs w:val="20"/>
              </w:rPr>
            </w:pPr>
            <w:r>
              <w:rPr>
                <w:sz w:val="20"/>
                <w:szCs w:val="20"/>
              </w:rPr>
              <w:t>C</w:t>
            </w:r>
            <w:r w:rsidR="00B26618" w:rsidRPr="00E91B6C">
              <w:rPr>
                <w:sz w:val="20"/>
                <w:szCs w:val="20"/>
              </w:rPr>
              <w:t>ultures pérennes en alternative aux cultures vivrières sur jachère brulis en forêt</w:t>
            </w:r>
          </w:p>
          <w:p w:rsidR="00B26618" w:rsidRPr="00E91B6C" w:rsidRDefault="00B26618" w:rsidP="00335135">
            <w:pPr>
              <w:contextualSpacing/>
              <w:rPr>
                <w:sz w:val="20"/>
                <w:szCs w:val="20"/>
              </w:rPr>
            </w:pPr>
          </w:p>
          <w:p w:rsidR="00B26618" w:rsidRPr="00335135" w:rsidRDefault="00974F59" w:rsidP="00335135">
            <w:pPr>
              <w:contextualSpacing/>
              <w:rPr>
                <w:b/>
                <w:sz w:val="20"/>
                <w:szCs w:val="20"/>
              </w:rPr>
            </w:pPr>
            <w:r>
              <w:rPr>
                <w:sz w:val="20"/>
                <w:szCs w:val="20"/>
              </w:rPr>
              <w:t>A</w:t>
            </w:r>
            <w:r w:rsidR="00B26618" w:rsidRPr="00E91B6C">
              <w:rPr>
                <w:sz w:val="20"/>
                <w:szCs w:val="20"/>
              </w:rPr>
              <w:t>griculture en savane</w:t>
            </w:r>
            <w:r w:rsidR="00B26618">
              <w:rPr>
                <w:sz w:val="20"/>
                <w:szCs w:val="20"/>
              </w:rPr>
              <w:t xml:space="preserve"> (huile de palme)</w:t>
            </w:r>
          </w:p>
        </w:tc>
        <w:tc>
          <w:tcPr>
            <w:tcW w:w="1404" w:type="dxa"/>
            <w:vMerge w:val="restart"/>
          </w:tcPr>
          <w:p w:rsidR="00B26618" w:rsidRPr="000F598B" w:rsidRDefault="00B26618" w:rsidP="00541584">
            <w:pPr>
              <w:contextualSpacing/>
              <w:jc w:val="center"/>
              <w:rPr>
                <w:sz w:val="20"/>
                <w:szCs w:val="20"/>
              </w:rPr>
            </w:pPr>
            <w:r w:rsidRPr="000F598B">
              <w:rPr>
                <w:rFonts w:cs="Times New Roman"/>
                <w:sz w:val="20"/>
                <w:szCs w:val="20"/>
              </w:rPr>
              <w:t>Hectare (Ha)</w:t>
            </w:r>
          </w:p>
        </w:tc>
        <w:tc>
          <w:tcPr>
            <w:tcW w:w="2122" w:type="dxa"/>
            <w:vMerge w:val="restart"/>
          </w:tcPr>
          <w:p w:rsidR="00B26618" w:rsidRDefault="00B26618" w:rsidP="00541584">
            <w:pPr>
              <w:contextualSpacing/>
              <w:jc w:val="center"/>
              <w:rPr>
                <w:sz w:val="20"/>
                <w:szCs w:val="20"/>
              </w:rPr>
            </w:pPr>
          </w:p>
          <w:p w:rsidR="00B26618" w:rsidRDefault="00B26618" w:rsidP="002000E1">
            <w:pPr>
              <w:spacing w:after="0"/>
              <w:contextualSpacing/>
              <w:jc w:val="center"/>
              <w:rPr>
                <w:sz w:val="20"/>
                <w:szCs w:val="20"/>
              </w:rPr>
            </w:pPr>
          </w:p>
          <w:p w:rsidR="00B26618" w:rsidRDefault="00B26618" w:rsidP="002000E1">
            <w:pPr>
              <w:spacing w:after="0"/>
              <w:contextualSpacing/>
              <w:jc w:val="center"/>
              <w:rPr>
                <w:sz w:val="20"/>
                <w:szCs w:val="20"/>
              </w:rPr>
            </w:pPr>
            <w:r w:rsidRPr="00335135">
              <w:rPr>
                <w:sz w:val="20"/>
                <w:szCs w:val="20"/>
              </w:rPr>
              <w:t xml:space="preserve">0 </w:t>
            </w:r>
            <w:r>
              <w:rPr>
                <w:sz w:val="20"/>
                <w:szCs w:val="20"/>
              </w:rPr>
              <w:t>-</w:t>
            </w:r>
            <w:r w:rsidRPr="00335135">
              <w:rPr>
                <w:sz w:val="20"/>
                <w:szCs w:val="20"/>
              </w:rPr>
              <w:t xml:space="preserve"> 10 000</w:t>
            </w:r>
          </w:p>
          <w:p w:rsidR="00B26618" w:rsidRDefault="00B26618" w:rsidP="002000E1">
            <w:pPr>
              <w:spacing w:after="0"/>
              <w:contextualSpacing/>
              <w:jc w:val="center"/>
              <w:rPr>
                <w:sz w:val="20"/>
                <w:szCs w:val="20"/>
              </w:rPr>
            </w:pPr>
          </w:p>
          <w:p w:rsidR="00B26618" w:rsidRDefault="00B26618" w:rsidP="002000E1">
            <w:pPr>
              <w:spacing w:after="0"/>
              <w:contextualSpacing/>
              <w:jc w:val="center"/>
              <w:rPr>
                <w:sz w:val="20"/>
                <w:szCs w:val="20"/>
              </w:rPr>
            </w:pPr>
          </w:p>
          <w:p w:rsidR="00B26618" w:rsidRDefault="00B26618" w:rsidP="002000E1">
            <w:pPr>
              <w:spacing w:after="0"/>
              <w:contextualSpacing/>
              <w:jc w:val="center"/>
              <w:rPr>
                <w:sz w:val="20"/>
                <w:szCs w:val="20"/>
              </w:rPr>
            </w:pPr>
          </w:p>
          <w:p w:rsidR="00B26618" w:rsidRDefault="00B26618" w:rsidP="002000E1">
            <w:pPr>
              <w:spacing w:after="0"/>
              <w:contextualSpacing/>
              <w:jc w:val="center"/>
              <w:rPr>
                <w:sz w:val="20"/>
                <w:szCs w:val="20"/>
              </w:rPr>
            </w:pPr>
          </w:p>
          <w:p w:rsidR="00B26618" w:rsidRPr="000F598B" w:rsidRDefault="00B26618">
            <w:pPr>
              <w:spacing w:after="0"/>
              <w:contextualSpacing/>
              <w:jc w:val="center"/>
              <w:rPr>
                <w:sz w:val="20"/>
                <w:szCs w:val="20"/>
              </w:rPr>
            </w:pPr>
            <w:r>
              <w:rPr>
                <w:sz w:val="20"/>
                <w:szCs w:val="20"/>
              </w:rPr>
              <w:t xml:space="preserve">0 </w:t>
            </w:r>
            <w:r w:rsidR="00E26BB5">
              <w:rPr>
                <w:sz w:val="20"/>
                <w:szCs w:val="20"/>
              </w:rPr>
              <w:t>–</w:t>
            </w:r>
            <w:r>
              <w:rPr>
                <w:sz w:val="20"/>
                <w:szCs w:val="20"/>
              </w:rPr>
              <w:t xml:space="preserve"> </w:t>
            </w:r>
            <w:r w:rsidR="00E26BB5">
              <w:rPr>
                <w:sz w:val="20"/>
                <w:szCs w:val="20"/>
              </w:rPr>
              <w:t>1 650</w:t>
            </w:r>
          </w:p>
        </w:tc>
        <w:tc>
          <w:tcPr>
            <w:tcW w:w="1568" w:type="dxa"/>
          </w:tcPr>
          <w:p w:rsidR="00B26618" w:rsidRPr="000F598B" w:rsidRDefault="00B26618" w:rsidP="00541584">
            <w:pPr>
              <w:contextualSpacing/>
              <w:rPr>
                <w:sz w:val="20"/>
                <w:szCs w:val="20"/>
              </w:rPr>
            </w:pPr>
            <w:r w:rsidRPr="008D3E8B">
              <w:rPr>
                <w:sz w:val="20"/>
                <w:szCs w:val="20"/>
              </w:rPr>
              <w:t>Equipes de suivi &amp; évaluation de l’ALE et de l’UC-PIF</w:t>
            </w:r>
          </w:p>
        </w:tc>
        <w:tc>
          <w:tcPr>
            <w:tcW w:w="3150" w:type="dxa"/>
            <w:gridSpan w:val="2"/>
          </w:tcPr>
          <w:p w:rsidR="00B26618" w:rsidRPr="000F598B" w:rsidRDefault="00B26618" w:rsidP="00541584">
            <w:pPr>
              <w:contextualSpacing/>
              <w:rPr>
                <w:sz w:val="20"/>
                <w:szCs w:val="20"/>
              </w:rPr>
            </w:pPr>
            <w:r>
              <w:rPr>
                <w:sz w:val="20"/>
                <w:szCs w:val="20"/>
              </w:rPr>
              <w:t xml:space="preserve">Les plantations (bloc de 20 hectares) seront installées dans des périmètres de 60 hectares protégés des feux de brousse par des </w:t>
            </w:r>
            <w:r w:rsidR="00764826">
              <w:rPr>
                <w:sz w:val="20"/>
                <w:szCs w:val="20"/>
              </w:rPr>
              <w:t>pare-feu</w:t>
            </w:r>
          </w:p>
        </w:tc>
      </w:tr>
      <w:tr w:rsidR="00ED729E" w:rsidRPr="000F598B" w:rsidTr="00ED144B">
        <w:trPr>
          <w:trHeight w:val="314"/>
          <w:jc w:val="center"/>
        </w:trPr>
        <w:tc>
          <w:tcPr>
            <w:tcW w:w="2641" w:type="dxa"/>
            <w:vMerge/>
            <w:vAlign w:val="center"/>
          </w:tcPr>
          <w:p w:rsidR="00535485" w:rsidRPr="000F598B" w:rsidRDefault="00535485" w:rsidP="00317E5B">
            <w:pPr>
              <w:contextualSpacing/>
              <w:rPr>
                <w:rFonts w:cs="Times New Roman"/>
                <w:sz w:val="20"/>
                <w:szCs w:val="20"/>
              </w:rPr>
            </w:pPr>
          </w:p>
        </w:tc>
        <w:tc>
          <w:tcPr>
            <w:tcW w:w="1404" w:type="dxa"/>
            <w:vMerge/>
            <w:vAlign w:val="center"/>
          </w:tcPr>
          <w:p w:rsidR="00535485" w:rsidRPr="000F598B" w:rsidRDefault="00535485" w:rsidP="00317E5B">
            <w:pPr>
              <w:contextualSpacing/>
              <w:rPr>
                <w:rFonts w:cs="Times New Roman"/>
                <w:sz w:val="20"/>
                <w:szCs w:val="20"/>
              </w:rPr>
            </w:pPr>
          </w:p>
        </w:tc>
        <w:tc>
          <w:tcPr>
            <w:tcW w:w="2122" w:type="dxa"/>
            <w:vMerge/>
            <w:vAlign w:val="center"/>
          </w:tcPr>
          <w:p w:rsidR="00535485" w:rsidRDefault="00535485" w:rsidP="00317E5B">
            <w:pPr>
              <w:contextualSpacing/>
              <w:rPr>
                <w:sz w:val="20"/>
                <w:szCs w:val="20"/>
              </w:rPr>
            </w:pPr>
          </w:p>
        </w:tc>
        <w:tc>
          <w:tcPr>
            <w:tcW w:w="1568" w:type="dxa"/>
            <w:tcBorders>
              <w:top w:val="single" w:sz="4" w:space="0" w:color="auto"/>
              <w:right w:val="single" w:sz="4" w:space="0" w:color="auto"/>
            </w:tcBorders>
            <w:vAlign w:val="center"/>
          </w:tcPr>
          <w:p w:rsidR="00535485" w:rsidRPr="00970B9C" w:rsidRDefault="00337AB6" w:rsidP="00535485">
            <w:pPr>
              <w:contextualSpacing/>
              <w:jc w:val="center"/>
              <w:rPr>
                <w:sz w:val="16"/>
                <w:szCs w:val="16"/>
              </w:rPr>
            </w:pPr>
            <w:r>
              <w:rPr>
                <w:sz w:val="16"/>
                <w:szCs w:val="16"/>
              </w:rPr>
              <w:t xml:space="preserve">2017 : </w:t>
            </w:r>
            <w:r w:rsidR="00DD2DA0">
              <w:rPr>
                <w:sz w:val="16"/>
                <w:szCs w:val="16"/>
              </w:rPr>
              <w:t>2.378</w:t>
            </w:r>
            <w:r w:rsidR="00535485" w:rsidRPr="00535485">
              <w:rPr>
                <w:sz w:val="16"/>
                <w:szCs w:val="16"/>
              </w:rPr>
              <w:t xml:space="preserve"> M $</w:t>
            </w:r>
          </w:p>
        </w:tc>
        <w:tc>
          <w:tcPr>
            <w:tcW w:w="1494" w:type="dxa"/>
            <w:tcBorders>
              <w:top w:val="single" w:sz="4" w:space="0" w:color="auto"/>
              <w:right w:val="single" w:sz="4" w:space="0" w:color="auto"/>
            </w:tcBorders>
            <w:vAlign w:val="center"/>
          </w:tcPr>
          <w:p w:rsidR="00535485" w:rsidRPr="00970B9C" w:rsidRDefault="00337AB6" w:rsidP="00535485">
            <w:pPr>
              <w:contextualSpacing/>
              <w:jc w:val="center"/>
              <w:rPr>
                <w:sz w:val="16"/>
                <w:szCs w:val="16"/>
              </w:rPr>
            </w:pPr>
            <w:r>
              <w:rPr>
                <w:sz w:val="16"/>
                <w:szCs w:val="16"/>
              </w:rPr>
              <w:t xml:space="preserve">2017 : </w:t>
            </w:r>
            <w:r w:rsidR="00DD2DA0">
              <w:rPr>
                <w:sz w:val="16"/>
                <w:szCs w:val="16"/>
              </w:rPr>
              <w:t>2.378</w:t>
            </w:r>
            <w:r w:rsidR="00535485" w:rsidRPr="00535485">
              <w:rPr>
                <w:sz w:val="16"/>
                <w:szCs w:val="16"/>
              </w:rPr>
              <w:t xml:space="preserve"> M $</w:t>
            </w:r>
          </w:p>
        </w:tc>
        <w:tc>
          <w:tcPr>
            <w:tcW w:w="1656" w:type="dxa"/>
            <w:tcBorders>
              <w:top w:val="single" w:sz="4" w:space="0" w:color="auto"/>
              <w:right w:val="single" w:sz="4" w:space="0" w:color="auto"/>
            </w:tcBorders>
            <w:vAlign w:val="center"/>
          </w:tcPr>
          <w:p w:rsidR="00535485" w:rsidRPr="00970B9C" w:rsidRDefault="00337AB6" w:rsidP="00535485">
            <w:pPr>
              <w:contextualSpacing/>
              <w:jc w:val="center"/>
              <w:rPr>
                <w:sz w:val="16"/>
                <w:szCs w:val="16"/>
              </w:rPr>
            </w:pPr>
            <w:r>
              <w:rPr>
                <w:sz w:val="16"/>
                <w:szCs w:val="16"/>
              </w:rPr>
              <w:t xml:space="preserve">2017 : </w:t>
            </w:r>
            <w:r w:rsidR="00DD2DA0">
              <w:rPr>
                <w:sz w:val="16"/>
                <w:szCs w:val="16"/>
              </w:rPr>
              <w:t>2.378</w:t>
            </w:r>
            <w:r w:rsidR="00535485" w:rsidRPr="00535485">
              <w:rPr>
                <w:sz w:val="16"/>
                <w:szCs w:val="16"/>
              </w:rPr>
              <w:t xml:space="preserve"> M $</w:t>
            </w:r>
          </w:p>
        </w:tc>
      </w:tr>
      <w:tr w:rsidR="008E5A42" w:rsidRPr="000F598B" w:rsidTr="00ED144B">
        <w:trPr>
          <w:trHeight w:val="1583"/>
          <w:jc w:val="center"/>
        </w:trPr>
        <w:tc>
          <w:tcPr>
            <w:tcW w:w="2641" w:type="dxa"/>
            <w:vMerge w:val="restart"/>
          </w:tcPr>
          <w:p w:rsidR="008E5A42" w:rsidRPr="00E91B6C" w:rsidRDefault="00F12A99" w:rsidP="005B7675">
            <w:pPr>
              <w:spacing w:after="0"/>
              <w:contextualSpacing/>
              <w:rPr>
                <w:rFonts w:cs="Times New Roman"/>
                <w:b/>
                <w:sz w:val="20"/>
                <w:szCs w:val="20"/>
              </w:rPr>
            </w:pPr>
            <w:r>
              <w:rPr>
                <w:rFonts w:cs="Times New Roman"/>
                <w:b/>
                <w:sz w:val="20"/>
                <w:szCs w:val="20"/>
              </w:rPr>
              <w:t xml:space="preserve">R2 : </w:t>
            </w:r>
            <w:r w:rsidR="00335135" w:rsidRPr="00E91B6C">
              <w:rPr>
                <w:rFonts w:cs="Times New Roman"/>
                <w:b/>
                <w:sz w:val="20"/>
                <w:szCs w:val="20"/>
              </w:rPr>
              <w:t>Réduction de la part de bois énergie non-durable</w:t>
            </w:r>
          </w:p>
          <w:p w:rsidR="005B7675" w:rsidRPr="00E91B6C" w:rsidRDefault="005B7675" w:rsidP="005B7675">
            <w:pPr>
              <w:spacing w:after="0"/>
              <w:contextualSpacing/>
              <w:rPr>
                <w:rFonts w:cs="Times New Roman"/>
                <w:sz w:val="20"/>
                <w:szCs w:val="20"/>
              </w:rPr>
            </w:pPr>
            <w:r w:rsidRPr="00E91B6C">
              <w:rPr>
                <w:rFonts w:cs="Times New Roman"/>
                <w:sz w:val="20"/>
                <w:szCs w:val="20"/>
              </w:rPr>
              <w:t>Plantation d’acacia</w:t>
            </w:r>
          </w:p>
          <w:p w:rsidR="005B7675" w:rsidRPr="00E91B6C" w:rsidRDefault="005B7675" w:rsidP="005B7675">
            <w:pPr>
              <w:spacing w:after="0"/>
              <w:contextualSpacing/>
              <w:rPr>
                <w:rFonts w:cs="Times New Roman"/>
                <w:sz w:val="20"/>
                <w:szCs w:val="20"/>
              </w:rPr>
            </w:pPr>
          </w:p>
          <w:p w:rsidR="00F12A99" w:rsidRPr="000F598B" w:rsidRDefault="005B7675" w:rsidP="005B7675">
            <w:pPr>
              <w:spacing w:after="0"/>
              <w:contextualSpacing/>
              <w:rPr>
                <w:b/>
                <w:sz w:val="20"/>
                <w:szCs w:val="20"/>
              </w:rPr>
            </w:pPr>
            <w:r w:rsidRPr="00E91B6C">
              <w:rPr>
                <w:rFonts w:cs="Times New Roman"/>
                <w:sz w:val="20"/>
                <w:szCs w:val="20"/>
              </w:rPr>
              <w:t>Mise en défens pour régénération naturelle de la savane</w:t>
            </w:r>
          </w:p>
        </w:tc>
        <w:tc>
          <w:tcPr>
            <w:tcW w:w="1404" w:type="dxa"/>
            <w:vMerge w:val="restart"/>
            <w:vAlign w:val="center"/>
          </w:tcPr>
          <w:p w:rsidR="008E5A42" w:rsidRPr="000F598B" w:rsidRDefault="005B7675" w:rsidP="00ED144B">
            <w:pPr>
              <w:spacing w:after="0"/>
              <w:contextualSpacing/>
              <w:jc w:val="center"/>
              <w:rPr>
                <w:sz w:val="20"/>
                <w:szCs w:val="20"/>
              </w:rPr>
            </w:pPr>
            <w:r w:rsidRPr="005B7675">
              <w:rPr>
                <w:sz w:val="20"/>
                <w:szCs w:val="20"/>
              </w:rPr>
              <w:t>Hectare (Ha)</w:t>
            </w:r>
          </w:p>
        </w:tc>
        <w:tc>
          <w:tcPr>
            <w:tcW w:w="2122" w:type="dxa"/>
            <w:vMerge w:val="restart"/>
          </w:tcPr>
          <w:p w:rsidR="00B26618" w:rsidRDefault="00B26618" w:rsidP="00ED144B">
            <w:pPr>
              <w:spacing w:after="0"/>
              <w:contextualSpacing/>
              <w:rPr>
                <w:sz w:val="20"/>
                <w:szCs w:val="20"/>
              </w:rPr>
            </w:pPr>
          </w:p>
          <w:p w:rsidR="00E26BB5" w:rsidRDefault="00E26BB5" w:rsidP="00C50810">
            <w:pPr>
              <w:spacing w:after="0"/>
              <w:contextualSpacing/>
              <w:jc w:val="center"/>
              <w:rPr>
                <w:sz w:val="20"/>
                <w:szCs w:val="20"/>
              </w:rPr>
            </w:pPr>
          </w:p>
          <w:p w:rsidR="005B7675" w:rsidRPr="005B7675" w:rsidRDefault="005B7675">
            <w:pPr>
              <w:spacing w:after="0"/>
              <w:contextualSpacing/>
              <w:jc w:val="center"/>
              <w:rPr>
                <w:sz w:val="20"/>
                <w:szCs w:val="20"/>
              </w:rPr>
            </w:pPr>
            <w:r w:rsidRPr="005B7675">
              <w:rPr>
                <w:sz w:val="20"/>
                <w:szCs w:val="20"/>
              </w:rPr>
              <w:t>Acacia</w:t>
            </w:r>
          </w:p>
          <w:p w:rsidR="00E26BB5" w:rsidRPr="005B7675" w:rsidRDefault="005B7675">
            <w:pPr>
              <w:spacing w:after="0"/>
              <w:contextualSpacing/>
              <w:jc w:val="center"/>
              <w:rPr>
                <w:sz w:val="20"/>
                <w:szCs w:val="20"/>
              </w:rPr>
            </w:pPr>
            <w:r w:rsidRPr="005B7675">
              <w:rPr>
                <w:sz w:val="20"/>
                <w:szCs w:val="20"/>
              </w:rPr>
              <w:t xml:space="preserve">0 </w:t>
            </w:r>
            <w:r w:rsidR="003B62FA">
              <w:rPr>
                <w:sz w:val="20"/>
                <w:szCs w:val="20"/>
              </w:rPr>
              <w:t>-</w:t>
            </w:r>
            <w:r w:rsidRPr="005B7675">
              <w:rPr>
                <w:sz w:val="20"/>
                <w:szCs w:val="20"/>
              </w:rPr>
              <w:t xml:space="preserve"> 3 350</w:t>
            </w:r>
          </w:p>
          <w:p w:rsidR="005B7675" w:rsidRPr="005B7675" w:rsidRDefault="005B7675" w:rsidP="00ED144B">
            <w:pPr>
              <w:spacing w:after="0"/>
              <w:contextualSpacing/>
              <w:jc w:val="center"/>
              <w:rPr>
                <w:sz w:val="20"/>
                <w:szCs w:val="20"/>
              </w:rPr>
            </w:pPr>
            <w:r w:rsidRPr="005B7675">
              <w:rPr>
                <w:sz w:val="20"/>
                <w:szCs w:val="20"/>
              </w:rPr>
              <w:t>Mise en défens</w:t>
            </w:r>
          </w:p>
          <w:p w:rsidR="00F12A99" w:rsidRPr="000F598B" w:rsidRDefault="005B7675" w:rsidP="00ED144B">
            <w:pPr>
              <w:spacing w:after="0"/>
              <w:contextualSpacing/>
              <w:jc w:val="center"/>
              <w:rPr>
                <w:sz w:val="20"/>
                <w:szCs w:val="20"/>
              </w:rPr>
            </w:pPr>
            <w:r w:rsidRPr="005B7675">
              <w:rPr>
                <w:sz w:val="20"/>
                <w:szCs w:val="20"/>
              </w:rPr>
              <w:t xml:space="preserve">0 </w:t>
            </w:r>
            <w:r w:rsidR="003B62FA">
              <w:rPr>
                <w:sz w:val="20"/>
                <w:szCs w:val="20"/>
              </w:rPr>
              <w:t>-</w:t>
            </w:r>
            <w:r w:rsidRPr="005B7675">
              <w:rPr>
                <w:sz w:val="20"/>
                <w:szCs w:val="20"/>
              </w:rPr>
              <w:t xml:space="preserve"> 30 000</w:t>
            </w:r>
          </w:p>
        </w:tc>
        <w:tc>
          <w:tcPr>
            <w:tcW w:w="1568" w:type="dxa"/>
            <w:tcBorders>
              <w:top w:val="single" w:sz="4" w:space="0" w:color="auto"/>
            </w:tcBorders>
          </w:tcPr>
          <w:p w:rsidR="008E5A42" w:rsidRPr="000F598B" w:rsidRDefault="008D3E8B" w:rsidP="00317E5B">
            <w:pPr>
              <w:contextualSpacing/>
              <w:rPr>
                <w:sz w:val="20"/>
                <w:szCs w:val="20"/>
              </w:rPr>
            </w:pPr>
            <w:r w:rsidRPr="008D3E8B">
              <w:rPr>
                <w:sz w:val="20"/>
                <w:szCs w:val="20"/>
              </w:rPr>
              <w:t>Equipes de suivi &amp; évaluation de l’ALE et de l’UC-PIF</w:t>
            </w:r>
          </w:p>
        </w:tc>
        <w:tc>
          <w:tcPr>
            <w:tcW w:w="3150" w:type="dxa"/>
            <w:gridSpan w:val="2"/>
            <w:tcBorders>
              <w:top w:val="single" w:sz="4" w:space="0" w:color="auto"/>
            </w:tcBorders>
            <w:vAlign w:val="center"/>
          </w:tcPr>
          <w:p w:rsidR="008E5A42" w:rsidRPr="000F598B" w:rsidRDefault="008D3E8B">
            <w:pPr>
              <w:contextualSpacing/>
              <w:rPr>
                <w:sz w:val="20"/>
                <w:szCs w:val="20"/>
              </w:rPr>
            </w:pPr>
            <w:r w:rsidRPr="008D3E8B">
              <w:rPr>
                <w:sz w:val="20"/>
                <w:szCs w:val="20"/>
              </w:rPr>
              <w:t xml:space="preserve">Les plantations </w:t>
            </w:r>
            <w:r w:rsidR="00B26618">
              <w:rPr>
                <w:sz w:val="20"/>
                <w:szCs w:val="20"/>
              </w:rPr>
              <w:t>et les périmètres mis en défens</w:t>
            </w:r>
            <w:r w:rsidR="00B26618" w:rsidRPr="008D3E8B">
              <w:rPr>
                <w:sz w:val="20"/>
                <w:szCs w:val="20"/>
              </w:rPr>
              <w:t xml:space="preserve"> </w:t>
            </w:r>
            <w:r w:rsidRPr="008D3E8B">
              <w:rPr>
                <w:sz w:val="20"/>
                <w:szCs w:val="20"/>
              </w:rPr>
              <w:t>(bloc de 20 hectares) seront installés dans des pé</w:t>
            </w:r>
            <w:r w:rsidR="00F12A99">
              <w:rPr>
                <w:sz w:val="20"/>
                <w:szCs w:val="20"/>
              </w:rPr>
              <w:t>rimètres de 60 hectares protégé</w:t>
            </w:r>
            <w:r w:rsidRPr="008D3E8B">
              <w:rPr>
                <w:sz w:val="20"/>
                <w:szCs w:val="20"/>
              </w:rPr>
              <w:t xml:space="preserve">s des feux de brousse par des </w:t>
            </w:r>
            <w:r w:rsidR="00764826">
              <w:rPr>
                <w:sz w:val="20"/>
                <w:szCs w:val="20"/>
              </w:rPr>
              <w:t>pare-feu</w:t>
            </w:r>
          </w:p>
        </w:tc>
      </w:tr>
      <w:tr w:rsidR="00ED729E" w:rsidRPr="000F598B" w:rsidTr="00ED144B">
        <w:trPr>
          <w:trHeight w:val="346"/>
          <w:jc w:val="center"/>
        </w:trPr>
        <w:tc>
          <w:tcPr>
            <w:tcW w:w="2641" w:type="dxa"/>
            <w:vMerge/>
            <w:vAlign w:val="center"/>
          </w:tcPr>
          <w:p w:rsidR="00970B9C" w:rsidRDefault="00970B9C" w:rsidP="00C306CE">
            <w:pPr>
              <w:contextualSpacing/>
              <w:rPr>
                <w:rFonts w:cs="Times New Roman"/>
                <w:sz w:val="20"/>
                <w:szCs w:val="20"/>
              </w:rPr>
            </w:pPr>
          </w:p>
        </w:tc>
        <w:tc>
          <w:tcPr>
            <w:tcW w:w="1404" w:type="dxa"/>
            <w:vMerge/>
            <w:vAlign w:val="center"/>
          </w:tcPr>
          <w:p w:rsidR="00970B9C" w:rsidRDefault="00970B9C" w:rsidP="00317E5B">
            <w:pPr>
              <w:contextualSpacing/>
              <w:rPr>
                <w:sz w:val="20"/>
                <w:szCs w:val="20"/>
              </w:rPr>
            </w:pPr>
          </w:p>
        </w:tc>
        <w:tc>
          <w:tcPr>
            <w:tcW w:w="2122" w:type="dxa"/>
            <w:vMerge/>
            <w:vAlign w:val="center"/>
          </w:tcPr>
          <w:p w:rsidR="00970B9C" w:rsidRDefault="00970B9C" w:rsidP="00317E5B">
            <w:pPr>
              <w:contextualSpacing/>
              <w:rPr>
                <w:sz w:val="20"/>
                <w:szCs w:val="20"/>
              </w:rPr>
            </w:pPr>
          </w:p>
        </w:tc>
        <w:tc>
          <w:tcPr>
            <w:tcW w:w="1568" w:type="dxa"/>
            <w:vAlign w:val="center"/>
          </w:tcPr>
          <w:p w:rsidR="00970B9C" w:rsidRPr="00970B9C" w:rsidRDefault="00337AB6" w:rsidP="002000E1">
            <w:pPr>
              <w:contextualSpacing/>
              <w:jc w:val="center"/>
              <w:rPr>
                <w:sz w:val="16"/>
                <w:szCs w:val="16"/>
              </w:rPr>
            </w:pPr>
            <w:r>
              <w:rPr>
                <w:sz w:val="16"/>
                <w:szCs w:val="16"/>
              </w:rPr>
              <w:t xml:space="preserve">2017 : </w:t>
            </w:r>
            <w:r w:rsidR="00DD2DA0">
              <w:rPr>
                <w:sz w:val="16"/>
                <w:szCs w:val="16"/>
              </w:rPr>
              <w:t>1.087</w:t>
            </w:r>
            <w:r w:rsidR="005B7675">
              <w:rPr>
                <w:sz w:val="16"/>
                <w:szCs w:val="16"/>
              </w:rPr>
              <w:t xml:space="preserve"> M </w:t>
            </w:r>
            <w:r w:rsidR="00970B9C" w:rsidRPr="00970B9C">
              <w:rPr>
                <w:sz w:val="16"/>
                <w:szCs w:val="16"/>
              </w:rPr>
              <w:t>$</w:t>
            </w:r>
          </w:p>
        </w:tc>
        <w:tc>
          <w:tcPr>
            <w:tcW w:w="1494" w:type="dxa"/>
            <w:vAlign w:val="center"/>
          </w:tcPr>
          <w:p w:rsidR="00970B9C" w:rsidRPr="00970B9C" w:rsidRDefault="00970B9C">
            <w:pPr>
              <w:contextualSpacing/>
              <w:jc w:val="center"/>
              <w:rPr>
                <w:sz w:val="16"/>
                <w:szCs w:val="16"/>
              </w:rPr>
            </w:pPr>
            <w:r>
              <w:rPr>
                <w:sz w:val="16"/>
                <w:szCs w:val="16"/>
              </w:rPr>
              <w:t>2018</w:t>
            </w:r>
            <w:r w:rsidR="00337AB6">
              <w:rPr>
                <w:sz w:val="16"/>
                <w:szCs w:val="16"/>
              </w:rPr>
              <w:t xml:space="preserve"> : </w:t>
            </w:r>
            <w:r w:rsidR="00DD2DA0">
              <w:rPr>
                <w:sz w:val="16"/>
                <w:szCs w:val="16"/>
              </w:rPr>
              <w:t>1.087</w:t>
            </w:r>
            <w:r w:rsidR="005B7675">
              <w:rPr>
                <w:sz w:val="16"/>
                <w:szCs w:val="16"/>
              </w:rPr>
              <w:t xml:space="preserve"> M</w:t>
            </w:r>
            <w:r w:rsidRPr="00970B9C">
              <w:rPr>
                <w:sz w:val="16"/>
                <w:szCs w:val="16"/>
              </w:rPr>
              <w:t xml:space="preserve"> $</w:t>
            </w:r>
          </w:p>
        </w:tc>
        <w:tc>
          <w:tcPr>
            <w:tcW w:w="1656" w:type="dxa"/>
            <w:vAlign w:val="center"/>
          </w:tcPr>
          <w:p w:rsidR="00970B9C" w:rsidRPr="00970B9C" w:rsidRDefault="00970B9C" w:rsidP="002000E1">
            <w:pPr>
              <w:contextualSpacing/>
              <w:jc w:val="center"/>
              <w:rPr>
                <w:sz w:val="16"/>
                <w:szCs w:val="16"/>
              </w:rPr>
            </w:pPr>
            <w:r>
              <w:rPr>
                <w:sz w:val="16"/>
                <w:szCs w:val="16"/>
              </w:rPr>
              <w:t>2019</w:t>
            </w:r>
            <w:r w:rsidR="00337AB6">
              <w:rPr>
                <w:sz w:val="16"/>
                <w:szCs w:val="16"/>
              </w:rPr>
              <w:t xml:space="preserve"> : </w:t>
            </w:r>
            <w:r w:rsidR="00DD2DA0">
              <w:rPr>
                <w:sz w:val="16"/>
                <w:szCs w:val="16"/>
              </w:rPr>
              <w:t>1.087</w:t>
            </w:r>
            <w:r w:rsidR="005B7675">
              <w:rPr>
                <w:sz w:val="16"/>
                <w:szCs w:val="16"/>
              </w:rPr>
              <w:t xml:space="preserve"> M </w:t>
            </w:r>
            <w:r w:rsidRPr="00970B9C">
              <w:rPr>
                <w:sz w:val="16"/>
                <w:szCs w:val="16"/>
              </w:rPr>
              <w:t>$</w:t>
            </w:r>
          </w:p>
        </w:tc>
      </w:tr>
      <w:tr w:rsidR="00970B9C" w:rsidRPr="000F598B" w:rsidTr="00C50810">
        <w:trPr>
          <w:trHeight w:val="2321"/>
          <w:jc w:val="center"/>
        </w:trPr>
        <w:tc>
          <w:tcPr>
            <w:tcW w:w="2641" w:type="dxa"/>
            <w:vMerge w:val="restart"/>
          </w:tcPr>
          <w:p w:rsidR="00970B9C" w:rsidRPr="00E91B6C" w:rsidRDefault="002000E1" w:rsidP="00ED144B">
            <w:pPr>
              <w:spacing w:after="0"/>
              <w:contextualSpacing/>
              <w:rPr>
                <w:rFonts w:cs="Times New Roman"/>
                <w:b/>
                <w:sz w:val="20"/>
                <w:szCs w:val="20"/>
              </w:rPr>
            </w:pPr>
            <w:r>
              <w:rPr>
                <w:rFonts w:cs="Times New Roman"/>
                <w:b/>
                <w:sz w:val="20"/>
                <w:szCs w:val="20"/>
              </w:rPr>
              <w:t>R3 : Gestion durable des forêts</w:t>
            </w:r>
          </w:p>
          <w:p w:rsidR="00E91B6C" w:rsidRDefault="00E91B6C" w:rsidP="00ED144B">
            <w:pPr>
              <w:spacing w:after="0"/>
              <w:contextualSpacing/>
              <w:rPr>
                <w:rFonts w:cs="Times New Roman"/>
                <w:sz w:val="20"/>
                <w:szCs w:val="20"/>
              </w:rPr>
            </w:pPr>
            <w:r w:rsidRPr="00E91B6C">
              <w:rPr>
                <w:rFonts w:cs="Times New Roman"/>
                <w:sz w:val="20"/>
                <w:szCs w:val="20"/>
              </w:rPr>
              <w:t xml:space="preserve">Réalisation des Plans </w:t>
            </w:r>
            <w:r w:rsidR="00C75874">
              <w:rPr>
                <w:rFonts w:cs="Times New Roman"/>
                <w:sz w:val="20"/>
                <w:szCs w:val="20"/>
              </w:rPr>
              <w:t>Simples de Gestion</w:t>
            </w:r>
            <w:r w:rsidRPr="00E91B6C">
              <w:rPr>
                <w:rFonts w:cs="Times New Roman"/>
                <w:sz w:val="20"/>
                <w:szCs w:val="20"/>
              </w:rPr>
              <w:t xml:space="preserve"> par terroir villageois</w:t>
            </w:r>
            <w:r w:rsidR="006757AE">
              <w:rPr>
                <w:rFonts w:cs="Times New Roman"/>
                <w:sz w:val="20"/>
                <w:szCs w:val="20"/>
              </w:rPr>
              <w:t xml:space="preserve"> (P</w:t>
            </w:r>
            <w:r w:rsidR="00C75874">
              <w:rPr>
                <w:rFonts w:cs="Times New Roman"/>
                <w:sz w:val="20"/>
                <w:szCs w:val="20"/>
              </w:rPr>
              <w:t>SG</w:t>
            </w:r>
            <w:r w:rsidR="006757AE">
              <w:rPr>
                <w:rFonts w:cs="Times New Roman"/>
                <w:sz w:val="20"/>
                <w:szCs w:val="20"/>
              </w:rPr>
              <w:t>)</w:t>
            </w:r>
          </w:p>
          <w:p w:rsidR="00B26618" w:rsidRDefault="00B26618" w:rsidP="00ED144B">
            <w:pPr>
              <w:spacing w:after="0"/>
              <w:contextualSpacing/>
              <w:rPr>
                <w:rFonts w:cs="Times New Roman"/>
                <w:sz w:val="20"/>
                <w:szCs w:val="20"/>
              </w:rPr>
            </w:pPr>
          </w:p>
          <w:p w:rsidR="00B26618" w:rsidRPr="00E91B6C" w:rsidRDefault="00B26618" w:rsidP="00485BCD">
            <w:pPr>
              <w:spacing w:after="0"/>
              <w:contextualSpacing/>
              <w:rPr>
                <w:b/>
                <w:sz w:val="20"/>
                <w:szCs w:val="20"/>
              </w:rPr>
            </w:pPr>
            <w:r w:rsidRPr="000F2DE3">
              <w:rPr>
                <w:rFonts w:cs="Times New Roman"/>
                <w:sz w:val="20"/>
                <w:szCs w:val="20"/>
              </w:rPr>
              <w:t xml:space="preserve">Identification et </w:t>
            </w:r>
            <w:r w:rsidR="00485BCD" w:rsidRPr="000F2DE3">
              <w:rPr>
                <w:rFonts w:cs="Times New Roman"/>
                <w:sz w:val="20"/>
                <w:szCs w:val="20"/>
              </w:rPr>
              <w:t>création</w:t>
            </w:r>
            <w:r w:rsidRPr="000F2DE3">
              <w:rPr>
                <w:rFonts w:cs="Times New Roman"/>
                <w:sz w:val="20"/>
                <w:szCs w:val="20"/>
              </w:rPr>
              <w:t xml:space="preserve"> de </w:t>
            </w:r>
            <w:r w:rsidR="00045DDB" w:rsidRPr="000F2DE3">
              <w:rPr>
                <w:rFonts w:cs="Times New Roman"/>
                <w:sz w:val="20"/>
                <w:szCs w:val="20"/>
              </w:rPr>
              <w:t xml:space="preserve">concessions </w:t>
            </w:r>
            <w:r w:rsidRPr="000F2DE3">
              <w:rPr>
                <w:rFonts w:cs="Times New Roman"/>
                <w:sz w:val="20"/>
                <w:szCs w:val="20"/>
              </w:rPr>
              <w:t>de conservation</w:t>
            </w:r>
            <w:r w:rsidR="00045DDB" w:rsidRPr="000F2DE3">
              <w:rPr>
                <w:rFonts w:cs="Times New Roman"/>
                <w:sz w:val="20"/>
                <w:szCs w:val="20"/>
              </w:rPr>
              <w:t xml:space="preserve"> et/ou d’exploitation durable</w:t>
            </w:r>
          </w:p>
        </w:tc>
        <w:tc>
          <w:tcPr>
            <w:tcW w:w="1404" w:type="dxa"/>
            <w:vMerge w:val="restart"/>
          </w:tcPr>
          <w:p w:rsidR="00B26618" w:rsidRDefault="00B26618" w:rsidP="00ED144B">
            <w:pPr>
              <w:spacing w:after="0"/>
              <w:rPr>
                <w:rFonts w:cs="Times New Roman"/>
                <w:sz w:val="20"/>
                <w:szCs w:val="20"/>
              </w:rPr>
            </w:pPr>
          </w:p>
          <w:p w:rsidR="00912CA6" w:rsidRDefault="00912CA6" w:rsidP="00ED144B">
            <w:pPr>
              <w:spacing w:after="0"/>
              <w:jc w:val="center"/>
              <w:rPr>
                <w:rFonts w:cs="Times New Roman"/>
                <w:sz w:val="20"/>
                <w:szCs w:val="20"/>
              </w:rPr>
            </w:pPr>
          </w:p>
          <w:p w:rsidR="00B26618" w:rsidRDefault="00970B9C" w:rsidP="00ED144B">
            <w:pPr>
              <w:spacing w:after="0"/>
              <w:jc w:val="center"/>
              <w:rPr>
                <w:rFonts w:cs="Times New Roman"/>
                <w:sz w:val="20"/>
                <w:szCs w:val="20"/>
              </w:rPr>
            </w:pPr>
            <w:r w:rsidRPr="000F598B">
              <w:rPr>
                <w:rFonts w:cs="Times New Roman"/>
                <w:sz w:val="20"/>
                <w:szCs w:val="20"/>
              </w:rPr>
              <w:t>Nombre</w:t>
            </w:r>
          </w:p>
          <w:p w:rsidR="00B26618" w:rsidRDefault="00B26618" w:rsidP="00ED144B">
            <w:pPr>
              <w:spacing w:after="0"/>
              <w:jc w:val="center"/>
              <w:rPr>
                <w:rFonts w:cs="Times New Roman"/>
                <w:sz w:val="20"/>
                <w:szCs w:val="20"/>
              </w:rPr>
            </w:pPr>
          </w:p>
          <w:p w:rsidR="00B26618" w:rsidRDefault="00B26618" w:rsidP="00ED144B">
            <w:pPr>
              <w:spacing w:after="0"/>
              <w:jc w:val="center"/>
              <w:rPr>
                <w:rFonts w:cs="Times New Roman"/>
                <w:sz w:val="20"/>
                <w:szCs w:val="20"/>
              </w:rPr>
            </w:pPr>
          </w:p>
          <w:p w:rsidR="00B26618" w:rsidRDefault="00B26618" w:rsidP="00ED144B">
            <w:pPr>
              <w:spacing w:after="0"/>
              <w:jc w:val="center"/>
              <w:rPr>
                <w:rFonts w:cs="Times New Roman"/>
                <w:sz w:val="20"/>
                <w:szCs w:val="20"/>
              </w:rPr>
            </w:pPr>
          </w:p>
          <w:p w:rsidR="00970B9C" w:rsidRPr="000F598B" w:rsidRDefault="00B26618" w:rsidP="00ED144B">
            <w:pPr>
              <w:spacing w:after="0"/>
              <w:jc w:val="center"/>
              <w:rPr>
                <w:sz w:val="20"/>
                <w:szCs w:val="20"/>
              </w:rPr>
            </w:pPr>
            <w:r w:rsidRPr="00B26618">
              <w:rPr>
                <w:rFonts w:cs="Times New Roman"/>
                <w:sz w:val="20"/>
                <w:szCs w:val="20"/>
              </w:rPr>
              <w:t>Hectare (Ha)</w:t>
            </w:r>
          </w:p>
        </w:tc>
        <w:tc>
          <w:tcPr>
            <w:tcW w:w="2122" w:type="dxa"/>
            <w:vMerge w:val="restart"/>
            <w:vAlign w:val="center"/>
          </w:tcPr>
          <w:p w:rsidR="00B26618" w:rsidRDefault="00B26618" w:rsidP="00ED144B">
            <w:pPr>
              <w:spacing w:after="0"/>
              <w:contextualSpacing/>
              <w:rPr>
                <w:sz w:val="20"/>
                <w:szCs w:val="20"/>
              </w:rPr>
            </w:pPr>
          </w:p>
          <w:p w:rsidR="00970B9C" w:rsidRDefault="00970B9C" w:rsidP="00ED144B">
            <w:pPr>
              <w:spacing w:after="0"/>
              <w:contextualSpacing/>
              <w:jc w:val="center"/>
              <w:rPr>
                <w:sz w:val="20"/>
                <w:szCs w:val="20"/>
              </w:rPr>
            </w:pPr>
            <w:r>
              <w:rPr>
                <w:sz w:val="20"/>
                <w:szCs w:val="20"/>
              </w:rPr>
              <w:t>0</w:t>
            </w:r>
            <w:r w:rsidR="00E91B6C">
              <w:rPr>
                <w:sz w:val="20"/>
                <w:szCs w:val="20"/>
              </w:rPr>
              <w:t xml:space="preserve"> </w:t>
            </w:r>
            <w:r w:rsidR="003B62FA">
              <w:rPr>
                <w:sz w:val="20"/>
                <w:szCs w:val="20"/>
              </w:rPr>
              <w:t>-</w:t>
            </w:r>
            <w:r w:rsidR="00E91B6C">
              <w:rPr>
                <w:sz w:val="20"/>
                <w:szCs w:val="20"/>
              </w:rPr>
              <w:t xml:space="preserve"> 600</w:t>
            </w:r>
          </w:p>
          <w:p w:rsidR="00B26618" w:rsidRDefault="00B26618" w:rsidP="00ED144B">
            <w:pPr>
              <w:spacing w:after="0"/>
              <w:contextualSpacing/>
              <w:jc w:val="center"/>
              <w:rPr>
                <w:sz w:val="20"/>
                <w:szCs w:val="20"/>
              </w:rPr>
            </w:pPr>
          </w:p>
          <w:p w:rsidR="00B26618" w:rsidRDefault="00B26618" w:rsidP="00ED144B">
            <w:pPr>
              <w:spacing w:after="0"/>
              <w:contextualSpacing/>
              <w:rPr>
                <w:sz w:val="20"/>
                <w:szCs w:val="20"/>
              </w:rPr>
            </w:pPr>
          </w:p>
          <w:p w:rsidR="00B26618" w:rsidRDefault="00B26618" w:rsidP="00ED144B">
            <w:pPr>
              <w:spacing w:after="0"/>
              <w:contextualSpacing/>
              <w:rPr>
                <w:sz w:val="20"/>
                <w:szCs w:val="20"/>
              </w:rPr>
            </w:pPr>
          </w:p>
          <w:p w:rsidR="00B26618" w:rsidRDefault="003B62FA" w:rsidP="00ED144B">
            <w:pPr>
              <w:spacing w:after="0"/>
              <w:contextualSpacing/>
              <w:jc w:val="center"/>
              <w:rPr>
                <w:sz w:val="20"/>
                <w:szCs w:val="20"/>
              </w:rPr>
            </w:pPr>
            <w:r>
              <w:rPr>
                <w:sz w:val="20"/>
                <w:szCs w:val="20"/>
              </w:rPr>
              <w:t>0 -</w:t>
            </w:r>
            <w:r w:rsidR="00B26618" w:rsidRPr="00B26618">
              <w:rPr>
                <w:sz w:val="20"/>
                <w:szCs w:val="20"/>
              </w:rPr>
              <w:t xml:space="preserve"> 10 000</w:t>
            </w:r>
          </w:p>
          <w:p w:rsidR="00045DDB" w:rsidRDefault="00045DDB" w:rsidP="00ED144B">
            <w:pPr>
              <w:spacing w:after="0"/>
              <w:contextualSpacing/>
              <w:jc w:val="center"/>
              <w:rPr>
                <w:sz w:val="20"/>
                <w:szCs w:val="20"/>
              </w:rPr>
            </w:pPr>
          </w:p>
          <w:p w:rsidR="00045DDB" w:rsidRPr="000F598B" w:rsidRDefault="00045DDB" w:rsidP="00ED144B">
            <w:pPr>
              <w:spacing w:after="0"/>
              <w:contextualSpacing/>
              <w:jc w:val="center"/>
              <w:rPr>
                <w:sz w:val="20"/>
                <w:szCs w:val="20"/>
              </w:rPr>
            </w:pPr>
          </w:p>
        </w:tc>
        <w:tc>
          <w:tcPr>
            <w:tcW w:w="1568" w:type="dxa"/>
          </w:tcPr>
          <w:p w:rsidR="00970B9C" w:rsidRPr="000F598B" w:rsidRDefault="008D3E8B" w:rsidP="00317E5B">
            <w:pPr>
              <w:contextualSpacing/>
              <w:rPr>
                <w:sz w:val="20"/>
                <w:szCs w:val="20"/>
              </w:rPr>
            </w:pPr>
            <w:r w:rsidRPr="008D3E8B">
              <w:rPr>
                <w:sz w:val="20"/>
                <w:szCs w:val="20"/>
              </w:rPr>
              <w:t>Equipes de suivi &amp; évaluation de l’ALE et de l’UC-PIF</w:t>
            </w:r>
          </w:p>
        </w:tc>
        <w:tc>
          <w:tcPr>
            <w:tcW w:w="3150" w:type="dxa"/>
            <w:gridSpan w:val="2"/>
            <w:vAlign w:val="center"/>
          </w:tcPr>
          <w:p w:rsidR="00970B9C" w:rsidRPr="000F598B" w:rsidRDefault="00970B9C" w:rsidP="00317E5B">
            <w:pPr>
              <w:contextualSpacing/>
              <w:rPr>
                <w:sz w:val="20"/>
                <w:szCs w:val="20"/>
              </w:rPr>
            </w:pPr>
          </w:p>
        </w:tc>
      </w:tr>
      <w:tr w:rsidR="00ED729E" w:rsidRPr="000F598B" w:rsidTr="00ED144B">
        <w:trPr>
          <w:trHeight w:val="269"/>
          <w:jc w:val="center"/>
        </w:trPr>
        <w:tc>
          <w:tcPr>
            <w:tcW w:w="2641" w:type="dxa"/>
            <w:vMerge/>
            <w:vAlign w:val="center"/>
          </w:tcPr>
          <w:p w:rsidR="00970B9C" w:rsidRPr="00C306CE" w:rsidRDefault="00970B9C" w:rsidP="00970B9C">
            <w:pPr>
              <w:contextualSpacing/>
              <w:rPr>
                <w:rFonts w:cs="Times New Roman"/>
                <w:sz w:val="20"/>
                <w:szCs w:val="20"/>
              </w:rPr>
            </w:pPr>
          </w:p>
        </w:tc>
        <w:tc>
          <w:tcPr>
            <w:tcW w:w="1404" w:type="dxa"/>
            <w:vMerge/>
            <w:vAlign w:val="center"/>
          </w:tcPr>
          <w:p w:rsidR="00970B9C" w:rsidRPr="000F598B" w:rsidRDefault="00970B9C" w:rsidP="00970B9C">
            <w:pPr>
              <w:rPr>
                <w:rFonts w:cs="Times New Roman"/>
                <w:sz w:val="20"/>
                <w:szCs w:val="20"/>
              </w:rPr>
            </w:pPr>
          </w:p>
        </w:tc>
        <w:tc>
          <w:tcPr>
            <w:tcW w:w="2122" w:type="dxa"/>
            <w:vMerge/>
            <w:vAlign w:val="center"/>
          </w:tcPr>
          <w:p w:rsidR="00970B9C" w:rsidRDefault="00970B9C" w:rsidP="00970B9C">
            <w:pPr>
              <w:contextualSpacing/>
              <w:rPr>
                <w:sz w:val="20"/>
                <w:szCs w:val="20"/>
              </w:rPr>
            </w:pPr>
          </w:p>
        </w:tc>
        <w:tc>
          <w:tcPr>
            <w:tcW w:w="1568" w:type="dxa"/>
            <w:vAlign w:val="center"/>
          </w:tcPr>
          <w:p w:rsidR="00970B9C" w:rsidRPr="00810F14" w:rsidRDefault="00970B9C">
            <w:pPr>
              <w:contextualSpacing/>
              <w:jc w:val="center"/>
              <w:rPr>
                <w:sz w:val="20"/>
                <w:szCs w:val="20"/>
              </w:rPr>
            </w:pPr>
            <w:r w:rsidRPr="00970B9C">
              <w:rPr>
                <w:sz w:val="16"/>
                <w:szCs w:val="16"/>
              </w:rPr>
              <w:t xml:space="preserve">2017 : </w:t>
            </w:r>
            <w:r w:rsidR="00337AB6">
              <w:rPr>
                <w:sz w:val="16"/>
                <w:szCs w:val="16"/>
              </w:rPr>
              <w:t>0.</w:t>
            </w:r>
            <w:r w:rsidR="00DD2DA0">
              <w:rPr>
                <w:sz w:val="16"/>
                <w:szCs w:val="16"/>
              </w:rPr>
              <w:t>121M</w:t>
            </w:r>
            <w:r w:rsidR="00DD2DA0" w:rsidRPr="00970B9C">
              <w:rPr>
                <w:sz w:val="16"/>
                <w:szCs w:val="16"/>
              </w:rPr>
              <w:t xml:space="preserve"> </w:t>
            </w:r>
            <w:r w:rsidRPr="00970B9C">
              <w:rPr>
                <w:sz w:val="16"/>
                <w:szCs w:val="16"/>
              </w:rPr>
              <w:t>$</w:t>
            </w:r>
          </w:p>
        </w:tc>
        <w:tc>
          <w:tcPr>
            <w:tcW w:w="1494" w:type="dxa"/>
            <w:vAlign w:val="center"/>
          </w:tcPr>
          <w:p w:rsidR="00970B9C" w:rsidRPr="00810F14" w:rsidRDefault="00E91B6C" w:rsidP="002000E1">
            <w:pPr>
              <w:contextualSpacing/>
              <w:jc w:val="center"/>
              <w:rPr>
                <w:sz w:val="20"/>
                <w:szCs w:val="20"/>
              </w:rPr>
            </w:pPr>
            <w:r>
              <w:rPr>
                <w:sz w:val="16"/>
                <w:szCs w:val="16"/>
              </w:rPr>
              <w:t>2</w:t>
            </w:r>
            <w:r w:rsidR="00337AB6">
              <w:rPr>
                <w:sz w:val="16"/>
                <w:szCs w:val="16"/>
              </w:rPr>
              <w:t>018 : 0.</w:t>
            </w:r>
            <w:r w:rsidR="00DD2DA0">
              <w:rPr>
                <w:sz w:val="16"/>
                <w:szCs w:val="16"/>
              </w:rPr>
              <w:t>121</w:t>
            </w:r>
            <w:r>
              <w:rPr>
                <w:sz w:val="16"/>
                <w:szCs w:val="16"/>
              </w:rPr>
              <w:t xml:space="preserve"> M</w:t>
            </w:r>
            <w:r w:rsidR="00970B9C" w:rsidRPr="00970B9C">
              <w:rPr>
                <w:sz w:val="16"/>
                <w:szCs w:val="16"/>
              </w:rPr>
              <w:t xml:space="preserve"> $</w:t>
            </w:r>
          </w:p>
        </w:tc>
        <w:tc>
          <w:tcPr>
            <w:tcW w:w="1656" w:type="dxa"/>
            <w:vAlign w:val="center"/>
          </w:tcPr>
          <w:p w:rsidR="00970B9C" w:rsidRPr="00810F14" w:rsidRDefault="00337AB6" w:rsidP="002000E1">
            <w:pPr>
              <w:contextualSpacing/>
              <w:jc w:val="center"/>
              <w:rPr>
                <w:sz w:val="20"/>
                <w:szCs w:val="20"/>
              </w:rPr>
            </w:pPr>
            <w:r>
              <w:rPr>
                <w:sz w:val="16"/>
                <w:szCs w:val="16"/>
              </w:rPr>
              <w:t>2019 : 0.</w:t>
            </w:r>
            <w:r w:rsidR="00DD2DA0">
              <w:rPr>
                <w:sz w:val="16"/>
                <w:szCs w:val="16"/>
              </w:rPr>
              <w:t>121</w:t>
            </w:r>
            <w:r w:rsidR="00E91B6C">
              <w:rPr>
                <w:sz w:val="16"/>
                <w:szCs w:val="16"/>
              </w:rPr>
              <w:t xml:space="preserve"> M</w:t>
            </w:r>
            <w:r w:rsidR="00970B9C" w:rsidRPr="00970B9C">
              <w:rPr>
                <w:sz w:val="16"/>
                <w:szCs w:val="16"/>
              </w:rPr>
              <w:t xml:space="preserve"> $</w:t>
            </w:r>
          </w:p>
        </w:tc>
      </w:tr>
      <w:tr w:rsidR="006757AE" w:rsidRPr="000F598B" w:rsidTr="00ED144B">
        <w:trPr>
          <w:trHeight w:val="971"/>
          <w:jc w:val="center"/>
        </w:trPr>
        <w:tc>
          <w:tcPr>
            <w:tcW w:w="2641" w:type="dxa"/>
            <w:vMerge w:val="restart"/>
            <w:shd w:val="clear" w:color="auto" w:fill="auto"/>
          </w:tcPr>
          <w:p w:rsidR="006757AE" w:rsidRPr="006757AE" w:rsidRDefault="00C1687E" w:rsidP="00317E5B">
            <w:pPr>
              <w:contextualSpacing/>
              <w:rPr>
                <w:rFonts w:cs="Times New Roman"/>
                <w:b/>
                <w:sz w:val="20"/>
                <w:szCs w:val="20"/>
              </w:rPr>
            </w:pPr>
            <w:r>
              <w:rPr>
                <w:rFonts w:cs="Times New Roman"/>
                <w:b/>
                <w:sz w:val="20"/>
                <w:szCs w:val="20"/>
              </w:rPr>
              <w:t>R5</w:t>
            </w:r>
            <w:r w:rsidR="002000E1">
              <w:rPr>
                <w:rFonts w:cs="Times New Roman"/>
                <w:b/>
                <w:sz w:val="20"/>
                <w:szCs w:val="20"/>
              </w:rPr>
              <w:t xml:space="preserve"> : </w:t>
            </w:r>
            <w:r w:rsidR="00A5055A" w:rsidRPr="006757AE">
              <w:rPr>
                <w:rFonts w:cs="Times New Roman"/>
                <w:b/>
                <w:sz w:val="20"/>
                <w:szCs w:val="20"/>
              </w:rPr>
              <w:t>A</w:t>
            </w:r>
            <w:r w:rsidR="00A5055A">
              <w:rPr>
                <w:rFonts w:cs="Times New Roman"/>
                <w:b/>
                <w:sz w:val="20"/>
                <w:szCs w:val="20"/>
              </w:rPr>
              <w:t xml:space="preserve">ménagement du </w:t>
            </w:r>
            <w:r w:rsidR="006757AE" w:rsidRPr="006757AE">
              <w:rPr>
                <w:rFonts w:cs="Times New Roman"/>
                <w:b/>
                <w:sz w:val="20"/>
                <w:szCs w:val="20"/>
              </w:rPr>
              <w:t>T</w:t>
            </w:r>
            <w:r w:rsidR="00A5055A">
              <w:rPr>
                <w:rFonts w:cs="Times New Roman"/>
                <w:b/>
                <w:sz w:val="20"/>
                <w:szCs w:val="20"/>
              </w:rPr>
              <w:t xml:space="preserve">erritoire </w:t>
            </w:r>
            <w:r w:rsidR="006757AE" w:rsidRPr="006757AE">
              <w:rPr>
                <w:rFonts w:cs="Times New Roman"/>
                <w:b/>
                <w:sz w:val="20"/>
                <w:szCs w:val="20"/>
              </w:rPr>
              <w:t xml:space="preserve"> </w:t>
            </w:r>
          </w:p>
          <w:p w:rsidR="006757AE" w:rsidRPr="006757AE" w:rsidRDefault="006757AE" w:rsidP="00317E5B">
            <w:pPr>
              <w:contextualSpacing/>
              <w:rPr>
                <w:sz w:val="20"/>
                <w:szCs w:val="20"/>
              </w:rPr>
            </w:pPr>
            <w:r w:rsidRPr="006757AE">
              <w:rPr>
                <w:sz w:val="20"/>
                <w:szCs w:val="20"/>
              </w:rPr>
              <w:t>Renforcement des capacités des services techniques décentralisés</w:t>
            </w:r>
          </w:p>
        </w:tc>
        <w:tc>
          <w:tcPr>
            <w:tcW w:w="1404" w:type="dxa"/>
            <w:vMerge w:val="restart"/>
            <w:shd w:val="clear" w:color="auto" w:fill="auto"/>
            <w:vAlign w:val="center"/>
          </w:tcPr>
          <w:p w:rsidR="006757AE" w:rsidRDefault="006757AE" w:rsidP="002000E1">
            <w:pPr>
              <w:contextualSpacing/>
              <w:jc w:val="center"/>
              <w:rPr>
                <w:sz w:val="20"/>
                <w:szCs w:val="20"/>
              </w:rPr>
            </w:pPr>
            <w:r w:rsidRPr="000F598B">
              <w:rPr>
                <w:sz w:val="20"/>
                <w:szCs w:val="20"/>
              </w:rPr>
              <w:t>Nombre</w:t>
            </w:r>
          </w:p>
          <w:p w:rsidR="006757AE" w:rsidRPr="000F598B" w:rsidRDefault="006757AE" w:rsidP="002000E1">
            <w:pPr>
              <w:contextualSpacing/>
              <w:jc w:val="center"/>
              <w:rPr>
                <w:sz w:val="20"/>
                <w:szCs w:val="20"/>
              </w:rPr>
            </w:pPr>
            <w:r>
              <w:rPr>
                <w:sz w:val="20"/>
                <w:szCs w:val="20"/>
              </w:rPr>
              <w:t>(PDD approuvé)</w:t>
            </w:r>
          </w:p>
        </w:tc>
        <w:tc>
          <w:tcPr>
            <w:tcW w:w="2122" w:type="dxa"/>
            <w:vMerge w:val="restart"/>
            <w:shd w:val="clear" w:color="auto" w:fill="auto"/>
            <w:vAlign w:val="center"/>
          </w:tcPr>
          <w:p w:rsidR="006757AE" w:rsidRPr="000F598B" w:rsidRDefault="006757AE">
            <w:pPr>
              <w:contextualSpacing/>
              <w:jc w:val="center"/>
              <w:rPr>
                <w:sz w:val="20"/>
                <w:szCs w:val="20"/>
              </w:rPr>
            </w:pPr>
            <w:r>
              <w:rPr>
                <w:sz w:val="20"/>
                <w:szCs w:val="20"/>
              </w:rPr>
              <w:t xml:space="preserve">0 - </w:t>
            </w:r>
            <w:r w:rsidR="00C75874">
              <w:rPr>
                <w:sz w:val="20"/>
                <w:szCs w:val="20"/>
              </w:rPr>
              <w:t>21</w:t>
            </w:r>
          </w:p>
        </w:tc>
        <w:tc>
          <w:tcPr>
            <w:tcW w:w="1568" w:type="dxa"/>
            <w:shd w:val="clear" w:color="auto" w:fill="auto"/>
          </w:tcPr>
          <w:p w:rsidR="006757AE" w:rsidRPr="000F598B" w:rsidRDefault="008D3E8B" w:rsidP="00317E5B">
            <w:pPr>
              <w:contextualSpacing/>
              <w:rPr>
                <w:sz w:val="20"/>
                <w:szCs w:val="20"/>
              </w:rPr>
            </w:pPr>
            <w:r w:rsidRPr="008D3E8B">
              <w:rPr>
                <w:sz w:val="20"/>
                <w:szCs w:val="20"/>
              </w:rPr>
              <w:t>Equipes de suivi &amp; évaluation de l’ALE et de l’UC-PIF</w:t>
            </w:r>
          </w:p>
        </w:tc>
        <w:tc>
          <w:tcPr>
            <w:tcW w:w="3150" w:type="dxa"/>
            <w:gridSpan w:val="2"/>
            <w:shd w:val="clear" w:color="auto" w:fill="auto"/>
            <w:vAlign w:val="center"/>
          </w:tcPr>
          <w:p w:rsidR="006757AE" w:rsidRPr="000F598B" w:rsidRDefault="006757AE" w:rsidP="00317E5B">
            <w:pPr>
              <w:contextualSpacing/>
              <w:rPr>
                <w:sz w:val="20"/>
                <w:szCs w:val="20"/>
              </w:rPr>
            </w:pPr>
          </w:p>
        </w:tc>
      </w:tr>
      <w:tr w:rsidR="00ED729E" w:rsidRPr="000F598B" w:rsidTr="00ED144B">
        <w:trPr>
          <w:trHeight w:val="445"/>
          <w:jc w:val="center"/>
        </w:trPr>
        <w:tc>
          <w:tcPr>
            <w:tcW w:w="2641" w:type="dxa"/>
            <w:vMerge/>
            <w:shd w:val="clear" w:color="auto" w:fill="auto"/>
            <w:vAlign w:val="center"/>
          </w:tcPr>
          <w:p w:rsidR="006757AE" w:rsidRPr="006757AE" w:rsidRDefault="006757AE" w:rsidP="00317E5B">
            <w:pPr>
              <w:contextualSpacing/>
              <w:rPr>
                <w:rFonts w:cs="Times New Roman"/>
                <w:b/>
                <w:sz w:val="20"/>
                <w:szCs w:val="20"/>
              </w:rPr>
            </w:pPr>
          </w:p>
        </w:tc>
        <w:tc>
          <w:tcPr>
            <w:tcW w:w="1404" w:type="dxa"/>
            <w:vMerge/>
            <w:shd w:val="clear" w:color="auto" w:fill="auto"/>
            <w:vAlign w:val="center"/>
          </w:tcPr>
          <w:p w:rsidR="006757AE" w:rsidRPr="000F598B" w:rsidRDefault="006757AE" w:rsidP="00317E5B">
            <w:pPr>
              <w:contextualSpacing/>
              <w:rPr>
                <w:sz w:val="20"/>
                <w:szCs w:val="20"/>
              </w:rPr>
            </w:pPr>
          </w:p>
        </w:tc>
        <w:tc>
          <w:tcPr>
            <w:tcW w:w="2122" w:type="dxa"/>
            <w:vMerge/>
            <w:shd w:val="clear" w:color="auto" w:fill="auto"/>
            <w:vAlign w:val="center"/>
          </w:tcPr>
          <w:p w:rsidR="006757AE" w:rsidRDefault="006757AE" w:rsidP="00317E5B">
            <w:pPr>
              <w:contextualSpacing/>
              <w:rPr>
                <w:sz w:val="20"/>
                <w:szCs w:val="20"/>
              </w:rPr>
            </w:pPr>
          </w:p>
        </w:tc>
        <w:tc>
          <w:tcPr>
            <w:tcW w:w="1568" w:type="dxa"/>
            <w:shd w:val="clear" w:color="auto" w:fill="auto"/>
            <w:vAlign w:val="center"/>
          </w:tcPr>
          <w:p w:rsidR="006757AE" w:rsidRPr="006757AE" w:rsidRDefault="00337AB6" w:rsidP="002000E1">
            <w:pPr>
              <w:contextualSpacing/>
              <w:jc w:val="center"/>
              <w:rPr>
                <w:sz w:val="16"/>
                <w:szCs w:val="16"/>
              </w:rPr>
            </w:pPr>
            <w:r>
              <w:rPr>
                <w:sz w:val="16"/>
                <w:szCs w:val="16"/>
              </w:rPr>
              <w:t>2017 : 0.06</w:t>
            </w:r>
            <w:r w:rsidR="00DD2DA0">
              <w:rPr>
                <w:sz w:val="16"/>
                <w:szCs w:val="16"/>
              </w:rPr>
              <w:t>0</w:t>
            </w:r>
            <w:r w:rsidR="006757AE" w:rsidRPr="006757AE">
              <w:rPr>
                <w:sz w:val="16"/>
                <w:szCs w:val="16"/>
              </w:rPr>
              <w:t xml:space="preserve"> M $</w:t>
            </w:r>
          </w:p>
        </w:tc>
        <w:tc>
          <w:tcPr>
            <w:tcW w:w="1494" w:type="dxa"/>
            <w:shd w:val="clear" w:color="auto" w:fill="auto"/>
            <w:vAlign w:val="center"/>
          </w:tcPr>
          <w:p w:rsidR="006757AE" w:rsidRPr="006757AE" w:rsidRDefault="006757AE" w:rsidP="002000E1">
            <w:pPr>
              <w:contextualSpacing/>
              <w:jc w:val="center"/>
              <w:rPr>
                <w:sz w:val="16"/>
                <w:szCs w:val="16"/>
              </w:rPr>
            </w:pPr>
            <w:r>
              <w:rPr>
                <w:sz w:val="16"/>
                <w:szCs w:val="16"/>
              </w:rPr>
              <w:t>2018</w:t>
            </w:r>
            <w:r w:rsidR="00337AB6">
              <w:rPr>
                <w:sz w:val="16"/>
                <w:szCs w:val="16"/>
              </w:rPr>
              <w:t xml:space="preserve"> : 0.06</w:t>
            </w:r>
            <w:r w:rsidR="00DD2DA0">
              <w:rPr>
                <w:sz w:val="16"/>
                <w:szCs w:val="16"/>
              </w:rPr>
              <w:t>0</w:t>
            </w:r>
            <w:r w:rsidRPr="006757AE">
              <w:rPr>
                <w:sz w:val="16"/>
                <w:szCs w:val="16"/>
              </w:rPr>
              <w:t xml:space="preserve"> M $</w:t>
            </w:r>
          </w:p>
        </w:tc>
        <w:tc>
          <w:tcPr>
            <w:tcW w:w="1656" w:type="dxa"/>
            <w:shd w:val="clear" w:color="auto" w:fill="auto"/>
            <w:vAlign w:val="center"/>
          </w:tcPr>
          <w:p w:rsidR="006757AE" w:rsidRPr="006757AE" w:rsidRDefault="006757AE" w:rsidP="002000E1">
            <w:pPr>
              <w:contextualSpacing/>
              <w:jc w:val="center"/>
              <w:rPr>
                <w:sz w:val="16"/>
                <w:szCs w:val="16"/>
              </w:rPr>
            </w:pPr>
            <w:r>
              <w:rPr>
                <w:sz w:val="16"/>
                <w:szCs w:val="16"/>
              </w:rPr>
              <w:t>2019</w:t>
            </w:r>
            <w:r w:rsidR="00337AB6">
              <w:rPr>
                <w:sz w:val="16"/>
                <w:szCs w:val="16"/>
              </w:rPr>
              <w:t>: 0.06</w:t>
            </w:r>
            <w:r w:rsidR="00DD2DA0">
              <w:rPr>
                <w:sz w:val="16"/>
                <w:szCs w:val="16"/>
              </w:rPr>
              <w:t>0</w:t>
            </w:r>
            <w:r w:rsidRPr="006757AE">
              <w:rPr>
                <w:sz w:val="16"/>
                <w:szCs w:val="16"/>
              </w:rPr>
              <w:t xml:space="preserve"> M $</w:t>
            </w:r>
          </w:p>
        </w:tc>
      </w:tr>
      <w:tr w:rsidR="006B7962" w:rsidRPr="000F598B" w:rsidTr="00ED144B">
        <w:trPr>
          <w:trHeight w:val="1255"/>
          <w:jc w:val="center"/>
        </w:trPr>
        <w:tc>
          <w:tcPr>
            <w:tcW w:w="2641" w:type="dxa"/>
            <w:vMerge w:val="restart"/>
          </w:tcPr>
          <w:p w:rsidR="006B7962" w:rsidRPr="006B7962" w:rsidRDefault="00BD17FE" w:rsidP="00317E5B">
            <w:pPr>
              <w:contextualSpacing/>
              <w:rPr>
                <w:rFonts w:cs="Times New Roman"/>
                <w:b/>
                <w:sz w:val="20"/>
                <w:szCs w:val="20"/>
              </w:rPr>
            </w:pPr>
            <w:r>
              <w:rPr>
                <w:rFonts w:cs="Times New Roman"/>
                <w:b/>
                <w:sz w:val="20"/>
                <w:szCs w:val="20"/>
              </w:rPr>
              <w:t>R</w:t>
            </w:r>
            <w:r w:rsidR="00C1687E">
              <w:rPr>
                <w:rFonts w:cs="Times New Roman"/>
                <w:b/>
                <w:sz w:val="20"/>
                <w:szCs w:val="20"/>
              </w:rPr>
              <w:t>6</w:t>
            </w:r>
            <w:r>
              <w:rPr>
                <w:rFonts w:cs="Times New Roman"/>
                <w:b/>
                <w:sz w:val="20"/>
                <w:szCs w:val="20"/>
              </w:rPr>
              <w:t> : Foncier</w:t>
            </w:r>
          </w:p>
          <w:p w:rsidR="006B7962" w:rsidRPr="000F598B" w:rsidRDefault="006B7962" w:rsidP="00317E5B">
            <w:pPr>
              <w:contextualSpacing/>
              <w:rPr>
                <w:rFonts w:cs="Times New Roman"/>
                <w:sz w:val="20"/>
                <w:szCs w:val="20"/>
              </w:rPr>
            </w:pPr>
            <w:r w:rsidRPr="006B7962">
              <w:rPr>
                <w:rFonts w:cs="Times New Roman"/>
                <w:sz w:val="20"/>
                <w:szCs w:val="20"/>
              </w:rPr>
              <w:t>Renforcement des capacités des services techniques décentralisés</w:t>
            </w:r>
          </w:p>
        </w:tc>
        <w:tc>
          <w:tcPr>
            <w:tcW w:w="1404" w:type="dxa"/>
            <w:vMerge w:val="restart"/>
            <w:vAlign w:val="center"/>
          </w:tcPr>
          <w:p w:rsidR="006B7962" w:rsidRPr="006B7962" w:rsidRDefault="006B7962" w:rsidP="002000E1">
            <w:pPr>
              <w:jc w:val="center"/>
              <w:rPr>
                <w:rFonts w:cs="Times New Roman"/>
                <w:sz w:val="20"/>
                <w:szCs w:val="20"/>
              </w:rPr>
            </w:pPr>
            <w:r w:rsidRPr="006B7962">
              <w:rPr>
                <w:rFonts w:cs="Times New Roman"/>
                <w:sz w:val="20"/>
                <w:szCs w:val="20"/>
              </w:rPr>
              <w:t>Nombre</w:t>
            </w:r>
          </w:p>
          <w:p w:rsidR="006B7962" w:rsidRPr="000021EB" w:rsidRDefault="006B7962" w:rsidP="002000E1">
            <w:pPr>
              <w:jc w:val="center"/>
              <w:rPr>
                <w:rFonts w:cs="Times New Roman"/>
                <w:sz w:val="20"/>
                <w:szCs w:val="20"/>
              </w:rPr>
            </w:pPr>
            <w:r w:rsidRPr="006B7962">
              <w:rPr>
                <w:rFonts w:cs="Times New Roman"/>
                <w:sz w:val="20"/>
                <w:szCs w:val="20"/>
              </w:rPr>
              <w:t>(PDD approuvé)</w:t>
            </w:r>
          </w:p>
        </w:tc>
        <w:tc>
          <w:tcPr>
            <w:tcW w:w="2122" w:type="dxa"/>
            <w:vMerge w:val="restart"/>
            <w:vAlign w:val="center"/>
          </w:tcPr>
          <w:p w:rsidR="006B7962" w:rsidRPr="000F598B" w:rsidRDefault="006B7962" w:rsidP="002000E1">
            <w:pPr>
              <w:contextualSpacing/>
              <w:jc w:val="center"/>
              <w:rPr>
                <w:sz w:val="20"/>
                <w:szCs w:val="20"/>
              </w:rPr>
            </w:pPr>
            <w:r>
              <w:rPr>
                <w:sz w:val="20"/>
                <w:szCs w:val="20"/>
              </w:rPr>
              <w:t xml:space="preserve">0 - </w:t>
            </w:r>
            <w:r w:rsidR="00C75874">
              <w:rPr>
                <w:sz w:val="20"/>
                <w:szCs w:val="20"/>
              </w:rPr>
              <w:t>21</w:t>
            </w:r>
          </w:p>
        </w:tc>
        <w:tc>
          <w:tcPr>
            <w:tcW w:w="1568" w:type="dxa"/>
          </w:tcPr>
          <w:p w:rsidR="006B7962" w:rsidRPr="000F598B" w:rsidRDefault="008D3E8B" w:rsidP="00317E5B">
            <w:pPr>
              <w:contextualSpacing/>
              <w:rPr>
                <w:sz w:val="20"/>
                <w:szCs w:val="20"/>
              </w:rPr>
            </w:pPr>
            <w:r w:rsidRPr="008D3E8B">
              <w:rPr>
                <w:sz w:val="20"/>
                <w:szCs w:val="20"/>
              </w:rPr>
              <w:t>Equipes de suivi &amp; évaluation de l’ALE et de l’UC-PIF</w:t>
            </w:r>
          </w:p>
        </w:tc>
        <w:tc>
          <w:tcPr>
            <w:tcW w:w="3150" w:type="dxa"/>
            <w:gridSpan w:val="2"/>
            <w:vAlign w:val="center"/>
          </w:tcPr>
          <w:p w:rsidR="006B7962" w:rsidRPr="000F598B" w:rsidRDefault="006B7962" w:rsidP="00317E5B">
            <w:pPr>
              <w:contextualSpacing/>
              <w:rPr>
                <w:sz w:val="20"/>
                <w:szCs w:val="20"/>
              </w:rPr>
            </w:pPr>
          </w:p>
        </w:tc>
      </w:tr>
      <w:tr w:rsidR="00ED729E" w:rsidRPr="000F598B" w:rsidTr="00ED144B">
        <w:trPr>
          <w:trHeight w:val="355"/>
          <w:jc w:val="center"/>
        </w:trPr>
        <w:tc>
          <w:tcPr>
            <w:tcW w:w="2641" w:type="dxa"/>
            <w:vMerge/>
            <w:vAlign w:val="center"/>
          </w:tcPr>
          <w:p w:rsidR="006B7962" w:rsidRPr="006B7962" w:rsidRDefault="006B7962" w:rsidP="00317E5B">
            <w:pPr>
              <w:contextualSpacing/>
              <w:rPr>
                <w:rFonts w:cs="Times New Roman"/>
                <w:b/>
                <w:sz w:val="20"/>
                <w:szCs w:val="20"/>
              </w:rPr>
            </w:pPr>
          </w:p>
        </w:tc>
        <w:tc>
          <w:tcPr>
            <w:tcW w:w="1404" w:type="dxa"/>
            <w:vMerge/>
            <w:vAlign w:val="center"/>
          </w:tcPr>
          <w:p w:rsidR="006B7962" w:rsidRPr="006B7962" w:rsidRDefault="006B7962" w:rsidP="006B7962">
            <w:pPr>
              <w:rPr>
                <w:rFonts w:cs="Times New Roman"/>
                <w:sz w:val="20"/>
                <w:szCs w:val="20"/>
              </w:rPr>
            </w:pPr>
          </w:p>
        </w:tc>
        <w:tc>
          <w:tcPr>
            <w:tcW w:w="2122" w:type="dxa"/>
            <w:vMerge/>
            <w:vAlign w:val="center"/>
          </w:tcPr>
          <w:p w:rsidR="006B7962" w:rsidRDefault="006B7962" w:rsidP="00317E5B">
            <w:pPr>
              <w:contextualSpacing/>
              <w:rPr>
                <w:sz w:val="20"/>
                <w:szCs w:val="20"/>
              </w:rPr>
            </w:pPr>
          </w:p>
        </w:tc>
        <w:tc>
          <w:tcPr>
            <w:tcW w:w="1568" w:type="dxa"/>
            <w:vAlign w:val="center"/>
          </w:tcPr>
          <w:p w:rsidR="006B7962" w:rsidRPr="006B7962" w:rsidRDefault="00337AB6" w:rsidP="002000E1">
            <w:pPr>
              <w:contextualSpacing/>
              <w:jc w:val="center"/>
              <w:rPr>
                <w:sz w:val="16"/>
                <w:szCs w:val="16"/>
              </w:rPr>
            </w:pPr>
            <w:r>
              <w:rPr>
                <w:sz w:val="16"/>
                <w:szCs w:val="16"/>
              </w:rPr>
              <w:t>2017 : 0.06</w:t>
            </w:r>
            <w:r w:rsidR="00DD2DA0">
              <w:rPr>
                <w:sz w:val="16"/>
                <w:szCs w:val="16"/>
              </w:rPr>
              <w:t>0</w:t>
            </w:r>
            <w:r w:rsidR="006B7962" w:rsidRPr="006B7962">
              <w:rPr>
                <w:sz w:val="16"/>
                <w:szCs w:val="16"/>
              </w:rPr>
              <w:t xml:space="preserve"> M $</w:t>
            </w:r>
          </w:p>
        </w:tc>
        <w:tc>
          <w:tcPr>
            <w:tcW w:w="1494" w:type="dxa"/>
            <w:vAlign w:val="center"/>
          </w:tcPr>
          <w:p w:rsidR="006B7962" w:rsidRPr="006B7962" w:rsidRDefault="00337AB6" w:rsidP="002000E1">
            <w:pPr>
              <w:contextualSpacing/>
              <w:jc w:val="center"/>
              <w:rPr>
                <w:sz w:val="16"/>
                <w:szCs w:val="16"/>
              </w:rPr>
            </w:pPr>
            <w:r>
              <w:rPr>
                <w:sz w:val="16"/>
                <w:szCs w:val="16"/>
              </w:rPr>
              <w:t>2018 : 0.06</w:t>
            </w:r>
            <w:r w:rsidR="00DD2DA0">
              <w:rPr>
                <w:sz w:val="16"/>
                <w:szCs w:val="16"/>
              </w:rPr>
              <w:t>0</w:t>
            </w:r>
            <w:r w:rsidR="006B7962" w:rsidRPr="006B7962">
              <w:rPr>
                <w:sz w:val="16"/>
                <w:szCs w:val="16"/>
              </w:rPr>
              <w:t xml:space="preserve"> M $</w:t>
            </w:r>
          </w:p>
        </w:tc>
        <w:tc>
          <w:tcPr>
            <w:tcW w:w="1656" w:type="dxa"/>
            <w:vAlign w:val="center"/>
          </w:tcPr>
          <w:p w:rsidR="006B7962" w:rsidRPr="006B7962" w:rsidRDefault="00337AB6" w:rsidP="002000E1">
            <w:pPr>
              <w:contextualSpacing/>
              <w:jc w:val="center"/>
              <w:rPr>
                <w:sz w:val="16"/>
                <w:szCs w:val="16"/>
              </w:rPr>
            </w:pPr>
            <w:r>
              <w:rPr>
                <w:sz w:val="16"/>
                <w:szCs w:val="16"/>
              </w:rPr>
              <w:t>2019: 0.06</w:t>
            </w:r>
            <w:r w:rsidR="00DD2DA0">
              <w:rPr>
                <w:sz w:val="16"/>
                <w:szCs w:val="16"/>
              </w:rPr>
              <w:t>0</w:t>
            </w:r>
            <w:r w:rsidR="006B7962" w:rsidRPr="006B7962">
              <w:rPr>
                <w:sz w:val="16"/>
                <w:szCs w:val="16"/>
              </w:rPr>
              <w:t xml:space="preserve"> M $</w:t>
            </w:r>
          </w:p>
        </w:tc>
      </w:tr>
      <w:tr w:rsidR="00A041B0" w:rsidRPr="000F598B" w:rsidTr="00ED144B">
        <w:trPr>
          <w:trHeight w:val="1790"/>
          <w:jc w:val="center"/>
        </w:trPr>
        <w:tc>
          <w:tcPr>
            <w:tcW w:w="2641" w:type="dxa"/>
            <w:vMerge w:val="restart"/>
          </w:tcPr>
          <w:p w:rsidR="00A041B0" w:rsidRPr="00A041B0" w:rsidRDefault="00C1687E" w:rsidP="006B7962">
            <w:pPr>
              <w:contextualSpacing/>
              <w:rPr>
                <w:rFonts w:cs="Times New Roman"/>
                <w:b/>
                <w:sz w:val="20"/>
                <w:szCs w:val="20"/>
              </w:rPr>
            </w:pPr>
            <w:r>
              <w:rPr>
                <w:rFonts w:cs="Times New Roman"/>
                <w:b/>
                <w:sz w:val="20"/>
                <w:szCs w:val="20"/>
              </w:rPr>
              <w:t>R7</w:t>
            </w:r>
            <w:r w:rsidR="00BD17FE">
              <w:rPr>
                <w:rFonts w:cs="Times New Roman"/>
                <w:b/>
                <w:sz w:val="20"/>
                <w:szCs w:val="20"/>
              </w:rPr>
              <w:t> : D</w:t>
            </w:r>
            <w:r w:rsidR="00A041B0" w:rsidRPr="00A041B0">
              <w:rPr>
                <w:rFonts w:cs="Times New Roman"/>
                <w:b/>
                <w:sz w:val="20"/>
                <w:szCs w:val="20"/>
              </w:rPr>
              <w:t xml:space="preserve">émographie </w:t>
            </w:r>
          </w:p>
          <w:p w:rsidR="00974F59" w:rsidRPr="000F598B" w:rsidRDefault="00974F59" w:rsidP="006B7962">
            <w:pPr>
              <w:contextualSpacing/>
              <w:rPr>
                <w:rFonts w:cs="Times New Roman"/>
                <w:sz w:val="20"/>
                <w:szCs w:val="20"/>
              </w:rPr>
            </w:pPr>
            <w:r w:rsidRPr="00974F59">
              <w:rPr>
                <w:rFonts w:cs="Times New Roman"/>
                <w:sz w:val="20"/>
                <w:szCs w:val="20"/>
              </w:rPr>
              <w:t>Ménages agricoles du District du Mai-Ndombe ayant bénéficié de programmes de sensibilisation à la planification familiale</w:t>
            </w:r>
            <w:r>
              <w:t xml:space="preserve"> </w:t>
            </w:r>
            <w:r w:rsidRPr="00974F59">
              <w:rPr>
                <w:rFonts w:cs="Times New Roman"/>
                <w:sz w:val="20"/>
                <w:szCs w:val="20"/>
              </w:rPr>
              <w:t xml:space="preserve">et à la </w:t>
            </w:r>
            <w:r w:rsidRPr="00974F59">
              <w:rPr>
                <w:rFonts w:cs="Times New Roman"/>
                <w:sz w:val="20"/>
                <w:szCs w:val="20"/>
              </w:rPr>
              <w:lastRenderedPageBreak/>
              <w:t>prévention d'Ebola et du VIH SIDA</w:t>
            </w:r>
          </w:p>
        </w:tc>
        <w:tc>
          <w:tcPr>
            <w:tcW w:w="1404" w:type="dxa"/>
            <w:vMerge w:val="restart"/>
            <w:vAlign w:val="center"/>
          </w:tcPr>
          <w:p w:rsidR="00A041B0" w:rsidRPr="000F598B" w:rsidRDefault="00974F59" w:rsidP="002000E1">
            <w:pPr>
              <w:contextualSpacing/>
              <w:jc w:val="center"/>
              <w:rPr>
                <w:sz w:val="20"/>
                <w:szCs w:val="20"/>
              </w:rPr>
            </w:pPr>
            <w:r>
              <w:rPr>
                <w:sz w:val="20"/>
                <w:szCs w:val="20"/>
              </w:rPr>
              <w:lastRenderedPageBreak/>
              <w:t>Nombre</w:t>
            </w:r>
          </w:p>
        </w:tc>
        <w:tc>
          <w:tcPr>
            <w:tcW w:w="2122" w:type="dxa"/>
            <w:vMerge w:val="restart"/>
            <w:vAlign w:val="center"/>
          </w:tcPr>
          <w:p w:rsidR="00A041B0" w:rsidRPr="000F598B" w:rsidRDefault="00974F59" w:rsidP="003B62FA">
            <w:pPr>
              <w:contextualSpacing/>
              <w:jc w:val="center"/>
              <w:rPr>
                <w:sz w:val="20"/>
                <w:szCs w:val="20"/>
              </w:rPr>
            </w:pPr>
            <w:r>
              <w:rPr>
                <w:sz w:val="20"/>
                <w:szCs w:val="20"/>
              </w:rPr>
              <w:t xml:space="preserve">0 </w:t>
            </w:r>
            <w:r w:rsidR="00EE0CA3">
              <w:rPr>
                <w:sz w:val="20"/>
                <w:szCs w:val="20"/>
              </w:rPr>
              <w:t>-</w:t>
            </w:r>
            <w:r>
              <w:rPr>
                <w:sz w:val="20"/>
                <w:szCs w:val="20"/>
              </w:rPr>
              <w:t xml:space="preserve"> 180 000</w:t>
            </w:r>
          </w:p>
        </w:tc>
        <w:tc>
          <w:tcPr>
            <w:tcW w:w="1568" w:type="dxa"/>
            <w:vAlign w:val="center"/>
          </w:tcPr>
          <w:p w:rsidR="00A041B0" w:rsidRPr="000F598B" w:rsidRDefault="008D3E8B" w:rsidP="00152724">
            <w:pPr>
              <w:contextualSpacing/>
              <w:rPr>
                <w:sz w:val="20"/>
                <w:szCs w:val="20"/>
              </w:rPr>
            </w:pPr>
            <w:r w:rsidRPr="008D3E8B">
              <w:rPr>
                <w:sz w:val="20"/>
                <w:szCs w:val="20"/>
              </w:rPr>
              <w:t>Equipes de suivi &amp; évaluation de l’ALE et de l’UC-PIF</w:t>
            </w:r>
          </w:p>
        </w:tc>
        <w:tc>
          <w:tcPr>
            <w:tcW w:w="3150" w:type="dxa"/>
            <w:gridSpan w:val="2"/>
            <w:vAlign w:val="center"/>
          </w:tcPr>
          <w:p w:rsidR="00A041B0" w:rsidRPr="000F598B" w:rsidRDefault="00A041B0" w:rsidP="00152724">
            <w:pPr>
              <w:contextualSpacing/>
              <w:rPr>
                <w:sz w:val="20"/>
                <w:szCs w:val="20"/>
              </w:rPr>
            </w:pPr>
          </w:p>
        </w:tc>
      </w:tr>
      <w:tr w:rsidR="00ED729E" w:rsidRPr="000F598B" w:rsidTr="00ED144B">
        <w:trPr>
          <w:trHeight w:val="373"/>
          <w:jc w:val="center"/>
        </w:trPr>
        <w:tc>
          <w:tcPr>
            <w:tcW w:w="2641" w:type="dxa"/>
            <w:vMerge/>
            <w:vAlign w:val="center"/>
          </w:tcPr>
          <w:p w:rsidR="00A041B0" w:rsidRPr="00A041B0" w:rsidRDefault="00A041B0" w:rsidP="006B7962">
            <w:pPr>
              <w:contextualSpacing/>
              <w:rPr>
                <w:rFonts w:cs="Times New Roman"/>
                <w:b/>
                <w:sz w:val="20"/>
                <w:szCs w:val="20"/>
              </w:rPr>
            </w:pPr>
          </w:p>
        </w:tc>
        <w:tc>
          <w:tcPr>
            <w:tcW w:w="1404" w:type="dxa"/>
            <w:vMerge/>
            <w:vAlign w:val="center"/>
          </w:tcPr>
          <w:p w:rsidR="00A041B0" w:rsidRPr="000F598B" w:rsidRDefault="00A041B0" w:rsidP="00152724">
            <w:pPr>
              <w:contextualSpacing/>
              <w:rPr>
                <w:sz w:val="20"/>
                <w:szCs w:val="20"/>
              </w:rPr>
            </w:pPr>
          </w:p>
        </w:tc>
        <w:tc>
          <w:tcPr>
            <w:tcW w:w="2122" w:type="dxa"/>
            <w:vMerge/>
            <w:vAlign w:val="center"/>
          </w:tcPr>
          <w:p w:rsidR="00A041B0" w:rsidRDefault="00A041B0" w:rsidP="00152724">
            <w:pPr>
              <w:contextualSpacing/>
              <w:rPr>
                <w:sz w:val="20"/>
                <w:szCs w:val="20"/>
              </w:rPr>
            </w:pPr>
          </w:p>
        </w:tc>
        <w:tc>
          <w:tcPr>
            <w:tcW w:w="1568" w:type="dxa"/>
            <w:vAlign w:val="center"/>
          </w:tcPr>
          <w:p w:rsidR="00A041B0" w:rsidRPr="00A041B0" w:rsidRDefault="00337AB6" w:rsidP="002000E1">
            <w:pPr>
              <w:contextualSpacing/>
              <w:jc w:val="center"/>
              <w:rPr>
                <w:sz w:val="16"/>
                <w:szCs w:val="16"/>
              </w:rPr>
            </w:pPr>
            <w:r>
              <w:rPr>
                <w:sz w:val="16"/>
                <w:szCs w:val="16"/>
              </w:rPr>
              <w:t>2017 : 0.1</w:t>
            </w:r>
            <w:r w:rsidR="00DD2DA0">
              <w:rPr>
                <w:sz w:val="16"/>
                <w:szCs w:val="16"/>
              </w:rPr>
              <w:t>56</w:t>
            </w:r>
            <w:r w:rsidR="00A041B0" w:rsidRPr="00A041B0">
              <w:rPr>
                <w:sz w:val="16"/>
                <w:szCs w:val="16"/>
              </w:rPr>
              <w:t xml:space="preserve"> M $</w:t>
            </w:r>
          </w:p>
        </w:tc>
        <w:tc>
          <w:tcPr>
            <w:tcW w:w="1494" w:type="dxa"/>
            <w:vAlign w:val="center"/>
          </w:tcPr>
          <w:p w:rsidR="00A041B0" w:rsidRPr="00A041B0" w:rsidRDefault="00A041B0" w:rsidP="002000E1">
            <w:pPr>
              <w:contextualSpacing/>
              <w:jc w:val="center"/>
              <w:rPr>
                <w:sz w:val="16"/>
                <w:szCs w:val="16"/>
              </w:rPr>
            </w:pPr>
            <w:r>
              <w:rPr>
                <w:sz w:val="16"/>
                <w:szCs w:val="16"/>
              </w:rPr>
              <w:t>2018</w:t>
            </w:r>
            <w:r w:rsidR="00337AB6">
              <w:rPr>
                <w:sz w:val="16"/>
                <w:szCs w:val="16"/>
              </w:rPr>
              <w:t xml:space="preserve"> : 0.1</w:t>
            </w:r>
            <w:r w:rsidR="00DD2DA0">
              <w:rPr>
                <w:sz w:val="16"/>
                <w:szCs w:val="16"/>
              </w:rPr>
              <w:t>56</w:t>
            </w:r>
            <w:r w:rsidRPr="00A041B0">
              <w:rPr>
                <w:sz w:val="16"/>
                <w:szCs w:val="16"/>
              </w:rPr>
              <w:t xml:space="preserve"> M $</w:t>
            </w:r>
          </w:p>
        </w:tc>
        <w:tc>
          <w:tcPr>
            <w:tcW w:w="1656" w:type="dxa"/>
            <w:vAlign w:val="center"/>
          </w:tcPr>
          <w:p w:rsidR="00A041B0" w:rsidRPr="00A041B0" w:rsidRDefault="00A041B0" w:rsidP="002000E1">
            <w:pPr>
              <w:contextualSpacing/>
              <w:jc w:val="center"/>
              <w:rPr>
                <w:sz w:val="16"/>
                <w:szCs w:val="16"/>
              </w:rPr>
            </w:pPr>
            <w:r>
              <w:rPr>
                <w:sz w:val="16"/>
                <w:szCs w:val="16"/>
              </w:rPr>
              <w:t>2018</w:t>
            </w:r>
            <w:r w:rsidR="00337AB6">
              <w:rPr>
                <w:sz w:val="16"/>
                <w:szCs w:val="16"/>
              </w:rPr>
              <w:t xml:space="preserve"> : 0.1</w:t>
            </w:r>
            <w:r w:rsidR="00DD2DA0">
              <w:rPr>
                <w:sz w:val="16"/>
                <w:szCs w:val="16"/>
              </w:rPr>
              <w:t>56</w:t>
            </w:r>
            <w:r w:rsidRPr="00A041B0">
              <w:rPr>
                <w:sz w:val="16"/>
                <w:szCs w:val="16"/>
              </w:rPr>
              <w:t xml:space="preserve"> M $</w:t>
            </w:r>
          </w:p>
        </w:tc>
      </w:tr>
      <w:tr w:rsidR="00A041B0" w:rsidRPr="000F598B" w:rsidTr="00ED144B">
        <w:trPr>
          <w:trHeight w:val="1511"/>
          <w:jc w:val="center"/>
        </w:trPr>
        <w:tc>
          <w:tcPr>
            <w:tcW w:w="2641" w:type="dxa"/>
            <w:vMerge w:val="restart"/>
          </w:tcPr>
          <w:p w:rsidR="00125B32" w:rsidRDefault="00C1687E" w:rsidP="00ED144B">
            <w:pPr>
              <w:spacing w:after="0"/>
              <w:contextualSpacing/>
              <w:rPr>
                <w:rFonts w:cs="Times New Roman"/>
                <w:b/>
                <w:sz w:val="20"/>
                <w:szCs w:val="20"/>
              </w:rPr>
            </w:pPr>
            <w:r>
              <w:rPr>
                <w:rFonts w:cs="Times New Roman"/>
                <w:b/>
                <w:sz w:val="20"/>
                <w:szCs w:val="20"/>
              </w:rPr>
              <w:t>R8</w:t>
            </w:r>
            <w:r w:rsidR="00BD17FE">
              <w:rPr>
                <w:rFonts w:cs="Times New Roman"/>
                <w:b/>
                <w:sz w:val="20"/>
                <w:szCs w:val="20"/>
              </w:rPr>
              <w:t> : G</w:t>
            </w:r>
            <w:r w:rsidR="00A041B0" w:rsidRPr="00A041B0">
              <w:rPr>
                <w:rFonts w:cs="Times New Roman"/>
                <w:b/>
                <w:sz w:val="20"/>
                <w:szCs w:val="20"/>
              </w:rPr>
              <w:t>ouvernance</w:t>
            </w:r>
          </w:p>
          <w:p w:rsidR="00A041B0" w:rsidRDefault="00A041B0" w:rsidP="00ED144B">
            <w:pPr>
              <w:spacing w:after="0"/>
              <w:contextualSpacing/>
              <w:rPr>
                <w:rFonts w:cs="Times New Roman"/>
                <w:sz w:val="20"/>
                <w:szCs w:val="20"/>
              </w:rPr>
            </w:pPr>
            <w:r w:rsidRPr="00A041B0">
              <w:rPr>
                <w:rFonts w:cs="Times New Roman"/>
                <w:sz w:val="20"/>
                <w:szCs w:val="20"/>
              </w:rPr>
              <w:t>Appui aux CARTs du district de Mai-Ndombe</w:t>
            </w:r>
          </w:p>
          <w:p w:rsidR="00125B32" w:rsidRDefault="00125B32" w:rsidP="00ED144B">
            <w:pPr>
              <w:spacing w:after="0"/>
              <w:contextualSpacing/>
              <w:rPr>
                <w:rFonts w:cs="Times New Roman"/>
                <w:sz w:val="20"/>
                <w:szCs w:val="20"/>
              </w:rPr>
            </w:pPr>
          </w:p>
          <w:p w:rsidR="00125B32" w:rsidRPr="00A041B0" w:rsidRDefault="00125B32" w:rsidP="00ED144B">
            <w:pPr>
              <w:spacing w:after="0"/>
              <w:contextualSpacing/>
              <w:rPr>
                <w:rFonts w:cs="Times New Roman"/>
                <w:sz w:val="20"/>
                <w:szCs w:val="20"/>
              </w:rPr>
            </w:pPr>
            <w:r w:rsidRPr="00125B32">
              <w:rPr>
                <w:rFonts w:cs="Times New Roman"/>
                <w:sz w:val="20"/>
                <w:szCs w:val="20"/>
              </w:rPr>
              <w:t>Participants à des activités de concertation durant la phase de mise en œuvre du projet</w:t>
            </w:r>
          </w:p>
        </w:tc>
        <w:tc>
          <w:tcPr>
            <w:tcW w:w="1404" w:type="dxa"/>
            <w:vMerge w:val="restart"/>
            <w:vAlign w:val="center"/>
          </w:tcPr>
          <w:p w:rsidR="00A041B0" w:rsidRDefault="00A041B0" w:rsidP="00ED144B">
            <w:pPr>
              <w:spacing w:after="0"/>
              <w:contextualSpacing/>
              <w:jc w:val="center"/>
              <w:rPr>
                <w:sz w:val="20"/>
                <w:szCs w:val="20"/>
              </w:rPr>
            </w:pPr>
            <w:r>
              <w:rPr>
                <w:sz w:val="20"/>
                <w:szCs w:val="20"/>
              </w:rPr>
              <w:t>Nombre de CARTs impliqués</w:t>
            </w:r>
          </w:p>
          <w:p w:rsidR="00125B32" w:rsidRDefault="00125B32" w:rsidP="00ED144B">
            <w:pPr>
              <w:spacing w:after="0"/>
              <w:contextualSpacing/>
              <w:jc w:val="center"/>
              <w:rPr>
                <w:sz w:val="20"/>
                <w:szCs w:val="20"/>
              </w:rPr>
            </w:pPr>
            <w:r>
              <w:rPr>
                <w:sz w:val="20"/>
                <w:szCs w:val="20"/>
              </w:rPr>
              <w:t>Nombre</w:t>
            </w:r>
          </w:p>
          <w:p w:rsidR="00125B32" w:rsidRDefault="00125B32" w:rsidP="00ED144B">
            <w:pPr>
              <w:spacing w:after="0"/>
              <w:contextualSpacing/>
              <w:jc w:val="center"/>
              <w:rPr>
                <w:sz w:val="20"/>
                <w:szCs w:val="20"/>
              </w:rPr>
            </w:pPr>
          </w:p>
          <w:p w:rsidR="00125B32" w:rsidRDefault="00125B32" w:rsidP="00ED144B">
            <w:pPr>
              <w:spacing w:after="0"/>
              <w:contextualSpacing/>
              <w:jc w:val="center"/>
              <w:rPr>
                <w:sz w:val="20"/>
                <w:szCs w:val="20"/>
              </w:rPr>
            </w:pPr>
          </w:p>
          <w:p w:rsidR="00125B32" w:rsidRPr="000F598B" w:rsidRDefault="00125B32" w:rsidP="00ED144B">
            <w:pPr>
              <w:spacing w:after="0"/>
              <w:contextualSpacing/>
              <w:rPr>
                <w:sz w:val="20"/>
                <w:szCs w:val="20"/>
              </w:rPr>
            </w:pPr>
          </w:p>
        </w:tc>
        <w:tc>
          <w:tcPr>
            <w:tcW w:w="2122" w:type="dxa"/>
            <w:vMerge w:val="restart"/>
            <w:vAlign w:val="center"/>
          </w:tcPr>
          <w:p w:rsidR="00125B32" w:rsidRDefault="00125B32" w:rsidP="00ED144B">
            <w:pPr>
              <w:spacing w:after="0"/>
              <w:contextualSpacing/>
              <w:jc w:val="center"/>
              <w:rPr>
                <w:sz w:val="20"/>
                <w:szCs w:val="20"/>
              </w:rPr>
            </w:pPr>
          </w:p>
          <w:p w:rsidR="00125B32" w:rsidRDefault="00125B32" w:rsidP="00ED144B">
            <w:pPr>
              <w:spacing w:after="0"/>
              <w:contextualSpacing/>
              <w:jc w:val="center"/>
              <w:rPr>
                <w:sz w:val="20"/>
                <w:szCs w:val="20"/>
              </w:rPr>
            </w:pPr>
          </w:p>
          <w:p w:rsidR="00A041B0" w:rsidRDefault="00A041B0" w:rsidP="00ED144B">
            <w:pPr>
              <w:spacing w:after="0"/>
              <w:contextualSpacing/>
              <w:jc w:val="center"/>
              <w:rPr>
                <w:sz w:val="20"/>
                <w:szCs w:val="20"/>
              </w:rPr>
            </w:pPr>
            <w:r>
              <w:rPr>
                <w:sz w:val="20"/>
                <w:szCs w:val="20"/>
              </w:rPr>
              <w:t xml:space="preserve">0 </w:t>
            </w:r>
            <w:r w:rsidR="00125B32">
              <w:rPr>
                <w:sz w:val="20"/>
                <w:szCs w:val="20"/>
              </w:rPr>
              <w:t xml:space="preserve">- </w:t>
            </w:r>
            <w:r w:rsidR="00C75874">
              <w:rPr>
                <w:sz w:val="20"/>
                <w:szCs w:val="20"/>
              </w:rPr>
              <w:t>4</w:t>
            </w:r>
          </w:p>
          <w:p w:rsidR="00125B32" w:rsidRDefault="00125B32" w:rsidP="00ED144B">
            <w:pPr>
              <w:spacing w:after="0"/>
              <w:contextualSpacing/>
              <w:jc w:val="center"/>
              <w:rPr>
                <w:sz w:val="20"/>
                <w:szCs w:val="20"/>
              </w:rPr>
            </w:pPr>
          </w:p>
          <w:p w:rsidR="00125B32" w:rsidRDefault="00125B32" w:rsidP="00ED144B">
            <w:pPr>
              <w:spacing w:after="0"/>
              <w:contextualSpacing/>
              <w:jc w:val="center"/>
              <w:rPr>
                <w:sz w:val="20"/>
                <w:szCs w:val="20"/>
              </w:rPr>
            </w:pPr>
          </w:p>
          <w:p w:rsidR="00125B32" w:rsidRDefault="00125B32" w:rsidP="00ED144B">
            <w:pPr>
              <w:spacing w:after="0"/>
              <w:contextualSpacing/>
              <w:jc w:val="center"/>
              <w:rPr>
                <w:sz w:val="20"/>
                <w:szCs w:val="20"/>
              </w:rPr>
            </w:pPr>
            <w:r>
              <w:rPr>
                <w:sz w:val="20"/>
                <w:szCs w:val="20"/>
              </w:rPr>
              <w:t>0 – 60 000 dont</w:t>
            </w:r>
          </w:p>
          <w:p w:rsidR="00125B32" w:rsidRDefault="00125B32" w:rsidP="00ED144B">
            <w:pPr>
              <w:spacing w:after="0"/>
              <w:contextualSpacing/>
              <w:jc w:val="center"/>
              <w:rPr>
                <w:sz w:val="20"/>
                <w:szCs w:val="20"/>
              </w:rPr>
            </w:pPr>
            <w:r>
              <w:rPr>
                <w:sz w:val="20"/>
                <w:szCs w:val="20"/>
              </w:rPr>
              <w:t>20 000 femmes</w:t>
            </w:r>
          </w:p>
        </w:tc>
        <w:tc>
          <w:tcPr>
            <w:tcW w:w="1568" w:type="dxa"/>
            <w:vAlign w:val="center"/>
          </w:tcPr>
          <w:p w:rsidR="00A041B0" w:rsidRPr="00810F14" w:rsidRDefault="008D3E8B" w:rsidP="00ED144B">
            <w:pPr>
              <w:spacing w:after="0"/>
              <w:contextualSpacing/>
              <w:rPr>
                <w:sz w:val="20"/>
                <w:szCs w:val="20"/>
              </w:rPr>
            </w:pPr>
            <w:r w:rsidRPr="008D3E8B">
              <w:rPr>
                <w:sz w:val="20"/>
                <w:szCs w:val="20"/>
              </w:rPr>
              <w:t>Equipes de suivi &amp; évaluation de l’ALE et de l’UC-PIF</w:t>
            </w:r>
          </w:p>
        </w:tc>
        <w:tc>
          <w:tcPr>
            <w:tcW w:w="3150" w:type="dxa"/>
            <w:gridSpan w:val="2"/>
            <w:vAlign w:val="center"/>
          </w:tcPr>
          <w:p w:rsidR="00A041B0" w:rsidRPr="00810F14" w:rsidRDefault="00A041B0" w:rsidP="00ED144B">
            <w:pPr>
              <w:spacing w:after="0"/>
              <w:contextualSpacing/>
              <w:rPr>
                <w:sz w:val="20"/>
                <w:szCs w:val="20"/>
              </w:rPr>
            </w:pPr>
          </w:p>
        </w:tc>
      </w:tr>
      <w:tr w:rsidR="00ED729E" w:rsidRPr="000F598B" w:rsidTr="00ED144B">
        <w:trPr>
          <w:trHeight w:val="373"/>
          <w:jc w:val="center"/>
        </w:trPr>
        <w:tc>
          <w:tcPr>
            <w:tcW w:w="2641" w:type="dxa"/>
            <w:vMerge/>
            <w:vAlign w:val="center"/>
          </w:tcPr>
          <w:p w:rsidR="00A041B0" w:rsidRPr="00A041B0" w:rsidRDefault="00A041B0" w:rsidP="006B7962">
            <w:pPr>
              <w:contextualSpacing/>
              <w:rPr>
                <w:rFonts w:cs="Times New Roman"/>
                <w:b/>
                <w:sz w:val="20"/>
                <w:szCs w:val="20"/>
              </w:rPr>
            </w:pPr>
          </w:p>
        </w:tc>
        <w:tc>
          <w:tcPr>
            <w:tcW w:w="1404" w:type="dxa"/>
            <w:vMerge/>
            <w:vAlign w:val="center"/>
          </w:tcPr>
          <w:p w:rsidR="00A041B0" w:rsidRPr="000F598B" w:rsidRDefault="00A041B0" w:rsidP="00152724">
            <w:pPr>
              <w:contextualSpacing/>
              <w:rPr>
                <w:sz w:val="20"/>
                <w:szCs w:val="20"/>
              </w:rPr>
            </w:pPr>
          </w:p>
        </w:tc>
        <w:tc>
          <w:tcPr>
            <w:tcW w:w="2122" w:type="dxa"/>
            <w:vMerge/>
            <w:vAlign w:val="center"/>
          </w:tcPr>
          <w:p w:rsidR="00A041B0" w:rsidRDefault="00A041B0" w:rsidP="00152724">
            <w:pPr>
              <w:contextualSpacing/>
              <w:rPr>
                <w:sz w:val="20"/>
                <w:szCs w:val="20"/>
              </w:rPr>
            </w:pPr>
          </w:p>
        </w:tc>
        <w:tc>
          <w:tcPr>
            <w:tcW w:w="1568" w:type="dxa"/>
            <w:vAlign w:val="center"/>
          </w:tcPr>
          <w:p w:rsidR="00A041B0" w:rsidRPr="00A041B0" w:rsidRDefault="00337AB6" w:rsidP="002000E1">
            <w:pPr>
              <w:contextualSpacing/>
              <w:jc w:val="center"/>
              <w:rPr>
                <w:sz w:val="16"/>
                <w:szCs w:val="16"/>
              </w:rPr>
            </w:pPr>
            <w:r>
              <w:rPr>
                <w:sz w:val="16"/>
                <w:szCs w:val="16"/>
              </w:rPr>
              <w:t>2017 : 0.10</w:t>
            </w:r>
            <w:r w:rsidR="00DD2DA0">
              <w:rPr>
                <w:sz w:val="16"/>
                <w:szCs w:val="16"/>
              </w:rPr>
              <w:t>9</w:t>
            </w:r>
            <w:r w:rsidR="00A041B0" w:rsidRPr="00A041B0">
              <w:rPr>
                <w:sz w:val="16"/>
                <w:szCs w:val="16"/>
              </w:rPr>
              <w:t xml:space="preserve"> M $</w:t>
            </w:r>
          </w:p>
        </w:tc>
        <w:tc>
          <w:tcPr>
            <w:tcW w:w="1494" w:type="dxa"/>
            <w:vAlign w:val="center"/>
          </w:tcPr>
          <w:p w:rsidR="00A041B0" w:rsidRPr="00A041B0" w:rsidRDefault="00337AB6" w:rsidP="002000E1">
            <w:pPr>
              <w:contextualSpacing/>
              <w:jc w:val="center"/>
              <w:rPr>
                <w:sz w:val="16"/>
                <w:szCs w:val="16"/>
              </w:rPr>
            </w:pPr>
            <w:r>
              <w:rPr>
                <w:sz w:val="16"/>
                <w:szCs w:val="16"/>
              </w:rPr>
              <w:t>2018 : 0.10</w:t>
            </w:r>
            <w:r w:rsidR="00DD2DA0">
              <w:rPr>
                <w:sz w:val="16"/>
                <w:szCs w:val="16"/>
              </w:rPr>
              <w:t>9</w:t>
            </w:r>
            <w:r w:rsidR="00A041B0" w:rsidRPr="00A041B0">
              <w:rPr>
                <w:sz w:val="16"/>
                <w:szCs w:val="16"/>
              </w:rPr>
              <w:t xml:space="preserve"> M $</w:t>
            </w:r>
          </w:p>
        </w:tc>
        <w:tc>
          <w:tcPr>
            <w:tcW w:w="1656" w:type="dxa"/>
            <w:vAlign w:val="center"/>
          </w:tcPr>
          <w:p w:rsidR="00A041B0" w:rsidRPr="00A041B0" w:rsidRDefault="00A041B0" w:rsidP="002000E1">
            <w:pPr>
              <w:contextualSpacing/>
              <w:jc w:val="center"/>
              <w:rPr>
                <w:sz w:val="16"/>
                <w:szCs w:val="16"/>
              </w:rPr>
            </w:pPr>
            <w:r>
              <w:rPr>
                <w:sz w:val="16"/>
                <w:szCs w:val="16"/>
              </w:rPr>
              <w:t>2019</w:t>
            </w:r>
            <w:r w:rsidR="00337AB6">
              <w:rPr>
                <w:sz w:val="16"/>
                <w:szCs w:val="16"/>
              </w:rPr>
              <w:t xml:space="preserve"> : 0.10</w:t>
            </w:r>
            <w:r w:rsidR="00DD2DA0">
              <w:rPr>
                <w:sz w:val="16"/>
                <w:szCs w:val="16"/>
              </w:rPr>
              <w:t>9</w:t>
            </w:r>
            <w:r w:rsidRPr="00A041B0">
              <w:rPr>
                <w:sz w:val="16"/>
                <w:szCs w:val="16"/>
              </w:rPr>
              <w:t xml:space="preserve"> M $</w:t>
            </w:r>
          </w:p>
        </w:tc>
      </w:tr>
      <w:tr w:rsidR="00271ADF" w:rsidRPr="000F598B" w:rsidTr="00ED144B">
        <w:trPr>
          <w:trHeight w:val="6245"/>
          <w:jc w:val="center"/>
        </w:trPr>
        <w:tc>
          <w:tcPr>
            <w:tcW w:w="2641" w:type="dxa"/>
            <w:vMerge w:val="restart"/>
          </w:tcPr>
          <w:p w:rsidR="00271ADF" w:rsidRDefault="008D3E8B" w:rsidP="00666166">
            <w:pPr>
              <w:spacing w:after="0"/>
              <w:contextualSpacing/>
              <w:rPr>
                <w:rFonts w:cs="Times New Roman"/>
                <w:b/>
                <w:sz w:val="20"/>
                <w:szCs w:val="20"/>
              </w:rPr>
            </w:pPr>
            <w:r>
              <w:rPr>
                <w:rFonts w:cs="Times New Roman"/>
                <w:b/>
                <w:sz w:val="20"/>
                <w:szCs w:val="20"/>
              </w:rPr>
              <w:t xml:space="preserve">Autres </w:t>
            </w:r>
            <w:r w:rsidR="00F12A99">
              <w:rPr>
                <w:rFonts w:cs="Times New Roman"/>
                <w:b/>
                <w:sz w:val="20"/>
                <w:szCs w:val="20"/>
              </w:rPr>
              <w:t>résultats</w:t>
            </w:r>
          </w:p>
          <w:p w:rsidR="00271ADF" w:rsidRDefault="00542C30" w:rsidP="00666166">
            <w:pPr>
              <w:spacing w:after="0"/>
              <w:contextualSpacing/>
              <w:rPr>
                <w:rFonts w:cs="Times New Roman"/>
                <w:sz w:val="20"/>
                <w:szCs w:val="20"/>
              </w:rPr>
            </w:pPr>
            <w:r>
              <w:rPr>
                <w:rFonts w:cs="Times New Roman"/>
                <w:sz w:val="20"/>
                <w:szCs w:val="20"/>
              </w:rPr>
              <w:t>R9</w:t>
            </w:r>
            <w:r w:rsidR="00BD17FE">
              <w:rPr>
                <w:rFonts w:cs="Times New Roman"/>
                <w:sz w:val="20"/>
                <w:szCs w:val="20"/>
              </w:rPr>
              <w:t xml:space="preserve"> : </w:t>
            </w:r>
            <w:r w:rsidR="00271ADF">
              <w:rPr>
                <w:rFonts w:cs="Times New Roman"/>
                <w:sz w:val="20"/>
                <w:szCs w:val="20"/>
              </w:rPr>
              <w:t>Mise en œuvre d’un plan pour les Peuples</w:t>
            </w:r>
            <w:r w:rsidR="003B62FA">
              <w:rPr>
                <w:rFonts w:cs="Times New Roman"/>
                <w:sz w:val="20"/>
                <w:szCs w:val="20"/>
              </w:rPr>
              <w:t xml:space="preserve"> </w:t>
            </w:r>
            <w:r w:rsidR="00271ADF">
              <w:rPr>
                <w:rFonts w:cs="Times New Roman"/>
                <w:sz w:val="20"/>
                <w:szCs w:val="20"/>
              </w:rPr>
              <w:t>Autochtones : réalisation de microprojets</w:t>
            </w:r>
          </w:p>
          <w:p w:rsidR="00271ADF" w:rsidRDefault="00271ADF" w:rsidP="00666166">
            <w:pPr>
              <w:spacing w:after="0"/>
              <w:contextualSpacing/>
              <w:rPr>
                <w:rFonts w:cs="Times New Roman"/>
                <w:sz w:val="20"/>
                <w:szCs w:val="20"/>
              </w:rPr>
            </w:pPr>
          </w:p>
          <w:p w:rsidR="00271ADF" w:rsidRDefault="00542C30" w:rsidP="00666166">
            <w:pPr>
              <w:spacing w:after="0"/>
              <w:contextualSpacing/>
              <w:rPr>
                <w:rFonts w:cs="Times New Roman"/>
                <w:sz w:val="20"/>
                <w:szCs w:val="20"/>
              </w:rPr>
            </w:pPr>
            <w:r>
              <w:rPr>
                <w:rFonts w:cs="Times New Roman"/>
                <w:sz w:val="20"/>
                <w:szCs w:val="20"/>
              </w:rPr>
              <w:t>R10</w:t>
            </w:r>
            <w:r w:rsidR="00BD17FE">
              <w:rPr>
                <w:rFonts w:cs="Times New Roman"/>
                <w:sz w:val="20"/>
                <w:szCs w:val="20"/>
              </w:rPr>
              <w:t xml:space="preserve"> </w:t>
            </w:r>
            <w:r w:rsidR="00271ADF" w:rsidRPr="00271ADF">
              <w:rPr>
                <w:rFonts w:cs="Times New Roman"/>
                <w:sz w:val="20"/>
                <w:szCs w:val="20"/>
              </w:rPr>
              <w:t>Soutien au développement de filières (café, cacao, hévéa, huile de palme)</w:t>
            </w:r>
          </w:p>
          <w:p w:rsidR="00271ADF" w:rsidRDefault="00271ADF" w:rsidP="00666166">
            <w:pPr>
              <w:spacing w:after="0"/>
              <w:contextualSpacing/>
              <w:rPr>
                <w:rFonts w:cs="Times New Roman"/>
                <w:sz w:val="20"/>
                <w:szCs w:val="20"/>
              </w:rPr>
            </w:pPr>
          </w:p>
          <w:p w:rsidR="00271ADF" w:rsidRDefault="00542C30" w:rsidP="00666166">
            <w:pPr>
              <w:spacing w:after="0"/>
              <w:contextualSpacing/>
              <w:rPr>
                <w:rFonts w:cs="Times New Roman"/>
                <w:sz w:val="20"/>
                <w:szCs w:val="20"/>
              </w:rPr>
            </w:pPr>
            <w:r>
              <w:rPr>
                <w:rFonts w:cs="Times New Roman"/>
                <w:sz w:val="20"/>
                <w:szCs w:val="20"/>
              </w:rPr>
              <w:t>R11</w:t>
            </w:r>
            <w:r w:rsidR="00BD17FE">
              <w:rPr>
                <w:rFonts w:cs="Times New Roman"/>
                <w:sz w:val="20"/>
                <w:szCs w:val="20"/>
              </w:rPr>
              <w:t xml:space="preserve"> : </w:t>
            </w:r>
            <w:r w:rsidR="00271ADF" w:rsidRPr="00271ADF">
              <w:rPr>
                <w:rFonts w:cs="Times New Roman"/>
                <w:sz w:val="20"/>
                <w:szCs w:val="20"/>
              </w:rPr>
              <w:t>Soutien au développement d'une pêche responsable et autres investissements pour soutenir la mise en œuvre des PDD</w:t>
            </w:r>
            <w:r w:rsidR="00A5055A">
              <w:rPr>
                <w:rFonts w:cs="Times New Roman"/>
                <w:sz w:val="20"/>
                <w:szCs w:val="20"/>
              </w:rPr>
              <w:t xml:space="preserve"> (</w:t>
            </w:r>
            <w:r w:rsidR="00A5055A" w:rsidRPr="00A5055A">
              <w:rPr>
                <w:rFonts w:cs="Times New Roman"/>
                <w:sz w:val="20"/>
                <w:szCs w:val="20"/>
              </w:rPr>
              <w:t>Création d’étangs piscicoles</w:t>
            </w:r>
            <w:r w:rsidR="00A5055A">
              <w:rPr>
                <w:rFonts w:cs="Times New Roman"/>
                <w:sz w:val="20"/>
                <w:szCs w:val="20"/>
              </w:rPr>
              <w:t>, etc.)</w:t>
            </w:r>
          </w:p>
          <w:p w:rsidR="00271ADF" w:rsidRDefault="00271ADF" w:rsidP="00666166">
            <w:pPr>
              <w:spacing w:after="0"/>
              <w:contextualSpacing/>
              <w:rPr>
                <w:rFonts w:cs="Times New Roman"/>
                <w:sz w:val="20"/>
                <w:szCs w:val="20"/>
              </w:rPr>
            </w:pPr>
          </w:p>
          <w:p w:rsidR="00271ADF" w:rsidRPr="00271ADF" w:rsidRDefault="00542C30" w:rsidP="00666166">
            <w:pPr>
              <w:spacing w:after="0"/>
              <w:contextualSpacing/>
              <w:rPr>
                <w:rFonts w:cs="Times New Roman"/>
                <w:sz w:val="20"/>
                <w:szCs w:val="20"/>
              </w:rPr>
            </w:pPr>
            <w:r>
              <w:rPr>
                <w:rFonts w:cs="Times New Roman"/>
                <w:sz w:val="20"/>
                <w:szCs w:val="20"/>
              </w:rPr>
              <w:t>R12</w:t>
            </w:r>
            <w:r w:rsidR="00BD17FE">
              <w:rPr>
                <w:rFonts w:cs="Times New Roman"/>
                <w:sz w:val="20"/>
                <w:szCs w:val="20"/>
              </w:rPr>
              <w:t xml:space="preserve"> : </w:t>
            </w:r>
            <w:r w:rsidR="00271ADF" w:rsidRPr="00271ADF">
              <w:rPr>
                <w:rFonts w:cs="Times New Roman"/>
                <w:sz w:val="20"/>
                <w:szCs w:val="20"/>
              </w:rPr>
              <w:t>Investissements structurants</w:t>
            </w:r>
          </w:p>
        </w:tc>
        <w:tc>
          <w:tcPr>
            <w:tcW w:w="1404" w:type="dxa"/>
            <w:vMerge w:val="restart"/>
          </w:tcPr>
          <w:p w:rsidR="003B62FA" w:rsidRDefault="003B62FA">
            <w:pPr>
              <w:spacing w:after="0"/>
              <w:contextualSpacing/>
              <w:jc w:val="center"/>
              <w:rPr>
                <w:sz w:val="20"/>
                <w:szCs w:val="20"/>
              </w:rPr>
            </w:pPr>
          </w:p>
          <w:p w:rsidR="008D3E8B" w:rsidRDefault="00271ADF">
            <w:pPr>
              <w:spacing w:after="0"/>
              <w:contextualSpacing/>
              <w:jc w:val="center"/>
              <w:rPr>
                <w:sz w:val="20"/>
                <w:szCs w:val="20"/>
              </w:rPr>
            </w:pPr>
            <w:r>
              <w:rPr>
                <w:sz w:val="20"/>
                <w:szCs w:val="20"/>
              </w:rPr>
              <w:t>Nombre</w:t>
            </w:r>
            <w:r w:rsidR="00C75874">
              <w:rPr>
                <w:sz w:val="20"/>
                <w:szCs w:val="20"/>
              </w:rPr>
              <w:t xml:space="preserve"> de microprojets</w:t>
            </w:r>
          </w:p>
          <w:p w:rsidR="008D3E8B" w:rsidRDefault="008D3E8B" w:rsidP="00ED144B">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271ADF" w:rsidRDefault="00271ADF">
            <w:pPr>
              <w:spacing w:after="0"/>
              <w:contextualSpacing/>
              <w:jc w:val="center"/>
              <w:rPr>
                <w:sz w:val="20"/>
                <w:szCs w:val="20"/>
              </w:rPr>
            </w:pPr>
            <w:r>
              <w:rPr>
                <w:sz w:val="20"/>
                <w:szCs w:val="20"/>
              </w:rPr>
              <w:t xml:space="preserve">Nombre </w:t>
            </w:r>
            <w:r w:rsidR="00EE0CA3">
              <w:rPr>
                <w:sz w:val="20"/>
                <w:szCs w:val="20"/>
              </w:rPr>
              <w:t>de filières structurées</w:t>
            </w:r>
          </w:p>
          <w:p w:rsidR="008D3E8B" w:rsidRDefault="008D3E8B" w:rsidP="00ED144B">
            <w:pPr>
              <w:spacing w:after="0"/>
              <w:contextualSpacing/>
              <w:jc w:val="center"/>
              <w:rPr>
                <w:sz w:val="20"/>
                <w:szCs w:val="20"/>
              </w:rPr>
            </w:pPr>
          </w:p>
          <w:p w:rsidR="003B62FA" w:rsidRDefault="003B62FA" w:rsidP="00ED144B">
            <w:pPr>
              <w:spacing w:after="0"/>
              <w:contextualSpacing/>
              <w:jc w:val="center"/>
              <w:rPr>
                <w:sz w:val="20"/>
                <w:szCs w:val="20"/>
              </w:rPr>
            </w:pPr>
          </w:p>
          <w:p w:rsidR="00666166" w:rsidRDefault="00271ADF">
            <w:pPr>
              <w:spacing w:after="0"/>
              <w:contextualSpacing/>
              <w:jc w:val="center"/>
              <w:rPr>
                <w:sz w:val="20"/>
                <w:szCs w:val="20"/>
              </w:rPr>
            </w:pPr>
            <w:r>
              <w:rPr>
                <w:sz w:val="20"/>
                <w:szCs w:val="20"/>
              </w:rPr>
              <w:t>A préciser</w:t>
            </w:r>
          </w:p>
          <w:p w:rsidR="00666166" w:rsidRDefault="00666166" w:rsidP="00ED144B">
            <w:pPr>
              <w:spacing w:after="0"/>
              <w:contextualSpacing/>
              <w:jc w:val="center"/>
              <w:rPr>
                <w:sz w:val="20"/>
                <w:szCs w:val="20"/>
              </w:rPr>
            </w:pPr>
          </w:p>
          <w:p w:rsidR="00A5055A" w:rsidRDefault="00A5055A" w:rsidP="00ED144B">
            <w:pPr>
              <w:spacing w:after="0"/>
              <w:contextualSpacing/>
              <w:jc w:val="center"/>
              <w:rPr>
                <w:sz w:val="20"/>
                <w:szCs w:val="20"/>
              </w:rPr>
            </w:pPr>
          </w:p>
          <w:p w:rsidR="00A5055A" w:rsidRDefault="00A5055A" w:rsidP="00ED144B">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271ADF" w:rsidRPr="000F598B" w:rsidRDefault="00271ADF">
            <w:pPr>
              <w:spacing w:after="0"/>
              <w:contextualSpacing/>
              <w:jc w:val="center"/>
              <w:rPr>
                <w:sz w:val="20"/>
                <w:szCs w:val="20"/>
              </w:rPr>
            </w:pPr>
            <w:r>
              <w:rPr>
                <w:sz w:val="20"/>
                <w:szCs w:val="20"/>
              </w:rPr>
              <w:t>Nombre d’ouvrages réalisés et kms de routes entretenus</w:t>
            </w:r>
          </w:p>
        </w:tc>
        <w:tc>
          <w:tcPr>
            <w:tcW w:w="2122" w:type="dxa"/>
            <w:vMerge w:val="restart"/>
          </w:tcPr>
          <w:p w:rsidR="00666166" w:rsidRDefault="00666166">
            <w:pPr>
              <w:spacing w:after="0"/>
              <w:contextualSpacing/>
              <w:jc w:val="center"/>
              <w:rPr>
                <w:sz w:val="20"/>
                <w:szCs w:val="20"/>
              </w:rPr>
            </w:pPr>
          </w:p>
          <w:p w:rsidR="00271ADF" w:rsidRDefault="00914472">
            <w:pPr>
              <w:spacing w:after="0"/>
              <w:contextualSpacing/>
              <w:jc w:val="center"/>
              <w:rPr>
                <w:sz w:val="20"/>
                <w:szCs w:val="20"/>
              </w:rPr>
            </w:pPr>
            <w:r>
              <w:rPr>
                <w:sz w:val="20"/>
                <w:szCs w:val="20"/>
              </w:rPr>
              <w:t>0 -20</w:t>
            </w:r>
          </w:p>
          <w:p w:rsidR="00666166" w:rsidRDefault="00666166">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666166" w:rsidRDefault="00EE0CA3">
            <w:pPr>
              <w:spacing w:after="0"/>
              <w:contextualSpacing/>
              <w:jc w:val="center"/>
              <w:rPr>
                <w:sz w:val="20"/>
                <w:szCs w:val="20"/>
              </w:rPr>
            </w:pPr>
            <w:r>
              <w:rPr>
                <w:sz w:val="20"/>
                <w:szCs w:val="20"/>
              </w:rPr>
              <w:t>0 - 4</w:t>
            </w:r>
          </w:p>
          <w:p w:rsidR="00666166" w:rsidRDefault="00666166">
            <w:pPr>
              <w:spacing w:after="0"/>
              <w:contextualSpacing/>
              <w:jc w:val="center"/>
              <w:rPr>
                <w:sz w:val="20"/>
                <w:szCs w:val="20"/>
              </w:rPr>
            </w:pPr>
          </w:p>
          <w:p w:rsidR="00666166" w:rsidRDefault="00666166">
            <w:pPr>
              <w:spacing w:after="0"/>
              <w:contextualSpacing/>
              <w:jc w:val="center"/>
              <w:rPr>
                <w:sz w:val="20"/>
                <w:szCs w:val="20"/>
              </w:rPr>
            </w:pPr>
          </w:p>
          <w:p w:rsidR="008D3E8B" w:rsidRDefault="008D3E8B">
            <w:pPr>
              <w:spacing w:after="0"/>
              <w:contextualSpacing/>
              <w:jc w:val="center"/>
              <w:rPr>
                <w:sz w:val="20"/>
                <w:szCs w:val="20"/>
              </w:rPr>
            </w:pPr>
          </w:p>
          <w:p w:rsidR="003B62FA" w:rsidRDefault="003B62FA">
            <w:pPr>
              <w:spacing w:after="0"/>
              <w:contextualSpacing/>
              <w:jc w:val="center"/>
              <w:rPr>
                <w:sz w:val="20"/>
                <w:szCs w:val="20"/>
              </w:rPr>
            </w:pPr>
          </w:p>
          <w:p w:rsidR="00666166" w:rsidRDefault="008D3E8B">
            <w:pPr>
              <w:spacing w:after="0"/>
              <w:contextualSpacing/>
              <w:jc w:val="center"/>
              <w:rPr>
                <w:sz w:val="20"/>
                <w:szCs w:val="20"/>
              </w:rPr>
            </w:pPr>
            <w:r>
              <w:rPr>
                <w:sz w:val="20"/>
                <w:szCs w:val="20"/>
              </w:rPr>
              <w:t>A préciser</w:t>
            </w:r>
          </w:p>
          <w:p w:rsidR="008D3E8B" w:rsidRDefault="008D3E8B">
            <w:pPr>
              <w:spacing w:after="0"/>
              <w:contextualSpacing/>
              <w:jc w:val="center"/>
              <w:rPr>
                <w:sz w:val="20"/>
                <w:szCs w:val="20"/>
              </w:rPr>
            </w:pPr>
          </w:p>
          <w:p w:rsidR="00666166" w:rsidRDefault="00666166">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3B62FA" w:rsidRDefault="003B62FA">
            <w:pPr>
              <w:spacing w:after="0"/>
              <w:contextualSpacing/>
              <w:jc w:val="center"/>
              <w:rPr>
                <w:sz w:val="20"/>
                <w:szCs w:val="20"/>
              </w:rPr>
            </w:pPr>
          </w:p>
          <w:p w:rsidR="00666166" w:rsidRDefault="00666166">
            <w:pPr>
              <w:spacing w:after="0"/>
              <w:contextualSpacing/>
              <w:jc w:val="center"/>
              <w:rPr>
                <w:sz w:val="20"/>
                <w:szCs w:val="20"/>
              </w:rPr>
            </w:pPr>
            <w:r>
              <w:rPr>
                <w:sz w:val="20"/>
                <w:szCs w:val="20"/>
              </w:rPr>
              <w:t>700 kms</w:t>
            </w:r>
          </w:p>
          <w:p w:rsidR="00666166" w:rsidRDefault="003B62FA">
            <w:pPr>
              <w:spacing w:after="0"/>
              <w:contextualSpacing/>
              <w:jc w:val="center"/>
              <w:rPr>
                <w:sz w:val="20"/>
                <w:szCs w:val="20"/>
              </w:rPr>
            </w:pPr>
            <w:r>
              <w:rPr>
                <w:sz w:val="20"/>
                <w:szCs w:val="20"/>
              </w:rPr>
              <w:t>41</w:t>
            </w:r>
            <w:r w:rsidR="00666166">
              <w:rPr>
                <w:sz w:val="20"/>
                <w:szCs w:val="20"/>
              </w:rPr>
              <w:t xml:space="preserve"> ponts</w:t>
            </w:r>
          </w:p>
          <w:p w:rsidR="00666166" w:rsidRDefault="00666166">
            <w:pPr>
              <w:spacing w:after="0"/>
              <w:contextualSpacing/>
              <w:jc w:val="center"/>
              <w:rPr>
                <w:sz w:val="20"/>
                <w:szCs w:val="20"/>
              </w:rPr>
            </w:pPr>
            <w:r>
              <w:rPr>
                <w:sz w:val="20"/>
                <w:szCs w:val="20"/>
              </w:rPr>
              <w:t>1 bac</w:t>
            </w:r>
          </w:p>
          <w:p w:rsidR="00666166" w:rsidRDefault="00666166" w:rsidP="00ED144B">
            <w:pPr>
              <w:spacing w:after="0"/>
              <w:contextualSpacing/>
              <w:jc w:val="center"/>
              <w:rPr>
                <w:sz w:val="20"/>
                <w:szCs w:val="20"/>
              </w:rPr>
            </w:pPr>
          </w:p>
        </w:tc>
        <w:tc>
          <w:tcPr>
            <w:tcW w:w="1568" w:type="dxa"/>
          </w:tcPr>
          <w:p w:rsidR="00271ADF" w:rsidRPr="00525B9B" w:rsidRDefault="008D3E8B" w:rsidP="00666166">
            <w:pPr>
              <w:spacing w:after="0"/>
              <w:contextualSpacing/>
              <w:rPr>
                <w:sz w:val="20"/>
                <w:szCs w:val="20"/>
              </w:rPr>
            </w:pPr>
            <w:r w:rsidRPr="00525B9B">
              <w:rPr>
                <w:sz w:val="20"/>
                <w:szCs w:val="20"/>
              </w:rPr>
              <w:t>Equipes de suivi &amp; évaluation de l’ALE et de l’UC-PIF</w:t>
            </w:r>
          </w:p>
        </w:tc>
        <w:tc>
          <w:tcPr>
            <w:tcW w:w="3150" w:type="dxa"/>
            <w:gridSpan w:val="2"/>
          </w:tcPr>
          <w:p w:rsidR="00061402" w:rsidRDefault="00061402" w:rsidP="00666166">
            <w:pPr>
              <w:spacing w:after="0"/>
              <w:contextualSpacing/>
              <w:rPr>
                <w:b/>
                <w:sz w:val="20"/>
                <w:szCs w:val="20"/>
              </w:rPr>
            </w:pPr>
          </w:p>
          <w:p w:rsidR="00061402" w:rsidRDefault="00061402" w:rsidP="00ED144B">
            <w:pPr>
              <w:spacing w:after="0"/>
              <w:contextualSpacing/>
              <w:jc w:val="center"/>
              <w:rPr>
                <w:sz w:val="20"/>
                <w:szCs w:val="20"/>
              </w:rPr>
            </w:pPr>
            <w:r>
              <w:rPr>
                <w:sz w:val="20"/>
                <w:szCs w:val="20"/>
              </w:rPr>
              <w:t xml:space="preserve">260 790 </w:t>
            </w:r>
            <w:r w:rsidRPr="00ED144B">
              <w:rPr>
                <w:sz w:val="20"/>
                <w:szCs w:val="20"/>
              </w:rPr>
              <w:t>$ par an</w:t>
            </w: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r>
              <w:rPr>
                <w:sz w:val="20"/>
                <w:szCs w:val="20"/>
              </w:rPr>
              <w:t>156 474 $ par an</w:t>
            </w: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r>
              <w:rPr>
                <w:sz w:val="20"/>
                <w:szCs w:val="20"/>
              </w:rPr>
              <w:t>114 747 $ par an</w:t>
            </w: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Default="00061402" w:rsidP="00ED144B">
            <w:pPr>
              <w:spacing w:after="0"/>
              <w:contextualSpacing/>
              <w:jc w:val="center"/>
              <w:rPr>
                <w:sz w:val="20"/>
                <w:szCs w:val="20"/>
              </w:rPr>
            </w:pPr>
          </w:p>
          <w:p w:rsidR="00061402" w:rsidRPr="00ED144B" w:rsidRDefault="00061402" w:rsidP="00ED144B">
            <w:pPr>
              <w:spacing w:after="0"/>
              <w:contextualSpacing/>
              <w:jc w:val="center"/>
              <w:rPr>
                <w:sz w:val="20"/>
                <w:szCs w:val="20"/>
              </w:rPr>
            </w:pPr>
            <w:r>
              <w:rPr>
                <w:sz w:val="20"/>
                <w:szCs w:val="20"/>
              </w:rPr>
              <w:t>1 569 321 $ par an</w:t>
            </w:r>
          </w:p>
        </w:tc>
      </w:tr>
      <w:tr w:rsidR="00ED729E" w:rsidRPr="000F598B" w:rsidTr="00ED144B">
        <w:trPr>
          <w:trHeight w:val="287"/>
          <w:jc w:val="center"/>
        </w:trPr>
        <w:tc>
          <w:tcPr>
            <w:tcW w:w="2641" w:type="dxa"/>
            <w:vMerge/>
            <w:tcBorders>
              <w:bottom w:val="single" w:sz="4" w:space="0" w:color="auto"/>
            </w:tcBorders>
            <w:vAlign w:val="center"/>
          </w:tcPr>
          <w:p w:rsidR="00271ADF" w:rsidRPr="00A041B0" w:rsidRDefault="00271ADF" w:rsidP="00666166">
            <w:pPr>
              <w:spacing w:after="0"/>
              <w:contextualSpacing/>
              <w:rPr>
                <w:rFonts w:cs="Times New Roman"/>
                <w:b/>
                <w:sz w:val="20"/>
                <w:szCs w:val="20"/>
              </w:rPr>
            </w:pPr>
          </w:p>
        </w:tc>
        <w:tc>
          <w:tcPr>
            <w:tcW w:w="1404" w:type="dxa"/>
            <w:vMerge/>
            <w:tcBorders>
              <w:bottom w:val="single" w:sz="4" w:space="0" w:color="auto"/>
            </w:tcBorders>
            <w:vAlign w:val="center"/>
          </w:tcPr>
          <w:p w:rsidR="00271ADF" w:rsidRPr="000F598B" w:rsidRDefault="00271ADF" w:rsidP="00666166">
            <w:pPr>
              <w:spacing w:after="0"/>
              <w:contextualSpacing/>
              <w:rPr>
                <w:sz w:val="20"/>
                <w:szCs w:val="20"/>
              </w:rPr>
            </w:pPr>
          </w:p>
        </w:tc>
        <w:tc>
          <w:tcPr>
            <w:tcW w:w="2122" w:type="dxa"/>
            <w:vMerge/>
            <w:tcBorders>
              <w:bottom w:val="single" w:sz="4" w:space="0" w:color="auto"/>
            </w:tcBorders>
            <w:vAlign w:val="center"/>
          </w:tcPr>
          <w:p w:rsidR="00271ADF" w:rsidRDefault="00271ADF" w:rsidP="00666166">
            <w:pPr>
              <w:spacing w:after="0"/>
              <w:contextualSpacing/>
              <w:rPr>
                <w:sz w:val="20"/>
                <w:szCs w:val="20"/>
              </w:rPr>
            </w:pPr>
          </w:p>
        </w:tc>
        <w:tc>
          <w:tcPr>
            <w:tcW w:w="1568" w:type="dxa"/>
            <w:tcBorders>
              <w:bottom w:val="single" w:sz="4" w:space="0" w:color="auto"/>
            </w:tcBorders>
            <w:vAlign w:val="center"/>
          </w:tcPr>
          <w:p w:rsidR="00271ADF" w:rsidRPr="00BD17FE" w:rsidRDefault="00337AB6" w:rsidP="002000E1">
            <w:pPr>
              <w:spacing w:after="0"/>
              <w:contextualSpacing/>
              <w:jc w:val="center"/>
              <w:rPr>
                <w:sz w:val="20"/>
                <w:szCs w:val="20"/>
              </w:rPr>
            </w:pPr>
            <w:r>
              <w:rPr>
                <w:sz w:val="16"/>
                <w:szCs w:val="16"/>
              </w:rPr>
              <w:t xml:space="preserve">2017 : </w:t>
            </w:r>
            <w:r w:rsidR="000562C5">
              <w:rPr>
                <w:sz w:val="16"/>
                <w:szCs w:val="16"/>
              </w:rPr>
              <w:t>2.101</w:t>
            </w:r>
            <w:r w:rsidR="00271ADF" w:rsidRPr="00BD17FE">
              <w:rPr>
                <w:sz w:val="16"/>
                <w:szCs w:val="16"/>
              </w:rPr>
              <w:t xml:space="preserve"> M $</w:t>
            </w:r>
          </w:p>
        </w:tc>
        <w:tc>
          <w:tcPr>
            <w:tcW w:w="1494" w:type="dxa"/>
            <w:tcBorders>
              <w:bottom w:val="single" w:sz="4" w:space="0" w:color="auto"/>
            </w:tcBorders>
            <w:vAlign w:val="center"/>
          </w:tcPr>
          <w:p w:rsidR="00271ADF" w:rsidRPr="00BD17FE" w:rsidRDefault="00FA1048" w:rsidP="002000E1">
            <w:pPr>
              <w:spacing w:after="0"/>
              <w:contextualSpacing/>
              <w:jc w:val="center"/>
              <w:rPr>
                <w:sz w:val="16"/>
                <w:szCs w:val="16"/>
              </w:rPr>
            </w:pPr>
            <w:r>
              <w:rPr>
                <w:sz w:val="16"/>
                <w:szCs w:val="16"/>
              </w:rPr>
              <w:t xml:space="preserve">2018 : </w:t>
            </w:r>
            <w:r w:rsidR="000562C5">
              <w:rPr>
                <w:sz w:val="16"/>
                <w:szCs w:val="16"/>
              </w:rPr>
              <w:t>2.101</w:t>
            </w:r>
            <w:r w:rsidR="00271ADF" w:rsidRPr="00BD17FE">
              <w:rPr>
                <w:sz w:val="16"/>
                <w:szCs w:val="16"/>
              </w:rPr>
              <w:t xml:space="preserve"> M $</w:t>
            </w:r>
          </w:p>
        </w:tc>
        <w:tc>
          <w:tcPr>
            <w:tcW w:w="1656" w:type="dxa"/>
            <w:tcBorders>
              <w:bottom w:val="single" w:sz="4" w:space="0" w:color="auto"/>
            </w:tcBorders>
            <w:vAlign w:val="center"/>
          </w:tcPr>
          <w:p w:rsidR="00271ADF" w:rsidRPr="00BD17FE" w:rsidRDefault="00271ADF" w:rsidP="002000E1">
            <w:pPr>
              <w:spacing w:after="0"/>
              <w:contextualSpacing/>
              <w:jc w:val="center"/>
              <w:rPr>
                <w:sz w:val="16"/>
                <w:szCs w:val="16"/>
              </w:rPr>
            </w:pPr>
            <w:r w:rsidRPr="00BD17FE">
              <w:rPr>
                <w:sz w:val="16"/>
                <w:szCs w:val="16"/>
              </w:rPr>
              <w:t>2</w:t>
            </w:r>
            <w:r w:rsidR="00337AB6">
              <w:rPr>
                <w:sz w:val="16"/>
                <w:szCs w:val="16"/>
              </w:rPr>
              <w:t xml:space="preserve">019 : </w:t>
            </w:r>
            <w:r w:rsidR="000562C5">
              <w:rPr>
                <w:sz w:val="16"/>
                <w:szCs w:val="16"/>
              </w:rPr>
              <w:t>2.101</w:t>
            </w:r>
            <w:r w:rsidRPr="00BD17FE">
              <w:rPr>
                <w:sz w:val="16"/>
                <w:szCs w:val="16"/>
              </w:rPr>
              <w:t xml:space="preserve"> M $</w:t>
            </w:r>
          </w:p>
        </w:tc>
      </w:tr>
      <w:tr w:rsidR="00ED729E" w:rsidRPr="000F598B" w:rsidTr="00ED144B">
        <w:trPr>
          <w:jc w:val="center"/>
        </w:trPr>
        <w:tc>
          <w:tcPr>
            <w:tcW w:w="2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66166" w:rsidRPr="00666166" w:rsidRDefault="00666166" w:rsidP="006B7962">
            <w:pPr>
              <w:contextualSpacing/>
              <w:rPr>
                <w:rFonts w:cs="Times New Roman"/>
                <w:b/>
                <w:i/>
                <w:sz w:val="20"/>
                <w:szCs w:val="20"/>
              </w:rPr>
            </w:pPr>
            <w:r w:rsidRPr="00666166">
              <w:rPr>
                <w:rFonts w:cs="Times New Roman"/>
                <w:b/>
                <w:i/>
                <w:sz w:val="20"/>
                <w:szCs w:val="20"/>
              </w:rPr>
              <w:t>Budget</w:t>
            </w:r>
            <w:r w:rsidR="008D3E8B">
              <w:rPr>
                <w:rFonts w:cs="Times New Roman"/>
                <w:b/>
                <w:i/>
                <w:sz w:val="20"/>
                <w:szCs w:val="20"/>
              </w:rPr>
              <w:t xml:space="preserve"> total en coûts complets</w:t>
            </w:r>
            <w:r w:rsidR="00337AB6">
              <w:rPr>
                <w:rFonts w:cs="Times New Roman"/>
                <w:b/>
                <w:i/>
                <w:sz w:val="20"/>
                <w:szCs w:val="20"/>
              </w:rPr>
              <w:t xml:space="preserve"> avec amortissements sur 5 ans et</w:t>
            </w:r>
            <w:r w:rsidR="008D3E8B">
              <w:rPr>
                <w:rFonts w:cs="Times New Roman"/>
                <w:b/>
                <w:i/>
                <w:sz w:val="20"/>
                <w:szCs w:val="20"/>
              </w:rPr>
              <w:t xml:space="preserve"> </w:t>
            </w:r>
            <w:r w:rsidRPr="00666166">
              <w:rPr>
                <w:rFonts w:cs="Times New Roman"/>
                <w:b/>
                <w:i/>
                <w:sz w:val="20"/>
                <w:szCs w:val="20"/>
              </w:rPr>
              <w:t>hors rémunération Banque mondiale</w:t>
            </w:r>
          </w:p>
        </w:tc>
        <w:tc>
          <w:tcPr>
            <w:tcW w:w="14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66166" w:rsidRPr="00666166" w:rsidRDefault="00666166" w:rsidP="002000E1">
            <w:pPr>
              <w:contextualSpacing/>
              <w:jc w:val="center"/>
              <w:rPr>
                <w:b/>
                <w:i/>
                <w:sz w:val="20"/>
                <w:szCs w:val="20"/>
              </w:rPr>
            </w:pPr>
            <w:r w:rsidRPr="00666166">
              <w:rPr>
                <w:b/>
                <w:i/>
                <w:sz w:val="20"/>
                <w:szCs w:val="20"/>
              </w:rPr>
              <w:t>$ US</w:t>
            </w:r>
          </w:p>
        </w:tc>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D3E8B" w:rsidRDefault="008D3E8B" w:rsidP="002000E1">
            <w:pPr>
              <w:contextualSpacing/>
              <w:jc w:val="center"/>
              <w:rPr>
                <w:b/>
                <w:i/>
                <w:sz w:val="20"/>
                <w:szCs w:val="20"/>
              </w:rPr>
            </w:pPr>
            <w:r w:rsidRPr="008D3E8B">
              <w:rPr>
                <w:b/>
                <w:i/>
                <w:sz w:val="20"/>
                <w:szCs w:val="20"/>
              </w:rPr>
              <w:t xml:space="preserve">Sur </w:t>
            </w:r>
            <w:r w:rsidR="00DD2DA0">
              <w:rPr>
                <w:b/>
                <w:i/>
                <w:sz w:val="20"/>
                <w:szCs w:val="20"/>
              </w:rPr>
              <w:t>3</w:t>
            </w:r>
            <w:r w:rsidRPr="008D3E8B">
              <w:rPr>
                <w:b/>
                <w:i/>
                <w:sz w:val="20"/>
                <w:szCs w:val="20"/>
              </w:rPr>
              <w:t xml:space="preserve"> ans</w:t>
            </w:r>
          </w:p>
          <w:p w:rsidR="00061402" w:rsidRDefault="00061402" w:rsidP="002000E1">
            <w:pPr>
              <w:contextualSpacing/>
              <w:jc w:val="center"/>
              <w:rPr>
                <w:b/>
                <w:i/>
                <w:sz w:val="20"/>
                <w:szCs w:val="20"/>
              </w:rPr>
            </w:pPr>
          </w:p>
          <w:p w:rsidR="00666166" w:rsidRPr="00666166" w:rsidRDefault="00DD2DA0" w:rsidP="002000E1">
            <w:pPr>
              <w:contextualSpacing/>
              <w:jc w:val="center"/>
              <w:rPr>
                <w:b/>
                <w:i/>
                <w:sz w:val="20"/>
                <w:szCs w:val="20"/>
              </w:rPr>
            </w:pPr>
            <w:r>
              <w:rPr>
                <w:b/>
                <w:i/>
                <w:sz w:val="20"/>
                <w:szCs w:val="20"/>
              </w:rPr>
              <w:t>18 217 589</w:t>
            </w:r>
          </w:p>
        </w:tc>
        <w:tc>
          <w:tcPr>
            <w:tcW w:w="1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1402" w:rsidRDefault="00FA1048">
            <w:pPr>
              <w:contextualSpacing/>
              <w:jc w:val="center"/>
              <w:rPr>
                <w:b/>
                <w:i/>
                <w:sz w:val="18"/>
                <w:szCs w:val="18"/>
              </w:rPr>
            </w:pPr>
            <w:r>
              <w:rPr>
                <w:b/>
                <w:i/>
                <w:sz w:val="18"/>
                <w:szCs w:val="18"/>
              </w:rPr>
              <w:t>2017</w:t>
            </w:r>
          </w:p>
          <w:p w:rsidR="00061402" w:rsidRDefault="00061402">
            <w:pPr>
              <w:contextualSpacing/>
              <w:jc w:val="center"/>
              <w:rPr>
                <w:b/>
                <w:i/>
                <w:sz w:val="18"/>
                <w:szCs w:val="18"/>
              </w:rPr>
            </w:pPr>
          </w:p>
          <w:p w:rsidR="00666166" w:rsidRPr="00666166" w:rsidRDefault="00DD2DA0">
            <w:pPr>
              <w:contextualSpacing/>
              <w:jc w:val="center"/>
              <w:rPr>
                <w:b/>
                <w:i/>
                <w:sz w:val="18"/>
                <w:szCs w:val="18"/>
              </w:rPr>
            </w:pPr>
            <w:r>
              <w:rPr>
                <w:b/>
                <w:i/>
                <w:sz w:val="18"/>
                <w:szCs w:val="18"/>
              </w:rPr>
              <w:t>6 072 530</w:t>
            </w:r>
          </w:p>
        </w:tc>
        <w:tc>
          <w:tcPr>
            <w:tcW w:w="14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1402" w:rsidRDefault="00666166" w:rsidP="002000E1">
            <w:pPr>
              <w:contextualSpacing/>
              <w:jc w:val="center"/>
              <w:rPr>
                <w:b/>
                <w:i/>
                <w:sz w:val="18"/>
                <w:szCs w:val="18"/>
              </w:rPr>
            </w:pPr>
            <w:r w:rsidRPr="00666166">
              <w:rPr>
                <w:b/>
                <w:i/>
                <w:sz w:val="18"/>
                <w:szCs w:val="18"/>
              </w:rPr>
              <w:t>201</w:t>
            </w:r>
            <w:r w:rsidR="00DD2DA0">
              <w:rPr>
                <w:b/>
                <w:i/>
                <w:sz w:val="18"/>
                <w:szCs w:val="18"/>
              </w:rPr>
              <w:t>8</w:t>
            </w:r>
          </w:p>
          <w:p w:rsidR="00061402" w:rsidRDefault="00061402" w:rsidP="002000E1">
            <w:pPr>
              <w:contextualSpacing/>
              <w:jc w:val="center"/>
              <w:rPr>
                <w:b/>
                <w:i/>
                <w:sz w:val="18"/>
                <w:szCs w:val="18"/>
              </w:rPr>
            </w:pPr>
          </w:p>
          <w:p w:rsidR="00666166" w:rsidRPr="00666166" w:rsidRDefault="00DD2DA0" w:rsidP="002000E1">
            <w:pPr>
              <w:contextualSpacing/>
              <w:jc w:val="center"/>
              <w:rPr>
                <w:b/>
                <w:i/>
                <w:sz w:val="18"/>
                <w:szCs w:val="18"/>
              </w:rPr>
            </w:pPr>
            <w:r w:rsidRPr="00DD2DA0">
              <w:rPr>
                <w:b/>
                <w:i/>
                <w:sz w:val="18"/>
                <w:szCs w:val="18"/>
              </w:rPr>
              <w:t>6 072 530</w:t>
            </w:r>
          </w:p>
        </w:tc>
        <w:tc>
          <w:tcPr>
            <w:tcW w:w="16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1402" w:rsidRDefault="00666166" w:rsidP="002000E1">
            <w:pPr>
              <w:contextualSpacing/>
              <w:jc w:val="center"/>
              <w:rPr>
                <w:b/>
                <w:i/>
                <w:sz w:val="18"/>
                <w:szCs w:val="18"/>
              </w:rPr>
            </w:pPr>
            <w:r w:rsidRPr="00666166">
              <w:rPr>
                <w:b/>
                <w:i/>
                <w:sz w:val="18"/>
                <w:szCs w:val="18"/>
              </w:rPr>
              <w:t>201</w:t>
            </w:r>
            <w:r w:rsidR="00DD2DA0">
              <w:rPr>
                <w:b/>
                <w:i/>
                <w:sz w:val="18"/>
                <w:szCs w:val="18"/>
              </w:rPr>
              <w:t>9</w:t>
            </w:r>
          </w:p>
          <w:p w:rsidR="00061402" w:rsidRDefault="00061402" w:rsidP="002000E1">
            <w:pPr>
              <w:contextualSpacing/>
              <w:jc w:val="center"/>
              <w:rPr>
                <w:b/>
                <w:i/>
                <w:sz w:val="18"/>
                <w:szCs w:val="18"/>
              </w:rPr>
            </w:pPr>
          </w:p>
          <w:p w:rsidR="00666166" w:rsidRPr="00666166" w:rsidRDefault="00DD2DA0" w:rsidP="002000E1">
            <w:pPr>
              <w:contextualSpacing/>
              <w:jc w:val="center"/>
              <w:rPr>
                <w:b/>
                <w:i/>
                <w:sz w:val="18"/>
                <w:szCs w:val="18"/>
              </w:rPr>
            </w:pPr>
            <w:r w:rsidRPr="00DD2DA0">
              <w:rPr>
                <w:b/>
                <w:i/>
                <w:sz w:val="18"/>
                <w:szCs w:val="18"/>
              </w:rPr>
              <w:t>6 072 530</w:t>
            </w:r>
          </w:p>
        </w:tc>
      </w:tr>
    </w:tbl>
    <w:p w:rsidR="00BC1321" w:rsidRDefault="00BC1321">
      <w:pPr>
        <w:spacing w:after="160" w:line="259" w:lineRule="auto"/>
        <w:rPr>
          <w:rFonts w:eastAsiaTheme="minorHAnsi"/>
          <w:b/>
          <w:sz w:val="20"/>
          <w:szCs w:val="20"/>
          <w:lang w:eastAsia="en-US"/>
        </w:rPr>
      </w:pPr>
    </w:p>
    <w:p w:rsidR="00BB59AB" w:rsidRDefault="00BB59AB">
      <w:pPr>
        <w:spacing w:after="160" w:line="259" w:lineRule="auto"/>
        <w:rPr>
          <w:rFonts w:eastAsiaTheme="minorHAnsi"/>
          <w:b/>
          <w:sz w:val="20"/>
          <w:szCs w:val="20"/>
          <w:lang w:eastAsia="en-US"/>
        </w:rPr>
      </w:pPr>
    </w:p>
    <w:p w:rsidR="00BB59AB" w:rsidRDefault="00BB59AB">
      <w:pPr>
        <w:spacing w:after="160" w:line="259" w:lineRule="auto"/>
        <w:rPr>
          <w:rFonts w:eastAsiaTheme="minorHAnsi"/>
          <w:b/>
          <w:sz w:val="20"/>
          <w:szCs w:val="20"/>
          <w:lang w:eastAsia="en-US"/>
        </w:rPr>
      </w:pPr>
    </w:p>
    <w:p w:rsidR="00BB59AB" w:rsidRDefault="00BB59AB">
      <w:pPr>
        <w:spacing w:after="160" w:line="259" w:lineRule="auto"/>
        <w:rPr>
          <w:rFonts w:eastAsiaTheme="minorHAnsi"/>
          <w:b/>
          <w:sz w:val="20"/>
          <w:szCs w:val="20"/>
          <w:lang w:eastAsia="en-US"/>
        </w:rPr>
      </w:pPr>
    </w:p>
    <w:p w:rsidR="00BB59AB" w:rsidRDefault="00BB59AB">
      <w:pPr>
        <w:spacing w:after="160" w:line="259" w:lineRule="auto"/>
        <w:rPr>
          <w:rFonts w:eastAsiaTheme="minorHAnsi"/>
          <w:b/>
          <w:sz w:val="20"/>
          <w:szCs w:val="20"/>
          <w:lang w:eastAsia="en-US"/>
        </w:rPr>
      </w:pPr>
    </w:p>
    <w:p w:rsidR="00BB59AB" w:rsidRDefault="00BB59AB">
      <w:pPr>
        <w:spacing w:after="160" w:line="259" w:lineRule="auto"/>
        <w:rPr>
          <w:rFonts w:eastAsiaTheme="minorHAnsi"/>
          <w:b/>
          <w:sz w:val="20"/>
          <w:szCs w:val="20"/>
          <w:lang w:eastAsia="en-US"/>
        </w:rPr>
      </w:pPr>
    </w:p>
    <w:p w:rsidR="00BB59AB" w:rsidRDefault="00BB59AB">
      <w:pPr>
        <w:spacing w:after="160" w:line="259" w:lineRule="auto"/>
        <w:rPr>
          <w:rFonts w:eastAsiaTheme="minorHAnsi"/>
          <w:b/>
          <w:sz w:val="20"/>
          <w:szCs w:val="20"/>
          <w:lang w:eastAsia="en-US"/>
        </w:rPr>
      </w:pPr>
    </w:p>
    <w:p w:rsidR="00BB59AB" w:rsidRDefault="00BB59AB">
      <w:pPr>
        <w:spacing w:after="160" w:line="259" w:lineRule="auto"/>
        <w:rPr>
          <w:rFonts w:eastAsiaTheme="minorHAnsi"/>
          <w:b/>
          <w:sz w:val="20"/>
          <w:szCs w:val="20"/>
          <w:lang w:eastAsia="en-US"/>
        </w:rPr>
      </w:pPr>
    </w:p>
    <w:p w:rsidR="00BC1321" w:rsidRDefault="00BC1321" w:rsidP="00BC1321">
      <w:pPr>
        <w:spacing w:after="120"/>
        <w:contextualSpacing/>
        <w:jc w:val="both"/>
        <w:rPr>
          <w:rFonts w:eastAsiaTheme="minorHAnsi"/>
          <w:b/>
          <w:sz w:val="20"/>
          <w:szCs w:val="20"/>
          <w:lang w:eastAsia="en-US"/>
        </w:rPr>
      </w:pPr>
      <w:r>
        <w:rPr>
          <w:rFonts w:eastAsiaTheme="minorHAnsi"/>
          <w:b/>
          <w:sz w:val="20"/>
          <w:szCs w:val="20"/>
          <w:lang w:eastAsia="en-US"/>
        </w:rPr>
        <w:lastRenderedPageBreak/>
        <w:t xml:space="preserve">Tableau 2 : </w:t>
      </w:r>
      <w:r w:rsidRPr="00BC1321">
        <w:rPr>
          <w:rFonts w:eastAsiaTheme="minorHAnsi"/>
          <w:b/>
          <w:sz w:val="20"/>
          <w:szCs w:val="20"/>
          <w:lang w:eastAsia="en-US"/>
        </w:rPr>
        <w:t>Con</w:t>
      </w:r>
      <w:r>
        <w:rPr>
          <w:rFonts w:eastAsiaTheme="minorHAnsi"/>
          <w:b/>
          <w:sz w:val="20"/>
          <w:szCs w:val="20"/>
          <w:lang w:eastAsia="en-US"/>
        </w:rPr>
        <w:t>tribution du PIREDD Mai-Ndombe à</w:t>
      </w:r>
      <w:r w:rsidRPr="00BC1321">
        <w:rPr>
          <w:rFonts w:eastAsiaTheme="minorHAnsi"/>
          <w:b/>
          <w:sz w:val="20"/>
          <w:szCs w:val="20"/>
          <w:lang w:eastAsia="en-US"/>
        </w:rPr>
        <w:t xml:space="preserve"> l’atteinte des jalons de la lettre d’intention pour la mise en place d’un partenariat entre la RDC et CAFI</w:t>
      </w:r>
    </w:p>
    <w:p w:rsidR="00BC1321" w:rsidRDefault="00BC1321" w:rsidP="00BC1321">
      <w:pPr>
        <w:spacing w:after="120"/>
        <w:contextualSpacing/>
        <w:jc w:val="both"/>
        <w:rPr>
          <w:rFonts w:eastAsiaTheme="minorHAnsi"/>
          <w:b/>
          <w:sz w:val="20"/>
          <w:szCs w:val="20"/>
          <w:lang w:eastAsia="en-US"/>
        </w:rPr>
      </w:pPr>
    </w:p>
    <w:tbl>
      <w:tblPr>
        <w:tblStyle w:val="TableGrid"/>
        <w:tblW w:w="0" w:type="auto"/>
        <w:tblLook w:val="04A0" w:firstRow="1" w:lastRow="0" w:firstColumn="1" w:lastColumn="0" w:noHBand="0" w:noVBand="1"/>
      </w:tblPr>
      <w:tblGrid>
        <w:gridCol w:w="1705"/>
        <w:gridCol w:w="3844"/>
        <w:gridCol w:w="3845"/>
      </w:tblGrid>
      <w:tr w:rsidR="00BC1321" w:rsidTr="00ED144B">
        <w:tc>
          <w:tcPr>
            <w:tcW w:w="1705" w:type="dxa"/>
            <w:shd w:val="clear" w:color="auto" w:fill="DEEAF6" w:themeFill="accent1" w:themeFillTint="33"/>
          </w:tcPr>
          <w:p w:rsidR="00BC1321" w:rsidRPr="00ED144B" w:rsidRDefault="006B346D" w:rsidP="00ED144B">
            <w:pPr>
              <w:contextualSpacing/>
              <w:jc w:val="center"/>
              <w:rPr>
                <w:rFonts w:cs="Times New Roman"/>
                <w:b/>
                <w:i/>
                <w:sz w:val="20"/>
                <w:szCs w:val="20"/>
              </w:rPr>
            </w:pPr>
            <w:r w:rsidRPr="00ED144B">
              <w:rPr>
                <w:rFonts w:cs="Times New Roman"/>
                <w:b/>
                <w:i/>
                <w:sz w:val="20"/>
                <w:szCs w:val="20"/>
              </w:rPr>
              <w:t>Objectif de la lettre d’intention</w:t>
            </w:r>
          </w:p>
        </w:tc>
        <w:tc>
          <w:tcPr>
            <w:tcW w:w="3844" w:type="dxa"/>
            <w:shd w:val="clear" w:color="auto" w:fill="DEEAF6" w:themeFill="accent1" w:themeFillTint="33"/>
          </w:tcPr>
          <w:p w:rsidR="00BC1321" w:rsidRPr="00ED144B" w:rsidRDefault="006B346D" w:rsidP="00ED144B">
            <w:pPr>
              <w:contextualSpacing/>
              <w:jc w:val="center"/>
              <w:rPr>
                <w:rFonts w:cs="Times New Roman"/>
                <w:b/>
                <w:i/>
                <w:sz w:val="20"/>
                <w:szCs w:val="20"/>
              </w:rPr>
            </w:pPr>
            <w:r>
              <w:rPr>
                <w:rFonts w:cs="Times New Roman"/>
                <w:b/>
                <w:i/>
                <w:sz w:val="20"/>
                <w:szCs w:val="20"/>
              </w:rPr>
              <w:t>Jalon Décembre 2018</w:t>
            </w:r>
          </w:p>
        </w:tc>
        <w:tc>
          <w:tcPr>
            <w:tcW w:w="3845" w:type="dxa"/>
            <w:shd w:val="clear" w:color="auto" w:fill="DEEAF6" w:themeFill="accent1" w:themeFillTint="33"/>
          </w:tcPr>
          <w:p w:rsidR="00BC1321" w:rsidRPr="00ED144B" w:rsidRDefault="002B4B74" w:rsidP="00ED144B">
            <w:pPr>
              <w:contextualSpacing/>
              <w:jc w:val="center"/>
              <w:rPr>
                <w:rFonts w:cs="Times New Roman"/>
                <w:b/>
                <w:i/>
                <w:sz w:val="20"/>
                <w:szCs w:val="20"/>
              </w:rPr>
            </w:pPr>
            <w:r>
              <w:rPr>
                <w:rFonts w:cs="Times New Roman"/>
                <w:b/>
                <w:i/>
                <w:sz w:val="20"/>
                <w:szCs w:val="20"/>
              </w:rPr>
              <w:t xml:space="preserve">Résultats </w:t>
            </w:r>
            <w:r w:rsidR="0041496B">
              <w:rPr>
                <w:rFonts w:cs="Times New Roman"/>
                <w:b/>
                <w:i/>
                <w:sz w:val="20"/>
                <w:szCs w:val="20"/>
              </w:rPr>
              <w:t>escompté</w:t>
            </w:r>
            <w:r>
              <w:rPr>
                <w:rFonts w:cs="Times New Roman"/>
                <w:b/>
                <w:i/>
                <w:sz w:val="20"/>
                <w:szCs w:val="20"/>
              </w:rPr>
              <w:t>s</w:t>
            </w:r>
            <w:r w:rsidR="0041496B">
              <w:rPr>
                <w:rFonts w:cs="Times New Roman"/>
                <w:b/>
                <w:i/>
                <w:sz w:val="20"/>
                <w:szCs w:val="20"/>
              </w:rPr>
              <w:t xml:space="preserve"> au 31 décembre 2018</w:t>
            </w:r>
          </w:p>
        </w:tc>
      </w:tr>
      <w:tr w:rsidR="00431D34" w:rsidTr="00ED144B">
        <w:trPr>
          <w:trHeight w:val="3968"/>
        </w:trPr>
        <w:tc>
          <w:tcPr>
            <w:tcW w:w="1705" w:type="dxa"/>
          </w:tcPr>
          <w:p w:rsidR="00431D34" w:rsidRPr="006B346D" w:rsidRDefault="00431D34" w:rsidP="00ED144B">
            <w:pPr>
              <w:spacing w:after="120"/>
              <w:contextualSpacing/>
              <w:rPr>
                <w:rFonts w:eastAsiaTheme="minorHAnsi"/>
                <w:b/>
                <w:sz w:val="20"/>
                <w:szCs w:val="20"/>
                <w:lang w:eastAsia="en-US"/>
              </w:rPr>
            </w:pPr>
            <w:r w:rsidRPr="006B346D">
              <w:rPr>
                <w:rFonts w:eastAsiaTheme="minorHAnsi"/>
                <w:b/>
                <w:sz w:val="20"/>
                <w:szCs w:val="20"/>
                <w:lang w:eastAsia="en-US"/>
              </w:rPr>
              <w:t>Objectif 1 : Agriculture</w:t>
            </w:r>
          </w:p>
        </w:tc>
        <w:tc>
          <w:tcPr>
            <w:tcW w:w="3844" w:type="dxa"/>
          </w:tcPr>
          <w:p w:rsidR="00431D34" w:rsidRPr="00ED144B" w:rsidRDefault="00431D34" w:rsidP="006B346D">
            <w:pPr>
              <w:spacing w:after="120"/>
              <w:contextualSpacing/>
              <w:jc w:val="both"/>
              <w:rPr>
                <w:rFonts w:eastAsiaTheme="minorHAnsi"/>
                <w:sz w:val="20"/>
                <w:szCs w:val="20"/>
                <w:lang w:eastAsia="en-US"/>
              </w:rPr>
            </w:pPr>
            <w:r w:rsidRPr="00ED144B">
              <w:rPr>
                <w:rFonts w:eastAsiaTheme="minorHAnsi"/>
                <w:sz w:val="20"/>
                <w:szCs w:val="20"/>
                <w:lang w:eastAsia="en-US"/>
              </w:rPr>
              <w:t>« </w:t>
            </w:r>
            <w:r w:rsidR="00F900FF">
              <w:rPr>
                <w:rFonts w:eastAsiaTheme="minorHAnsi"/>
                <w:sz w:val="20"/>
                <w:szCs w:val="20"/>
                <w:lang w:eastAsia="en-US"/>
              </w:rPr>
              <w:t xml:space="preserve">… </w:t>
            </w:r>
            <w:r w:rsidRPr="00ED144B">
              <w:rPr>
                <w:rFonts w:eastAsiaTheme="minorHAnsi"/>
                <w:sz w:val="20"/>
                <w:szCs w:val="20"/>
                <w:lang w:eastAsia="en-US"/>
              </w:rPr>
              <w:t>efforts pour assurer des pratiques</w:t>
            </w:r>
          </w:p>
          <w:p w:rsidR="00431D34" w:rsidRPr="00ED144B" w:rsidRDefault="00431D34" w:rsidP="006B346D">
            <w:pPr>
              <w:spacing w:after="120"/>
              <w:contextualSpacing/>
              <w:jc w:val="both"/>
              <w:rPr>
                <w:rFonts w:eastAsiaTheme="minorHAnsi"/>
                <w:sz w:val="20"/>
                <w:szCs w:val="20"/>
                <w:lang w:eastAsia="en-US"/>
              </w:rPr>
            </w:pPr>
            <w:r w:rsidRPr="00ED144B">
              <w:rPr>
                <w:rFonts w:eastAsiaTheme="minorHAnsi"/>
                <w:sz w:val="20"/>
                <w:szCs w:val="20"/>
                <w:lang w:eastAsia="en-US"/>
              </w:rPr>
              <w:t>agricoles durables par les communautés locales et autochtones et pour limiter le déboisement et la dégradation des forêts résultant de cette agriculture à petite échelle »</w:t>
            </w:r>
          </w:p>
          <w:p w:rsidR="00431D34" w:rsidRPr="00ED144B" w:rsidRDefault="00431D34" w:rsidP="006B346D">
            <w:pPr>
              <w:spacing w:after="120"/>
              <w:contextualSpacing/>
              <w:jc w:val="both"/>
              <w:rPr>
                <w:rFonts w:eastAsiaTheme="minorHAnsi"/>
                <w:sz w:val="20"/>
                <w:szCs w:val="20"/>
                <w:lang w:eastAsia="en-US"/>
              </w:rPr>
            </w:pPr>
          </w:p>
          <w:p w:rsidR="00431D34" w:rsidRPr="00ED144B" w:rsidRDefault="00431D34" w:rsidP="006B346D">
            <w:pPr>
              <w:spacing w:after="120"/>
              <w:contextualSpacing/>
              <w:jc w:val="both"/>
              <w:rPr>
                <w:rFonts w:eastAsiaTheme="minorHAnsi"/>
                <w:sz w:val="20"/>
                <w:szCs w:val="20"/>
                <w:lang w:eastAsia="en-US"/>
              </w:rPr>
            </w:pPr>
            <w:r w:rsidRPr="00ED144B">
              <w:rPr>
                <w:rFonts w:eastAsiaTheme="minorHAnsi"/>
                <w:sz w:val="20"/>
                <w:szCs w:val="20"/>
                <w:lang w:eastAsia="en-US"/>
              </w:rPr>
              <w:t>« Dispositif d’encadrement agricole et de production/distribution d’intrants en place dans chaque Programme Intégré REDD+ en fin d’année 2 de mise en œuvre, pour une large diffusion de technologies agricoles durables allant dans le sens de la sédentarisation, et respectant les plans</w:t>
            </w:r>
          </w:p>
          <w:p w:rsidR="00431D34" w:rsidRPr="006B346D" w:rsidRDefault="00431D34" w:rsidP="006B346D">
            <w:pPr>
              <w:spacing w:after="120"/>
              <w:contextualSpacing/>
              <w:jc w:val="both"/>
              <w:rPr>
                <w:rFonts w:eastAsiaTheme="minorHAnsi"/>
                <w:b/>
                <w:sz w:val="20"/>
                <w:szCs w:val="20"/>
                <w:lang w:eastAsia="en-US"/>
              </w:rPr>
            </w:pPr>
            <w:r w:rsidRPr="00ED144B">
              <w:rPr>
                <w:rFonts w:eastAsiaTheme="minorHAnsi"/>
                <w:sz w:val="20"/>
                <w:szCs w:val="20"/>
                <w:lang w:eastAsia="en-US"/>
              </w:rPr>
              <w:t>de zonage. »</w:t>
            </w:r>
          </w:p>
        </w:tc>
        <w:tc>
          <w:tcPr>
            <w:tcW w:w="3845" w:type="dxa"/>
          </w:tcPr>
          <w:p w:rsidR="00431D34" w:rsidRDefault="009F1630" w:rsidP="002E3A02">
            <w:pPr>
              <w:pStyle w:val="ListParagraph"/>
              <w:numPr>
                <w:ilvl w:val="0"/>
                <w:numId w:val="15"/>
              </w:numPr>
              <w:spacing w:after="120"/>
              <w:contextualSpacing/>
              <w:jc w:val="both"/>
              <w:rPr>
                <w:rFonts w:eastAsiaTheme="minorHAnsi"/>
                <w:sz w:val="20"/>
                <w:szCs w:val="20"/>
                <w:lang w:eastAsia="en-US"/>
              </w:rPr>
            </w:pPr>
            <w:r>
              <w:rPr>
                <w:rFonts w:asciiTheme="minorHAnsi" w:eastAsiaTheme="minorHAnsi" w:hAnsiTheme="minorHAnsi" w:cstheme="minorBidi"/>
                <w:sz w:val="20"/>
                <w:szCs w:val="20"/>
                <w:lang w:eastAsia="en-US"/>
              </w:rPr>
              <w:t>21 PDD et 300 PSG</w:t>
            </w:r>
            <w:r w:rsidR="00431D34" w:rsidRPr="00ED144B">
              <w:rPr>
                <w:rFonts w:asciiTheme="minorHAnsi" w:eastAsiaTheme="minorHAnsi" w:hAnsiTheme="minorHAnsi" w:cstheme="minorBidi"/>
                <w:sz w:val="20"/>
                <w:szCs w:val="20"/>
                <w:lang w:eastAsia="en-US"/>
              </w:rPr>
              <w:t xml:space="preserve"> dûment finalisés</w:t>
            </w:r>
          </w:p>
          <w:p w:rsidR="00431D34" w:rsidRPr="00ED144B" w:rsidRDefault="00431D34" w:rsidP="002E3A02">
            <w:pPr>
              <w:pStyle w:val="ListParagraph"/>
              <w:numPr>
                <w:ilvl w:val="0"/>
                <w:numId w:val="15"/>
              </w:numPr>
              <w:spacing w:after="120"/>
              <w:contextualSpacing/>
              <w:jc w:val="both"/>
              <w:rPr>
                <w:rFonts w:eastAsiaTheme="minorHAnsi"/>
                <w:sz w:val="20"/>
                <w:szCs w:val="20"/>
                <w:lang w:eastAsia="en-US"/>
              </w:rPr>
            </w:pPr>
            <w:r>
              <w:rPr>
                <w:rFonts w:asciiTheme="minorHAnsi" w:eastAsiaTheme="minorHAnsi" w:hAnsiTheme="minorHAnsi" w:cstheme="minorBidi"/>
                <w:sz w:val="20"/>
                <w:szCs w:val="20"/>
                <w:lang w:eastAsia="en-US"/>
              </w:rPr>
              <w:t>600 pépinières agroforestières installées</w:t>
            </w:r>
          </w:p>
          <w:p w:rsidR="00431D34" w:rsidRPr="002B4B74" w:rsidRDefault="00431D34" w:rsidP="002E3A02">
            <w:pPr>
              <w:pStyle w:val="ListParagraph"/>
              <w:numPr>
                <w:ilvl w:val="0"/>
                <w:numId w:val="15"/>
              </w:numPr>
              <w:contextualSpacing/>
              <w:jc w:val="both"/>
              <w:rPr>
                <w:rFonts w:eastAsiaTheme="minorHAnsi"/>
                <w:sz w:val="20"/>
                <w:szCs w:val="20"/>
                <w:lang w:eastAsia="en-US"/>
              </w:rPr>
            </w:pPr>
            <w:r>
              <w:rPr>
                <w:rFonts w:asciiTheme="minorHAnsi" w:eastAsiaTheme="minorHAnsi" w:hAnsiTheme="minorHAnsi" w:cstheme="minorBidi"/>
                <w:sz w:val="20"/>
                <w:szCs w:val="20"/>
                <w:lang w:eastAsia="en-US"/>
              </w:rPr>
              <w:t>3</w:t>
            </w:r>
            <w:r w:rsidRPr="00ED144B">
              <w:rPr>
                <w:rFonts w:asciiTheme="minorHAnsi" w:eastAsiaTheme="minorHAnsi" w:hAnsiTheme="minorHAnsi" w:cstheme="minorBidi"/>
                <w:sz w:val="20"/>
                <w:szCs w:val="20"/>
                <w:lang w:eastAsia="en-US"/>
              </w:rPr>
              <w:t>000 hectares de cultures pérennes installées</w:t>
            </w:r>
            <w:r>
              <w:rPr>
                <w:rFonts w:asciiTheme="minorHAnsi" w:eastAsiaTheme="minorHAnsi" w:hAnsiTheme="minorHAnsi" w:cstheme="minorBidi"/>
                <w:sz w:val="20"/>
                <w:szCs w:val="20"/>
                <w:lang w:eastAsia="en-US"/>
              </w:rPr>
              <w:t xml:space="preserve"> en zone forestière </w:t>
            </w:r>
            <w:r w:rsidRPr="00ED144B">
              <w:rPr>
                <w:rFonts w:asciiTheme="minorHAnsi" w:eastAsiaTheme="minorHAnsi" w:hAnsiTheme="minorHAnsi" w:cstheme="minorBidi"/>
                <w:sz w:val="20"/>
                <w:szCs w:val="20"/>
                <w:lang w:eastAsia="en-US"/>
              </w:rPr>
              <w:t>(café, cacao, hévéa et palmier à huile)</w:t>
            </w:r>
          </w:p>
          <w:p w:rsidR="00431D34" w:rsidRDefault="00431D34" w:rsidP="002E3A02">
            <w:pPr>
              <w:pStyle w:val="ListParagraph"/>
              <w:numPr>
                <w:ilvl w:val="0"/>
                <w:numId w:val="15"/>
              </w:numPr>
              <w:contextualSpacing/>
              <w:jc w:val="both"/>
              <w:rPr>
                <w:rFonts w:eastAsiaTheme="minorHAnsi"/>
                <w:sz w:val="20"/>
                <w:szCs w:val="20"/>
                <w:lang w:eastAsia="en-US"/>
              </w:rPr>
            </w:pPr>
            <w:r>
              <w:rPr>
                <w:rFonts w:asciiTheme="minorHAnsi" w:eastAsiaTheme="minorHAnsi" w:hAnsiTheme="minorHAnsi"/>
                <w:sz w:val="20"/>
                <w:szCs w:val="20"/>
                <w:lang w:eastAsia="en-US"/>
              </w:rPr>
              <w:t>495 hectares de palmier à huile installés en savanes</w:t>
            </w:r>
          </w:p>
          <w:p w:rsidR="00431D34" w:rsidRDefault="00431D34" w:rsidP="002E3A02">
            <w:pPr>
              <w:pStyle w:val="ListParagraph"/>
              <w:numPr>
                <w:ilvl w:val="0"/>
                <w:numId w:val="15"/>
              </w:numPr>
              <w:contextualSpacing/>
              <w:jc w:val="both"/>
              <w:rPr>
                <w:rFonts w:eastAsiaTheme="minorHAnsi"/>
                <w:sz w:val="20"/>
                <w:szCs w:val="20"/>
                <w:lang w:eastAsia="en-US"/>
              </w:rPr>
            </w:pPr>
            <w:r>
              <w:rPr>
                <w:rFonts w:asciiTheme="minorHAnsi" w:eastAsiaTheme="minorHAnsi" w:hAnsiTheme="minorHAnsi"/>
                <w:sz w:val="20"/>
                <w:szCs w:val="20"/>
                <w:lang w:eastAsia="en-US"/>
              </w:rPr>
              <w:t>Semences améliorées (maïs, manioc / parc à bois) mises à disposition de 360 CLD</w:t>
            </w:r>
          </w:p>
          <w:p w:rsidR="00865119" w:rsidRDefault="00865119" w:rsidP="002E3A02">
            <w:pPr>
              <w:pStyle w:val="ListParagraph"/>
              <w:numPr>
                <w:ilvl w:val="0"/>
                <w:numId w:val="15"/>
              </w:numPr>
              <w:contextualSpacing/>
              <w:jc w:val="both"/>
              <w:rPr>
                <w:rFonts w:eastAsiaTheme="minorHAnsi"/>
                <w:sz w:val="20"/>
                <w:szCs w:val="20"/>
                <w:lang w:eastAsia="en-US"/>
              </w:rPr>
            </w:pPr>
            <w:r>
              <w:rPr>
                <w:rFonts w:asciiTheme="minorHAnsi" w:eastAsiaTheme="minorHAnsi" w:hAnsiTheme="minorHAnsi"/>
                <w:sz w:val="20"/>
                <w:szCs w:val="20"/>
                <w:lang w:eastAsia="en-US"/>
              </w:rPr>
              <w:t>Equipements de transformation des produits agricoles mis à disposition des quatre territoires (4 par territoire),</w:t>
            </w:r>
          </w:p>
          <w:p w:rsidR="00865119" w:rsidRDefault="00865119" w:rsidP="002E3A02">
            <w:pPr>
              <w:pStyle w:val="ListParagraph"/>
              <w:numPr>
                <w:ilvl w:val="0"/>
                <w:numId w:val="15"/>
              </w:numPr>
              <w:contextualSpacing/>
              <w:jc w:val="both"/>
              <w:rPr>
                <w:rFonts w:eastAsiaTheme="minorHAnsi"/>
                <w:sz w:val="20"/>
                <w:szCs w:val="20"/>
                <w:lang w:eastAsia="en-US"/>
              </w:rPr>
            </w:pPr>
            <w:r w:rsidRPr="00865119">
              <w:rPr>
                <w:rFonts w:asciiTheme="minorHAnsi" w:eastAsiaTheme="minorHAnsi" w:hAnsiTheme="minorHAnsi"/>
                <w:sz w:val="20"/>
                <w:szCs w:val="20"/>
                <w:lang w:eastAsia="en-US"/>
              </w:rPr>
              <w:t xml:space="preserve">Services de l’agriculture </w:t>
            </w:r>
            <w:r w:rsidR="00F900FF">
              <w:rPr>
                <w:rFonts w:asciiTheme="minorHAnsi" w:eastAsiaTheme="minorHAnsi" w:hAnsiTheme="minorHAnsi"/>
                <w:sz w:val="20"/>
                <w:szCs w:val="20"/>
                <w:lang w:eastAsia="en-US"/>
              </w:rPr>
              <w:t>(5 agents par territoire)</w:t>
            </w:r>
            <w:r w:rsidRPr="00865119">
              <w:rPr>
                <w:rFonts w:asciiTheme="minorHAnsi" w:eastAsiaTheme="minorHAnsi" w:hAnsiTheme="minorHAnsi"/>
                <w:sz w:val="20"/>
                <w:szCs w:val="20"/>
                <w:lang w:eastAsia="en-US"/>
              </w:rPr>
              <w:t xml:space="preserve"> formés et équipés</w:t>
            </w:r>
            <w:r w:rsidR="00F900FF">
              <w:rPr>
                <w:rFonts w:asciiTheme="minorHAnsi" w:eastAsiaTheme="minorHAnsi" w:hAnsiTheme="minorHAnsi"/>
                <w:sz w:val="20"/>
                <w:szCs w:val="20"/>
                <w:lang w:eastAsia="en-US"/>
              </w:rPr>
              <w:t xml:space="preserve"> pour des missions de vulgarisation,</w:t>
            </w:r>
          </w:p>
          <w:p w:rsidR="00F900FF" w:rsidRDefault="00F900FF" w:rsidP="002E3A02">
            <w:pPr>
              <w:pStyle w:val="ListParagraph"/>
              <w:numPr>
                <w:ilvl w:val="0"/>
                <w:numId w:val="15"/>
              </w:numPr>
              <w:contextualSpacing/>
              <w:jc w:val="both"/>
              <w:rPr>
                <w:rFonts w:eastAsiaTheme="minorHAnsi"/>
                <w:sz w:val="20"/>
                <w:szCs w:val="20"/>
                <w:lang w:eastAsia="en-US"/>
              </w:rPr>
            </w:pPr>
            <w:r>
              <w:rPr>
                <w:rFonts w:asciiTheme="minorHAnsi" w:eastAsiaTheme="minorHAnsi" w:hAnsiTheme="minorHAnsi"/>
                <w:sz w:val="20"/>
                <w:szCs w:val="20"/>
                <w:lang w:eastAsia="en-US"/>
              </w:rPr>
              <w:t>Inspection Provinciale de l’Agriculture supportée dans ses missions de suivi-évaluation</w:t>
            </w:r>
          </w:p>
          <w:p w:rsidR="0088234D" w:rsidRPr="00ED144B" w:rsidRDefault="0088234D" w:rsidP="002E3A02">
            <w:pPr>
              <w:pStyle w:val="ListParagraph"/>
              <w:numPr>
                <w:ilvl w:val="0"/>
                <w:numId w:val="15"/>
              </w:numPr>
              <w:contextualSpacing/>
              <w:jc w:val="both"/>
              <w:rPr>
                <w:rFonts w:eastAsiaTheme="minorHAnsi"/>
                <w:sz w:val="20"/>
                <w:szCs w:val="20"/>
                <w:lang w:eastAsia="en-US"/>
              </w:rPr>
            </w:pPr>
            <w:r>
              <w:rPr>
                <w:rFonts w:asciiTheme="minorHAnsi" w:eastAsiaTheme="minorHAnsi" w:hAnsiTheme="minorHAnsi"/>
                <w:sz w:val="20"/>
                <w:szCs w:val="20"/>
                <w:lang w:eastAsia="en-US"/>
              </w:rPr>
              <w:t>Filière (café, cacao, hévéa, palmier à huile) en phase de développement et de structuration</w:t>
            </w:r>
          </w:p>
        </w:tc>
      </w:tr>
      <w:tr w:rsidR="00BC1321" w:rsidTr="00ED144B">
        <w:tc>
          <w:tcPr>
            <w:tcW w:w="1705" w:type="dxa"/>
          </w:tcPr>
          <w:p w:rsidR="00BC1321" w:rsidRDefault="002B4B74" w:rsidP="00BC1321">
            <w:pPr>
              <w:spacing w:after="120"/>
              <w:contextualSpacing/>
              <w:jc w:val="both"/>
              <w:rPr>
                <w:rFonts w:eastAsiaTheme="minorHAnsi"/>
                <w:b/>
                <w:sz w:val="20"/>
                <w:szCs w:val="20"/>
                <w:lang w:eastAsia="en-US"/>
              </w:rPr>
            </w:pPr>
            <w:r>
              <w:rPr>
                <w:rFonts w:eastAsiaTheme="minorHAnsi"/>
                <w:b/>
                <w:sz w:val="20"/>
                <w:szCs w:val="20"/>
                <w:lang w:eastAsia="en-US"/>
              </w:rPr>
              <w:t xml:space="preserve">Objectif 2 : </w:t>
            </w:r>
          </w:p>
          <w:p w:rsidR="0041496B" w:rsidRPr="00ED144B" w:rsidRDefault="0041496B" w:rsidP="00BC1321">
            <w:pPr>
              <w:spacing w:after="120"/>
              <w:contextualSpacing/>
              <w:jc w:val="both"/>
              <w:rPr>
                <w:rFonts w:eastAsiaTheme="minorHAnsi"/>
                <w:b/>
                <w:sz w:val="20"/>
                <w:szCs w:val="20"/>
                <w:lang w:val="en-US" w:eastAsia="en-US"/>
              </w:rPr>
            </w:pPr>
            <w:r>
              <w:rPr>
                <w:rFonts w:eastAsiaTheme="minorHAnsi"/>
                <w:b/>
                <w:sz w:val="20"/>
                <w:szCs w:val="20"/>
                <w:lang w:eastAsia="en-US"/>
              </w:rPr>
              <w:t>Energie</w:t>
            </w:r>
          </w:p>
        </w:tc>
        <w:tc>
          <w:tcPr>
            <w:tcW w:w="3844" w:type="dxa"/>
          </w:tcPr>
          <w:p w:rsidR="00BC1321" w:rsidRPr="00ED144B" w:rsidRDefault="0041496B" w:rsidP="0041496B">
            <w:pPr>
              <w:spacing w:after="120"/>
              <w:contextualSpacing/>
              <w:jc w:val="both"/>
              <w:rPr>
                <w:rFonts w:eastAsiaTheme="minorHAnsi"/>
                <w:sz w:val="20"/>
                <w:szCs w:val="20"/>
                <w:lang w:eastAsia="en-US"/>
              </w:rPr>
            </w:pPr>
            <w:r>
              <w:rPr>
                <w:rFonts w:eastAsiaTheme="minorHAnsi"/>
                <w:sz w:val="20"/>
                <w:szCs w:val="20"/>
                <w:lang w:eastAsia="en-US"/>
              </w:rPr>
              <w:t>« </w:t>
            </w:r>
            <w:r w:rsidRPr="00ED144B">
              <w:rPr>
                <w:rFonts w:eastAsiaTheme="minorHAnsi"/>
                <w:sz w:val="20"/>
                <w:szCs w:val="20"/>
                <w:lang w:eastAsia="en-US"/>
              </w:rPr>
              <w:t>Réalisation des études de références dans les zones ciblées par les programmes</w:t>
            </w:r>
            <w:r>
              <w:rPr>
                <w:rFonts w:eastAsiaTheme="minorHAnsi"/>
                <w:sz w:val="20"/>
                <w:szCs w:val="20"/>
                <w:lang w:eastAsia="en-US"/>
              </w:rPr>
              <w:t xml:space="preserve"> </w:t>
            </w:r>
            <w:r w:rsidRPr="00ED144B">
              <w:rPr>
                <w:rFonts w:eastAsiaTheme="minorHAnsi"/>
                <w:sz w:val="20"/>
                <w:szCs w:val="20"/>
                <w:lang w:eastAsia="en-US"/>
              </w:rPr>
              <w:t>intégrés sur la production, la consommation et l’efficacité énergétique dans l’utilisation de la</w:t>
            </w:r>
            <w:r>
              <w:rPr>
                <w:rFonts w:eastAsiaTheme="minorHAnsi"/>
                <w:sz w:val="20"/>
                <w:szCs w:val="20"/>
                <w:lang w:eastAsia="en-US"/>
              </w:rPr>
              <w:t xml:space="preserve"> </w:t>
            </w:r>
            <w:r w:rsidRPr="00ED144B">
              <w:rPr>
                <w:rFonts w:eastAsiaTheme="minorHAnsi"/>
                <w:sz w:val="20"/>
                <w:szCs w:val="20"/>
                <w:lang w:eastAsia="en-US"/>
              </w:rPr>
              <w:t>ressource bois</w:t>
            </w:r>
            <w:r>
              <w:rPr>
                <w:rFonts w:eastAsiaTheme="minorHAnsi"/>
                <w:sz w:val="20"/>
                <w:szCs w:val="20"/>
                <w:lang w:eastAsia="en-US"/>
              </w:rPr>
              <w:t> »</w:t>
            </w:r>
          </w:p>
        </w:tc>
        <w:tc>
          <w:tcPr>
            <w:tcW w:w="3845" w:type="dxa"/>
          </w:tcPr>
          <w:p w:rsidR="00BC1321" w:rsidRDefault="009F1630" w:rsidP="002E3A02">
            <w:pPr>
              <w:pStyle w:val="ListParagraph"/>
              <w:numPr>
                <w:ilvl w:val="0"/>
                <w:numId w:val="15"/>
              </w:numPr>
              <w:spacing w:after="120"/>
              <w:contextualSpacing/>
              <w:jc w:val="both"/>
              <w:rPr>
                <w:rFonts w:eastAsiaTheme="minorHAnsi"/>
                <w:sz w:val="20"/>
                <w:szCs w:val="20"/>
                <w:lang w:eastAsia="en-US"/>
              </w:rPr>
            </w:pPr>
            <w:r>
              <w:rPr>
                <w:rFonts w:asciiTheme="minorHAnsi" w:eastAsiaTheme="minorHAnsi" w:hAnsiTheme="minorHAnsi" w:cstheme="minorBidi"/>
                <w:sz w:val="20"/>
                <w:szCs w:val="20"/>
                <w:lang w:eastAsia="en-US"/>
              </w:rPr>
              <w:t>21 PDD et 300 PSG</w:t>
            </w:r>
            <w:r w:rsidR="0041496B" w:rsidRPr="00ED144B">
              <w:rPr>
                <w:rFonts w:asciiTheme="minorHAnsi" w:eastAsiaTheme="minorHAnsi" w:hAnsiTheme="minorHAnsi" w:cstheme="minorBidi"/>
                <w:sz w:val="20"/>
                <w:szCs w:val="20"/>
                <w:lang w:eastAsia="en-US"/>
              </w:rPr>
              <w:t xml:space="preserve"> dûment finalisés</w:t>
            </w:r>
          </w:p>
          <w:p w:rsidR="00431D34" w:rsidRDefault="0041496B" w:rsidP="002E3A02">
            <w:pPr>
              <w:pStyle w:val="ListParagraph"/>
              <w:numPr>
                <w:ilvl w:val="0"/>
                <w:numId w:val="15"/>
              </w:numPr>
              <w:spacing w:after="120"/>
              <w:contextualSpacing/>
              <w:jc w:val="both"/>
              <w:rPr>
                <w:rFonts w:eastAsiaTheme="minorHAnsi"/>
                <w:sz w:val="20"/>
                <w:szCs w:val="20"/>
                <w:lang w:eastAsia="en-US"/>
              </w:rPr>
            </w:pPr>
            <w:r>
              <w:rPr>
                <w:rFonts w:asciiTheme="minorHAnsi" w:eastAsiaTheme="minorHAnsi" w:hAnsiTheme="minorHAnsi" w:cstheme="minorBidi"/>
                <w:sz w:val="20"/>
                <w:szCs w:val="20"/>
                <w:lang w:eastAsia="en-US"/>
              </w:rPr>
              <w:t xml:space="preserve">9000 ha </w:t>
            </w:r>
            <w:r w:rsidR="00431D34">
              <w:rPr>
                <w:rFonts w:asciiTheme="minorHAnsi" w:eastAsiaTheme="minorHAnsi" w:hAnsiTheme="minorHAnsi" w:cstheme="minorBidi"/>
                <w:sz w:val="20"/>
                <w:szCs w:val="20"/>
                <w:lang w:eastAsia="en-US"/>
              </w:rPr>
              <w:t xml:space="preserve">mis </w:t>
            </w:r>
            <w:r>
              <w:rPr>
                <w:rFonts w:asciiTheme="minorHAnsi" w:eastAsiaTheme="minorHAnsi" w:hAnsiTheme="minorHAnsi" w:cstheme="minorBidi"/>
                <w:sz w:val="20"/>
                <w:szCs w:val="20"/>
                <w:lang w:eastAsia="en-US"/>
              </w:rPr>
              <w:t>en défens</w:t>
            </w:r>
          </w:p>
          <w:p w:rsidR="0041496B" w:rsidRPr="00ED144B" w:rsidRDefault="0041496B" w:rsidP="002E3A02">
            <w:pPr>
              <w:pStyle w:val="ListParagraph"/>
              <w:numPr>
                <w:ilvl w:val="0"/>
                <w:numId w:val="15"/>
              </w:numPr>
              <w:spacing w:after="120"/>
              <w:contextualSpacing/>
              <w:jc w:val="both"/>
              <w:rPr>
                <w:rFonts w:eastAsiaTheme="minorHAnsi"/>
                <w:sz w:val="20"/>
                <w:szCs w:val="20"/>
                <w:lang w:eastAsia="en-US"/>
              </w:rPr>
            </w:pPr>
            <w:r w:rsidRPr="0041496B">
              <w:rPr>
                <w:sz w:val="20"/>
                <w:szCs w:val="20"/>
              </w:rPr>
              <w:t>10</w:t>
            </w:r>
            <w:r w:rsidR="00431D34">
              <w:rPr>
                <w:sz w:val="20"/>
                <w:szCs w:val="20"/>
              </w:rPr>
              <w:t>00 ha d’acacia dûment installés</w:t>
            </w:r>
          </w:p>
          <w:p w:rsidR="00F900FF" w:rsidRPr="00ED144B" w:rsidRDefault="00F900FF">
            <w:pPr>
              <w:spacing w:after="120"/>
              <w:contextualSpacing/>
              <w:jc w:val="both"/>
              <w:rPr>
                <w:rFonts w:eastAsiaTheme="minorHAnsi"/>
                <w:sz w:val="20"/>
                <w:szCs w:val="20"/>
                <w:lang w:eastAsia="en-US"/>
              </w:rPr>
            </w:pPr>
            <w:r>
              <w:rPr>
                <w:rFonts w:eastAsiaTheme="minorHAnsi"/>
                <w:sz w:val="20"/>
                <w:szCs w:val="20"/>
                <w:lang w:eastAsia="en-US"/>
              </w:rPr>
              <w:t xml:space="preserve">La ruralité du district de Mai-Ndombe, caractérisée par l’absence de grands centres urbains, ne </w:t>
            </w:r>
            <w:r w:rsidR="00402DC6">
              <w:rPr>
                <w:rFonts w:eastAsiaTheme="minorHAnsi"/>
                <w:sz w:val="20"/>
                <w:szCs w:val="20"/>
                <w:lang w:eastAsia="en-US"/>
              </w:rPr>
              <w:t>justifie pas la réalisation de telles études. Le projet ne prévoit pas la diffusion de foyers améliorés, car les populations du district de Mai-Ndombe dispose d’une ressource ligneuse abondante dont ils peuvent dépendre pour leurs besoins domestiques sans dommage aucun sur la forêt.</w:t>
            </w:r>
          </w:p>
        </w:tc>
      </w:tr>
      <w:tr w:rsidR="00BC1321" w:rsidTr="00ED144B">
        <w:tc>
          <w:tcPr>
            <w:tcW w:w="1705" w:type="dxa"/>
          </w:tcPr>
          <w:p w:rsidR="00BC1321" w:rsidRDefault="00B3184F" w:rsidP="00BC1321">
            <w:pPr>
              <w:spacing w:after="120"/>
              <w:contextualSpacing/>
              <w:jc w:val="both"/>
              <w:rPr>
                <w:rFonts w:eastAsiaTheme="minorHAnsi"/>
                <w:b/>
                <w:sz w:val="20"/>
                <w:szCs w:val="20"/>
                <w:lang w:eastAsia="en-US"/>
              </w:rPr>
            </w:pPr>
            <w:r>
              <w:rPr>
                <w:rFonts w:eastAsiaTheme="minorHAnsi"/>
                <w:b/>
                <w:sz w:val="20"/>
                <w:szCs w:val="20"/>
                <w:lang w:eastAsia="en-US"/>
              </w:rPr>
              <w:t>Objectif 3 :</w:t>
            </w:r>
          </w:p>
          <w:p w:rsidR="00B3184F" w:rsidRDefault="00B3184F" w:rsidP="00BC1321">
            <w:pPr>
              <w:spacing w:after="120"/>
              <w:contextualSpacing/>
              <w:jc w:val="both"/>
              <w:rPr>
                <w:rFonts w:eastAsiaTheme="minorHAnsi"/>
                <w:b/>
                <w:sz w:val="20"/>
                <w:szCs w:val="20"/>
                <w:lang w:eastAsia="en-US"/>
              </w:rPr>
            </w:pPr>
            <w:r>
              <w:rPr>
                <w:rFonts w:eastAsiaTheme="minorHAnsi"/>
                <w:b/>
                <w:sz w:val="20"/>
                <w:szCs w:val="20"/>
                <w:lang w:eastAsia="en-US"/>
              </w:rPr>
              <w:t>Forêt</w:t>
            </w:r>
          </w:p>
        </w:tc>
        <w:tc>
          <w:tcPr>
            <w:tcW w:w="3844" w:type="dxa"/>
          </w:tcPr>
          <w:p w:rsidR="00BC1321" w:rsidRDefault="00FF7036" w:rsidP="00FF7036">
            <w:pPr>
              <w:spacing w:after="120"/>
              <w:contextualSpacing/>
              <w:jc w:val="both"/>
              <w:rPr>
                <w:rFonts w:eastAsiaTheme="minorHAnsi"/>
                <w:sz w:val="20"/>
                <w:szCs w:val="20"/>
                <w:lang w:eastAsia="en-US"/>
              </w:rPr>
            </w:pPr>
            <w:r>
              <w:rPr>
                <w:rFonts w:eastAsiaTheme="minorHAnsi"/>
                <w:sz w:val="20"/>
                <w:szCs w:val="20"/>
                <w:lang w:eastAsia="en-US"/>
              </w:rPr>
              <w:t>« </w:t>
            </w:r>
            <w:r w:rsidRPr="00FF7036">
              <w:rPr>
                <w:rFonts w:eastAsiaTheme="minorHAnsi"/>
                <w:sz w:val="20"/>
                <w:szCs w:val="20"/>
                <w:lang w:eastAsia="en-US"/>
              </w:rPr>
              <w:t>La promotion et la mise en œuvre de divers modèles locaux et communautaires de gestion des</w:t>
            </w:r>
            <w:r>
              <w:rPr>
                <w:rFonts w:eastAsiaTheme="minorHAnsi"/>
                <w:sz w:val="20"/>
                <w:szCs w:val="20"/>
                <w:lang w:eastAsia="en-US"/>
              </w:rPr>
              <w:t xml:space="preserve"> </w:t>
            </w:r>
            <w:r w:rsidRPr="00FF7036">
              <w:rPr>
                <w:rFonts w:eastAsiaTheme="minorHAnsi"/>
                <w:sz w:val="20"/>
                <w:szCs w:val="20"/>
                <w:lang w:eastAsia="en-US"/>
              </w:rPr>
              <w:t>forêts fera partie intégrante de la politique forestière, avec des standards rigoureux et en accord</w:t>
            </w:r>
            <w:r>
              <w:rPr>
                <w:rFonts w:eastAsiaTheme="minorHAnsi"/>
                <w:sz w:val="20"/>
                <w:szCs w:val="20"/>
                <w:lang w:eastAsia="en-US"/>
              </w:rPr>
              <w:t xml:space="preserve"> </w:t>
            </w:r>
            <w:r w:rsidRPr="00FF7036">
              <w:rPr>
                <w:rFonts w:eastAsiaTheme="minorHAnsi"/>
                <w:sz w:val="20"/>
                <w:szCs w:val="20"/>
                <w:lang w:eastAsia="en-US"/>
              </w:rPr>
              <w:t>avec l’Objectif 6</w:t>
            </w:r>
            <w:r>
              <w:rPr>
                <w:rFonts w:eastAsiaTheme="minorHAnsi"/>
                <w:sz w:val="20"/>
                <w:szCs w:val="20"/>
                <w:lang w:eastAsia="en-US"/>
              </w:rPr>
              <w:t> »</w:t>
            </w:r>
          </w:p>
          <w:p w:rsidR="0088234D" w:rsidRDefault="0088234D" w:rsidP="00FF7036">
            <w:pPr>
              <w:spacing w:after="120"/>
              <w:contextualSpacing/>
              <w:jc w:val="both"/>
              <w:rPr>
                <w:rFonts w:eastAsiaTheme="minorHAnsi"/>
                <w:sz w:val="20"/>
                <w:szCs w:val="20"/>
                <w:lang w:eastAsia="en-US"/>
              </w:rPr>
            </w:pPr>
          </w:p>
          <w:p w:rsidR="0088234D" w:rsidRDefault="0088234D" w:rsidP="0088234D">
            <w:pPr>
              <w:spacing w:after="120"/>
              <w:contextualSpacing/>
              <w:jc w:val="both"/>
              <w:rPr>
                <w:rFonts w:eastAsiaTheme="minorHAnsi"/>
                <w:sz w:val="20"/>
                <w:szCs w:val="20"/>
                <w:lang w:eastAsia="en-US"/>
              </w:rPr>
            </w:pPr>
            <w:r>
              <w:rPr>
                <w:rFonts w:eastAsiaTheme="minorHAnsi"/>
                <w:sz w:val="20"/>
                <w:szCs w:val="20"/>
                <w:lang w:eastAsia="en-US"/>
              </w:rPr>
              <w:t>« </w:t>
            </w:r>
            <w:r w:rsidRPr="0088234D">
              <w:rPr>
                <w:rFonts w:eastAsiaTheme="minorHAnsi"/>
                <w:sz w:val="20"/>
                <w:szCs w:val="20"/>
                <w:lang w:eastAsia="en-US"/>
              </w:rPr>
              <w:t>Les concessions sans plan d’aménagement approuvé, ou tout au moins soumis formellement et</w:t>
            </w:r>
            <w:r>
              <w:rPr>
                <w:rFonts w:eastAsiaTheme="minorHAnsi"/>
                <w:sz w:val="20"/>
                <w:szCs w:val="20"/>
                <w:lang w:eastAsia="en-US"/>
              </w:rPr>
              <w:t xml:space="preserve"> </w:t>
            </w:r>
            <w:r w:rsidRPr="0088234D">
              <w:rPr>
                <w:rFonts w:eastAsiaTheme="minorHAnsi"/>
                <w:sz w:val="20"/>
                <w:szCs w:val="20"/>
                <w:lang w:eastAsia="en-US"/>
              </w:rPr>
              <w:t xml:space="preserve">de manière transparente selon les conditions et dates limites </w:t>
            </w:r>
            <w:r w:rsidRPr="0088234D">
              <w:rPr>
                <w:rFonts w:eastAsiaTheme="minorHAnsi"/>
                <w:sz w:val="20"/>
                <w:szCs w:val="20"/>
                <w:lang w:eastAsia="en-US"/>
              </w:rPr>
              <w:lastRenderedPageBreak/>
              <w:t>prescrites par la loi et les</w:t>
            </w:r>
            <w:r>
              <w:rPr>
                <w:rFonts w:eastAsiaTheme="minorHAnsi"/>
                <w:sz w:val="20"/>
                <w:szCs w:val="20"/>
                <w:lang w:eastAsia="en-US"/>
              </w:rPr>
              <w:t xml:space="preserve"> </w:t>
            </w:r>
            <w:r w:rsidRPr="0088234D">
              <w:rPr>
                <w:rFonts w:eastAsiaTheme="minorHAnsi"/>
                <w:sz w:val="20"/>
                <w:szCs w:val="20"/>
                <w:lang w:eastAsia="en-US"/>
              </w:rPr>
              <w:t>réglementations en vigueur, seront restituées à l’Etat au plus tard le 1er janvier 2019</w:t>
            </w:r>
            <w:r w:rsidR="00ED729E">
              <w:rPr>
                <w:rFonts w:eastAsiaTheme="minorHAnsi"/>
                <w:sz w:val="20"/>
                <w:szCs w:val="20"/>
                <w:lang w:eastAsia="en-US"/>
              </w:rPr>
              <w:t> »</w:t>
            </w:r>
          </w:p>
          <w:p w:rsidR="00ED729E" w:rsidRDefault="00ED729E" w:rsidP="0088234D">
            <w:pPr>
              <w:spacing w:after="120"/>
              <w:contextualSpacing/>
              <w:jc w:val="both"/>
              <w:rPr>
                <w:rFonts w:eastAsiaTheme="minorHAnsi"/>
                <w:sz w:val="20"/>
                <w:szCs w:val="20"/>
                <w:lang w:eastAsia="en-US"/>
              </w:rPr>
            </w:pPr>
          </w:p>
          <w:p w:rsidR="00ED729E" w:rsidRDefault="00ED729E" w:rsidP="00ED729E">
            <w:pPr>
              <w:spacing w:after="120"/>
              <w:contextualSpacing/>
              <w:jc w:val="both"/>
              <w:rPr>
                <w:rFonts w:eastAsiaTheme="minorHAnsi"/>
                <w:sz w:val="20"/>
                <w:szCs w:val="20"/>
                <w:lang w:eastAsia="en-US"/>
              </w:rPr>
            </w:pPr>
            <w:r>
              <w:rPr>
                <w:rFonts w:eastAsiaTheme="minorHAnsi"/>
                <w:sz w:val="20"/>
                <w:szCs w:val="20"/>
                <w:lang w:eastAsia="en-US"/>
              </w:rPr>
              <w:t>« </w:t>
            </w:r>
            <w:r w:rsidRPr="00ED729E">
              <w:rPr>
                <w:rFonts w:eastAsiaTheme="minorHAnsi"/>
                <w:sz w:val="20"/>
                <w:szCs w:val="20"/>
                <w:lang w:eastAsia="en-US"/>
              </w:rPr>
              <w:t xml:space="preserve">Un plan ambitieux pour combattre l’exploitation illégale est élaboré, validé </w:t>
            </w:r>
            <w:r>
              <w:rPr>
                <w:rFonts w:eastAsiaTheme="minorHAnsi"/>
                <w:sz w:val="20"/>
                <w:szCs w:val="20"/>
                <w:lang w:eastAsia="en-US"/>
              </w:rPr>
              <w:t xml:space="preserve">de manière </w:t>
            </w:r>
            <w:r w:rsidRPr="00ED729E">
              <w:rPr>
                <w:rFonts w:eastAsiaTheme="minorHAnsi"/>
                <w:sz w:val="20"/>
                <w:szCs w:val="20"/>
                <w:lang w:eastAsia="en-US"/>
              </w:rPr>
              <w:t>participative et progressivement mis en œuvre, en s’appuyant notamment sur les considérations</w:t>
            </w:r>
            <w:r>
              <w:rPr>
                <w:rFonts w:eastAsiaTheme="minorHAnsi"/>
                <w:sz w:val="20"/>
                <w:szCs w:val="20"/>
                <w:lang w:eastAsia="en-US"/>
              </w:rPr>
              <w:t xml:space="preserve"> </w:t>
            </w:r>
            <w:r w:rsidRPr="00ED729E">
              <w:rPr>
                <w:rFonts w:eastAsiaTheme="minorHAnsi"/>
                <w:sz w:val="20"/>
                <w:szCs w:val="20"/>
                <w:lang w:eastAsia="en-US"/>
              </w:rPr>
              <w:t>d’un Accord Volontaire de Partenariat entre la RDC et le FLEGT à promouvoir</w:t>
            </w:r>
            <w:r>
              <w:rPr>
                <w:rFonts w:eastAsiaTheme="minorHAnsi"/>
                <w:sz w:val="20"/>
                <w:szCs w:val="20"/>
                <w:lang w:eastAsia="en-US"/>
              </w:rPr>
              <w:t> »</w:t>
            </w:r>
          </w:p>
          <w:p w:rsidR="00ED729E" w:rsidRDefault="00ED729E" w:rsidP="00ED729E">
            <w:pPr>
              <w:spacing w:after="120"/>
              <w:contextualSpacing/>
              <w:jc w:val="both"/>
              <w:rPr>
                <w:rFonts w:eastAsiaTheme="minorHAnsi"/>
                <w:sz w:val="20"/>
                <w:szCs w:val="20"/>
                <w:lang w:eastAsia="en-US"/>
              </w:rPr>
            </w:pPr>
          </w:p>
          <w:p w:rsidR="00ED729E" w:rsidRPr="00ED729E" w:rsidRDefault="00ED729E" w:rsidP="00ED729E">
            <w:pPr>
              <w:spacing w:after="120"/>
              <w:contextualSpacing/>
              <w:jc w:val="both"/>
              <w:rPr>
                <w:rFonts w:eastAsiaTheme="minorHAnsi"/>
                <w:sz w:val="20"/>
                <w:szCs w:val="20"/>
                <w:lang w:eastAsia="en-US"/>
              </w:rPr>
            </w:pPr>
            <w:r>
              <w:rPr>
                <w:rFonts w:eastAsiaTheme="minorHAnsi"/>
                <w:sz w:val="20"/>
                <w:szCs w:val="20"/>
                <w:lang w:eastAsia="en-US"/>
              </w:rPr>
              <w:t>« </w:t>
            </w:r>
            <w:r w:rsidRPr="00ED729E">
              <w:rPr>
                <w:rFonts w:eastAsiaTheme="minorHAnsi"/>
                <w:sz w:val="20"/>
                <w:szCs w:val="20"/>
                <w:lang w:eastAsia="en-US"/>
              </w:rPr>
              <w:t>Dans le cadre de l’allocation de nouvelles concessions forestières industri</w:t>
            </w:r>
            <w:r>
              <w:rPr>
                <w:rFonts w:eastAsiaTheme="minorHAnsi"/>
                <w:sz w:val="20"/>
                <w:szCs w:val="20"/>
                <w:lang w:eastAsia="en-US"/>
              </w:rPr>
              <w:t xml:space="preserve">elles, les procédures </w:t>
            </w:r>
            <w:r w:rsidRPr="00ED729E">
              <w:rPr>
                <w:rFonts w:eastAsiaTheme="minorHAnsi"/>
                <w:sz w:val="20"/>
                <w:szCs w:val="20"/>
                <w:lang w:eastAsia="en-US"/>
              </w:rPr>
              <w:t>prévues par le Code forestier en termes (i) d’adjudication, (ii) d’enquête publique préalable, et</w:t>
            </w:r>
            <w:r>
              <w:rPr>
                <w:rFonts w:eastAsiaTheme="minorHAnsi"/>
                <w:sz w:val="20"/>
                <w:szCs w:val="20"/>
                <w:lang w:eastAsia="en-US"/>
              </w:rPr>
              <w:t xml:space="preserve"> </w:t>
            </w:r>
            <w:r w:rsidRPr="00ED729E">
              <w:rPr>
                <w:rFonts w:eastAsiaTheme="minorHAnsi"/>
                <w:sz w:val="20"/>
                <w:szCs w:val="20"/>
                <w:lang w:eastAsia="en-US"/>
              </w:rPr>
              <w:t>(iii) de négociation des clauses sociales au profit des communautés dans le cadre du cahier des</w:t>
            </w:r>
            <w:r>
              <w:rPr>
                <w:rFonts w:eastAsiaTheme="minorHAnsi"/>
                <w:sz w:val="20"/>
                <w:szCs w:val="20"/>
                <w:lang w:eastAsia="en-US"/>
              </w:rPr>
              <w:t xml:space="preserve"> </w:t>
            </w:r>
            <w:r w:rsidRPr="00ED729E">
              <w:rPr>
                <w:rFonts w:eastAsiaTheme="minorHAnsi"/>
                <w:sz w:val="20"/>
                <w:szCs w:val="20"/>
                <w:lang w:eastAsia="en-US"/>
              </w:rPr>
              <w:t>charge, seront réalisées en assurant des standards de qualité et de transparence particulièrement</w:t>
            </w:r>
          </w:p>
          <w:p w:rsidR="00ED729E" w:rsidRDefault="00ED729E" w:rsidP="00ED729E">
            <w:pPr>
              <w:spacing w:after="120"/>
              <w:contextualSpacing/>
              <w:jc w:val="both"/>
              <w:rPr>
                <w:rFonts w:eastAsiaTheme="minorHAnsi"/>
                <w:sz w:val="20"/>
                <w:szCs w:val="20"/>
                <w:lang w:eastAsia="en-US"/>
              </w:rPr>
            </w:pPr>
            <w:r w:rsidRPr="00ED729E">
              <w:rPr>
                <w:rFonts w:eastAsiaTheme="minorHAnsi"/>
                <w:sz w:val="20"/>
                <w:szCs w:val="20"/>
                <w:lang w:eastAsia="en-US"/>
              </w:rPr>
              <w:t>élevés ‐ y compris une déclaration des représentants des popula</w:t>
            </w:r>
            <w:r>
              <w:rPr>
                <w:rFonts w:eastAsiaTheme="minorHAnsi"/>
                <w:sz w:val="20"/>
                <w:szCs w:val="20"/>
                <w:lang w:eastAsia="en-US"/>
              </w:rPr>
              <w:t xml:space="preserve">tions riveraines notifiant leur </w:t>
            </w:r>
            <w:r w:rsidRPr="00ED729E">
              <w:rPr>
                <w:rFonts w:eastAsiaTheme="minorHAnsi"/>
                <w:sz w:val="20"/>
                <w:szCs w:val="20"/>
                <w:lang w:eastAsia="en-US"/>
              </w:rPr>
              <w:t>accord de principe pour engager des négociations sur les clauses sociales, comme prévu dans le</w:t>
            </w:r>
            <w:r>
              <w:rPr>
                <w:rFonts w:eastAsiaTheme="minorHAnsi"/>
                <w:sz w:val="20"/>
                <w:szCs w:val="20"/>
                <w:lang w:eastAsia="en-US"/>
              </w:rPr>
              <w:t xml:space="preserve"> </w:t>
            </w:r>
            <w:r w:rsidRPr="00ED729E">
              <w:rPr>
                <w:rFonts w:eastAsiaTheme="minorHAnsi"/>
                <w:sz w:val="20"/>
                <w:szCs w:val="20"/>
                <w:lang w:eastAsia="en-US"/>
              </w:rPr>
              <w:t>cadre réglementaire ‐ et en accord avec l’Objectif 6</w:t>
            </w:r>
            <w:r>
              <w:rPr>
                <w:rFonts w:eastAsiaTheme="minorHAnsi"/>
                <w:sz w:val="20"/>
                <w:szCs w:val="20"/>
                <w:lang w:eastAsia="en-US"/>
              </w:rPr>
              <w:t> »</w:t>
            </w:r>
          </w:p>
          <w:p w:rsidR="00ED729E" w:rsidRPr="00ED144B" w:rsidRDefault="00ED729E" w:rsidP="0088234D">
            <w:pPr>
              <w:spacing w:after="120"/>
              <w:contextualSpacing/>
              <w:jc w:val="both"/>
              <w:rPr>
                <w:rFonts w:eastAsiaTheme="minorHAnsi"/>
                <w:sz w:val="20"/>
                <w:szCs w:val="20"/>
                <w:lang w:eastAsia="en-US"/>
              </w:rPr>
            </w:pPr>
          </w:p>
        </w:tc>
        <w:tc>
          <w:tcPr>
            <w:tcW w:w="3845" w:type="dxa"/>
          </w:tcPr>
          <w:p w:rsidR="00431D34" w:rsidRPr="00431D34" w:rsidRDefault="009F1630" w:rsidP="002E3A02">
            <w:pPr>
              <w:pStyle w:val="ListParagraph"/>
              <w:numPr>
                <w:ilvl w:val="0"/>
                <w:numId w:val="15"/>
              </w:num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lastRenderedPageBreak/>
              <w:t>21 PDD et 300 PSG</w:t>
            </w:r>
            <w:r w:rsidR="00431D34" w:rsidRPr="00431D34">
              <w:rPr>
                <w:rFonts w:asciiTheme="minorHAnsi" w:eastAsiaTheme="minorHAnsi" w:hAnsiTheme="minorHAnsi" w:cstheme="minorBidi"/>
                <w:sz w:val="20"/>
                <w:szCs w:val="20"/>
                <w:lang w:eastAsia="en-US"/>
              </w:rPr>
              <w:t xml:space="preserve"> dûment finalisés</w:t>
            </w:r>
          </w:p>
          <w:p w:rsidR="00BC1321" w:rsidRPr="00ED144B" w:rsidRDefault="00951CDF" w:rsidP="002E3A02">
            <w:pPr>
              <w:pStyle w:val="ListParagraph"/>
              <w:numPr>
                <w:ilvl w:val="0"/>
                <w:numId w:val="15"/>
              </w:numPr>
              <w:spacing w:after="120"/>
              <w:contextualSpacing/>
              <w:jc w:val="both"/>
              <w:rPr>
                <w:rFonts w:eastAsiaTheme="minorHAnsi"/>
                <w:b/>
                <w:sz w:val="20"/>
                <w:szCs w:val="20"/>
                <w:lang w:eastAsia="en-US"/>
              </w:rPr>
            </w:pPr>
            <w:r w:rsidRPr="00ED144B">
              <w:rPr>
                <w:rFonts w:asciiTheme="minorHAnsi" w:eastAsiaTheme="minorHAnsi" w:hAnsiTheme="minorHAnsi" w:cstheme="minorBidi"/>
                <w:sz w:val="20"/>
                <w:szCs w:val="20"/>
                <w:lang w:eastAsia="en-US"/>
              </w:rPr>
              <w:t>3000 ha de forêts communautaires dédiés à la conservation.</w:t>
            </w:r>
          </w:p>
          <w:p w:rsidR="00865119" w:rsidRPr="00ED144B" w:rsidRDefault="00865119" w:rsidP="002E3A02">
            <w:pPr>
              <w:pStyle w:val="ListParagraph"/>
              <w:numPr>
                <w:ilvl w:val="0"/>
                <w:numId w:val="15"/>
              </w:numPr>
              <w:spacing w:after="120"/>
              <w:contextualSpacing/>
              <w:jc w:val="both"/>
              <w:rPr>
                <w:rFonts w:eastAsiaTheme="minorHAnsi"/>
                <w:b/>
                <w:sz w:val="20"/>
                <w:szCs w:val="20"/>
                <w:lang w:eastAsia="en-US"/>
              </w:rPr>
            </w:pPr>
            <w:r>
              <w:rPr>
                <w:rFonts w:asciiTheme="minorHAnsi" w:eastAsiaTheme="minorHAnsi" w:hAnsiTheme="minorHAnsi" w:cstheme="minorBidi"/>
                <w:sz w:val="20"/>
                <w:szCs w:val="20"/>
                <w:lang w:eastAsia="en-US"/>
              </w:rPr>
              <w:t>Agents de contrôle forestiers</w:t>
            </w:r>
            <w:r w:rsidR="0088234D">
              <w:rPr>
                <w:rFonts w:asciiTheme="minorHAnsi" w:eastAsiaTheme="minorHAnsi" w:hAnsiTheme="minorHAnsi" w:cstheme="minorBidi"/>
                <w:sz w:val="20"/>
                <w:szCs w:val="20"/>
                <w:lang w:eastAsia="en-US"/>
              </w:rPr>
              <w:t xml:space="preserve"> (5 par territoire)</w:t>
            </w:r>
            <w:r>
              <w:rPr>
                <w:rFonts w:asciiTheme="minorHAnsi" w:eastAsiaTheme="minorHAnsi" w:hAnsiTheme="minorHAnsi" w:cstheme="minorBidi"/>
                <w:sz w:val="20"/>
                <w:szCs w:val="20"/>
                <w:lang w:eastAsia="en-US"/>
              </w:rPr>
              <w:t xml:space="preserve"> formés</w:t>
            </w:r>
            <w:r w:rsidR="0088234D">
              <w:rPr>
                <w:rFonts w:asciiTheme="minorHAnsi" w:eastAsiaTheme="minorHAnsi" w:hAnsiTheme="minorHAnsi" w:cstheme="minorBidi"/>
                <w:sz w:val="20"/>
                <w:szCs w:val="20"/>
                <w:lang w:eastAsia="en-US"/>
              </w:rPr>
              <w:t xml:space="preserve"> et reconnus pour leur performance</w:t>
            </w:r>
            <w:r>
              <w:rPr>
                <w:rFonts w:asciiTheme="minorHAnsi" w:eastAsiaTheme="minorHAnsi" w:hAnsiTheme="minorHAnsi" w:cstheme="minorBidi"/>
                <w:sz w:val="20"/>
                <w:szCs w:val="20"/>
                <w:lang w:eastAsia="en-US"/>
              </w:rPr>
              <w:t>,</w:t>
            </w:r>
          </w:p>
          <w:p w:rsidR="00865119" w:rsidRPr="00ED144B" w:rsidRDefault="00865119" w:rsidP="002E3A02">
            <w:pPr>
              <w:pStyle w:val="ListParagraph"/>
              <w:numPr>
                <w:ilvl w:val="0"/>
                <w:numId w:val="15"/>
              </w:numPr>
              <w:rPr>
                <w:rFonts w:eastAsiaTheme="minorHAnsi"/>
                <w:b/>
                <w:sz w:val="20"/>
                <w:szCs w:val="20"/>
                <w:lang w:eastAsia="en-US"/>
              </w:rPr>
            </w:pPr>
            <w:r w:rsidRPr="00ED144B">
              <w:rPr>
                <w:rFonts w:asciiTheme="minorHAnsi" w:eastAsiaTheme="minorHAnsi" w:hAnsiTheme="minorHAnsi" w:cstheme="minorBidi"/>
                <w:sz w:val="20"/>
                <w:szCs w:val="20"/>
                <w:lang w:eastAsia="en-US"/>
              </w:rPr>
              <w:t xml:space="preserve">Conseil </w:t>
            </w:r>
            <w:r w:rsidRPr="00865119">
              <w:rPr>
                <w:rFonts w:asciiTheme="minorHAnsi" w:eastAsiaTheme="minorHAnsi" w:hAnsiTheme="minorHAnsi" w:cstheme="minorBidi"/>
                <w:sz w:val="20"/>
                <w:szCs w:val="20"/>
                <w:lang w:eastAsia="en-US"/>
              </w:rPr>
              <w:t>Provincial</w:t>
            </w:r>
            <w:r w:rsidRPr="00ED144B">
              <w:rPr>
                <w:rFonts w:asciiTheme="minorHAnsi" w:eastAsiaTheme="minorHAnsi" w:hAnsiTheme="minorHAnsi" w:cstheme="minorBidi"/>
                <w:sz w:val="20"/>
                <w:szCs w:val="20"/>
                <w:lang w:eastAsia="en-US"/>
              </w:rPr>
              <w:t xml:space="preserve"> des </w:t>
            </w:r>
            <w:r w:rsidRPr="00865119">
              <w:rPr>
                <w:rFonts w:asciiTheme="minorHAnsi" w:eastAsiaTheme="minorHAnsi" w:hAnsiTheme="minorHAnsi" w:cstheme="minorBidi"/>
                <w:sz w:val="20"/>
                <w:szCs w:val="20"/>
                <w:lang w:eastAsia="en-US"/>
              </w:rPr>
              <w:t>Forê</w:t>
            </w:r>
            <w:r>
              <w:rPr>
                <w:rFonts w:asciiTheme="minorHAnsi" w:eastAsiaTheme="minorHAnsi" w:hAnsiTheme="minorHAnsi" w:cstheme="minorBidi"/>
                <w:sz w:val="20"/>
                <w:szCs w:val="20"/>
                <w:lang w:eastAsia="en-US"/>
              </w:rPr>
              <w:t>t</w:t>
            </w:r>
            <w:r w:rsidRPr="00865119">
              <w:rPr>
                <w:rFonts w:asciiTheme="minorHAnsi" w:eastAsiaTheme="minorHAnsi" w:hAnsiTheme="minorHAnsi" w:cstheme="minorBidi"/>
                <w:sz w:val="20"/>
                <w:szCs w:val="20"/>
                <w:lang w:eastAsia="en-US"/>
              </w:rPr>
              <w:t>s</w:t>
            </w:r>
            <w:r w:rsidRPr="00ED144B">
              <w:rPr>
                <w:rFonts w:asciiTheme="minorHAnsi" w:eastAsiaTheme="minorHAnsi" w:hAnsiTheme="minorHAnsi" w:cstheme="minorBidi"/>
                <w:sz w:val="20"/>
                <w:szCs w:val="20"/>
                <w:lang w:eastAsia="en-US"/>
              </w:rPr>
              <w:t xml:space="preserve"> </w:t>
            </w:r>
            <w:r>
              <w:rPr>
                <w:rFonts w:asciiTheme="minorHAnsi" w:eastAsiaTheme="minorHAnsi" w:hAnsiTheme="minorHAnsi" w:cstheme="minorBidi"/>
                <w:sz w:val="20"/>
                <w:szCs w:val="20"/>
                <w:lang w:eastAsia="en-US"/>
              </w:rPr>
              <w:t>supporté</w:t>
            </w:r>
            <w:r w:rsidRPr="00ED144B">
              <w:rPr>
                <w:rFonts w:asciiTheme="minorHAnsi" w:eastAsiaTheme="minorHAnsi" w:hAnsiTheme="minorHAnsi" w:cstheme="minorBidi"/>
                <w:sz w:val="20"/>
                <w:szCs w:val="20"/>
                <w:lang w:eastAsia="en-US"/>
              </w:rPr>
              <w:t xml:space="preserve"> logistiquement</w:t>
            </w:r>
            <w:r>
              <w:rPr>
                <w:rFonts w:asciiTheme="minorHAnsi" w:eastAsiaTheme="minorHAnsi" w:hAnsiTheme="minorHAnsi" w:cstheme="minorBidi"/>
                <w:sz w:val="20"/>
                <w:szCs w:val="20"/>
                <w:lang w:eastAsia="en-US"/>
              </w:rPr>
              <w:t>,</w:t>
            </w:r>
          </w:p>
          <w:p w:rsidR="00ED729E" w:rsidRPr="00ED144B" w:rsidRDefault="00CD1EE2" w:rsidP="002E3A02">
            <w:pPr>
              <w:pStyle w:val="ListParagraph"/>
              <w:numPr>
                <w:ilvl w:val="0"/>
                <w:numId w:val="15"/>
              </w:numPr>
              <w:rPr>
                <w:rFonts w:eastAsiaTheme="minorHAnsi"/>
                <w:b/>
                <w:sz w:val="20"/>
                <w:szCs w:val="20"/>
                <w:lang w:eastAsia="en-US"/>
              </w:rPr>
            </w:pPr>
            <w:r>
              <w:rPr>
                <w:rFonts w:asciiTheme="minorHAnsi" w:eastAsiaTheme="minorHAnsi" w:hAnsiTheme="minorHAnsi" w:cstheme="minorBidi"/>
                <w:sz w:val="20"/>
                <w:szCs w:val="20"/>
                <w:lang w:eastAsia="en-US"/>
              </w:rPr>
              <w:t>Juges de paix</w:t>
            </w:r>
            <w:r w:rsidRPr="00530F75">
              <w:rPr>
                <w:rFonts w:asciiTheme="minorHAnsi" w:eastAsiaTheme="minorHAnsi" w:hAnsiTheme="minorHAnsi" w:cstheme="minorBidi"/>
                <w:sz w:val="20"/>
                <w:szCs w:val="20"/>
                <w:lang w:eastAsia="en-US"/>
              </w:rPr>
              <w:t xml:space="preserve"> formés et équipés</w:t>
            </w:r>
            <w:r w:rsidR="0088234D">
              <w:rPr>
                <w:rFonts w:asciiTheme="minorHAnsi" w:eastAsiaTheme="minorHAnsi" w:hAnsiTheme="minorHAnsi" w:cstheme="minorBidi"/>
                <w:sz w:val="20"/>
                <w:szCs w:val="20"/>
                <w:lang w:eastAsia="en-US"/>
              </w:rPr>
              <w:t>,</w:t>
            </w:r>
          </w:p>
          <w:p w:rsidR="0088234D" w:rsidRPr="00ED144B" w:rsidRDefault="0088234D" w:rsidP="002E3A02">
            <w:pPr>
              <w:pStyle w:val="ListParagraph"/>
              <w:numPr>
                <w:ilvl w:val="0"/>
                <w:numId w:val="15"/>
              </w:numPr>
              <w:rPr>
                <w:rFonts w:eastAsiaTheme="minorHAnsi"/>
                <w:b/>
                <w:sz w:val="20"/>
                <w:szCs w:val="20"/>
                <w:lang w:eastAsia="en-US"/>
              </w:rPr>
            </w:pPr>
            <w:r w:rsidRPr="00ED144B">
              <w:rPr>
                <w:rFonts w:asciiTheme="minorHAnsi" w:eastAsiaTheme="minorHAnsi" w:hAnsiTheme="minorHAnsi" w:cstheme="minorBidi"/>
                <w:sz w:val="20"/>
                <w:szCs w:val="20"/>
                <w:lang w:eastAsia="en-US"/>
              </w:rPr>
              <w:t>Coordination Provinciale de l’Environnement supportée dans ses missions de suivi-évaluation</w:t>
            </w:r>
          </w:p>
        </w:tc>
      </w:tr>
      <w:tr w:rsidR="00BC1321" w:rsidTr="0060717C">
        <w:tc>
          <w:tcPr>
            <w:tcW w:w="1705" w:type="dxa"/>
            <w:shd w:val="clear" w:color="auto" w:fill="FFFF00"/>
          </w:tcPr>
          <w:p w:rsidR="00BC1321" w:rsidRDefault="00431D34" w:rsidP="00BC1321">
            <w:pPr>
              <w:spacing w:after="120"/>
              <w:contextualSpacing/>
              <w:jc w:val="both"/>
              <w:rPr>
                <w:rFonts w:eastAsiaTheme="minorHAnsi"/>
                <w:b/>
                <w:sz w:val="20"/>
                <w:szCs w:val="20"/>
                <w:lang w:eastAsia="en-US"/>
              </w:rPr>
            </w:pPr>
            <w:r>
              <w:rPr>
                <w:rFonts w:eastAsiaTheme="minorHAnsi"/>
                <w:b/>
                <w:sz w:val="20"/>
                <w:szCs w:val="20"/>
                <w:lang w:eastAsia="en-US"/>
              </w:rPr>
              <w:t>Objectif 4 :</w:t>
            </w:r>
          </w:p>
          <w:p w:rsidR="00431D34" w:rsidRDefault="00431D34" w:rsidP="00BC1321">
            <w:pPr>
              <w:spacing w:after="120"/>
              <w:contextualSpacing/>
              <w:jc w:val="both"/>
              <w:rPr>
                <w:rFonts w:eastAsiaTheme="minorHAnsi"/>
                <w:b/>
                <w:sz w:val="20"/>
                <w:szCs w:val="20"/>
                <w:lang w:eastAsia="en-US"/>
              </w:rPr>
            </w:pPr>
            <w:r>
              <w:rPr>
                <w:rFonts w:eastAsiaTheme="minorHAnsi"/>
                <w:b/>
                <w:sz w:val="20"/>
                <w:szCs w:val="20"/>
                <w:lang w:eastAsia="en-US"/>
              </w:rPr>
              <w:t>Standards miniers et pétroliers</w:t>
            </w:r>
          </w:p>
        </w:tc>
        <w:tc>
          <w:tcPr>
            <w:tcW w:w="3844" w:type="dxa"/>
            <w:shd w:val="clear" w:color="auto" w:fill="FFFF00"/>
          </w:tcPr>
          <w:p w:rsidR="00BC1321" w:rsidRDefault="00431D34" w:rsidP="00BC1321">
            <w:pPr>
              <w:spacing w:after="120"/>
              <w:contextualSpacing/>
              <w:jc w:val="both"/>
              <w:rPr>
                <w:rFonts w:eastAsiaTheme="minorHAnsi"/>
                <w:b/>
                <w:sz w:val="20"/>
                <w:szCs w:val="20"/>
                <w:lang w:eastAsia="en-US"/>
              </w:rPr>
            </w:pPr>
            <w:r w:rsidRPr="00ED144B">
              <w:rPr>
                <w:rFonts w:eastAsiaTheme="minorHAnsi"/>
                <w:sz w:val="20"/>
                <w:szCs w:val="20"/>
                <w:lang w:eastAsia="en-US"/>
              </w:rPr>
              <w:t>Pas de jalon spécifique pour les PIREDD</w:t>
            </w:r>
          </w:p>
        </w:tc>
        <w:tc>
          <w:tcPr>
            <w:tcW w:w="3845" w:type="dxa"/>
            <w:shd w:val="clear" w:color="auto" w:fill="FFFF00"/>
          </w:tcPr>
          <w:p w:rsidR="00BC1321" w:rsidRPr="00ED144B" w:rsidRDefault="009F1630" w:rsidP="002E3A02">
            <w:pPr>
              <w:pStyle w:val="ListParagraph"/>
              <w:numPr>
                <w:ilvl w:val="0"/>
                <w:numId w:val="15"/>
              </w:numPr>
              <w:rPr>
                <w:rFonts w:eastAsiaTheme="minorHAnsi"/>
                <w:sz w:val="20"/>
                <w:szCs w:val="20"/>
                <w:lang w:eastAsia="en-US"/>
              </w:rPr>
            </w:pPr>
            <w:r>
              <w:rPr>
                <w:rFonts w:asciiTheme="minorHAnsi" w:eastAsiaTheme="minorHAnsi" w:hAnsiTheme="minorHAnsi" w:cstheme="minorBidi"/>
                <w:sz w:val="20"/>
                <w:szCs w:val="20"/>
                <w:lang w:eastAsia="en-US"/>
              </w:rPr>
              <w:t>21 PDD et 300 PSG</w:t>
            </w:r>
            <w:r w:rsidR="00431D34" w:rsidRPr="00ED144B">
              <w:rPr>
                <w:rFonts w:asciiTheme="minorHAnsi" w:eastAsiaTheme="minorHAnsi" w:hAnsiTheme="minorHAnsi" w:cstheme="minorBidi"/>
                <w:sz w:val="20"/>
                <w:szCs w:val="20"/>
                <w:lang w:eastAsia="en-US"/>
              </w:rPr>
              <w:t xml:space="preserve"> dûment finalisés</w:t>
            </w:r>
            <w:r w:rsidR="00ED729E">
              <w:rPr>
                <w:rFonts w:asciiTheme="minorHAnsi" w:eastAsiaTheme="minorHAnsi" w:hAnsiTheme="minorHAnsi" w:cstheme="minorBidi"/>
                <w:sz w:val="20"/>
                <w:szCs w:val="20"/>
                <w:lang w:eastAsia="en-US"/>
              </w:rPr>
              <w:t xml:space="preserve"> susceptibles d’intégrer des mesures spécifiques pour mieux gérer les exploitations artisanales.</w:t>
            </w:r>
          </w:p>
        </w:tc>
      </w:tr>
      <w:tr w:rsidR="00BC1321" w:rsidTr="00ED144B">
        <w:tc>
          <w:tcPr>
            <w:tcW w:w="1705" w:type="dxa"/>
          </w:tcPr>
          <w:p w:rsidR="00BC1321" w:rsidRDefault="00431D34" w:rsidP="00ED144B">
            <w:pPr>
              <w:spacing w:after="120"/>
              <w:contextualSpacing/>
              <w:rPr>
                <w:rFonts w:eastAsiaTheme="minorHAnsi"/>
                <w:b/>
                <w:sz w:val="20"/>
                <w:szCs w:val="20"/>
                <w:lang w:eastAsia="en-US"/>
              </w:rPr>
            </w:pPr>
            <w:r>
              <w:rPr>
                <w:rFonts w:eastAsiaTheme="minorHAnsi"/>
                <w:b/>
                <w:sz w:val="20"/>
                <w:szCs w:val="20"/>
                <w:lang w:eastAsia="en-US"/>
              </w:rPr>
              <w:t>Objectif 5 : Aménagement du territoire</w:t>
            </w:r>
          </w:p>
        </w:tc>
        <w:tc>
          <w:tcPr>
            <w:tcW w:w="3844" w:type="dxa"/>
          </w:tcPr>
          <w:p w:rsidR="00431D34" w:rsidRPr="00ED144B" w:rsidRDefault="00431D34" w:rsidP="00431D34">
            <w:pPr>
              <w:spacing w:after="120"/>
              <w:contextualSpacing/>
              <w:jc w:val="both"/>
              <w:rPr>
                <w:rFonts w:eastAsiaTheme="minorHAnsi"/>
                <w:sz w:val="20"/>
                <w:szCs w:val="20"/>
                <w:lang w:eastAsia="en-US"/>
              </w:rPr>
            </w:pPr>
            <w:r>
              <w:rPr>
                <w:rFonts w:eastAsiaTheme="minorHAnsi"/>
                <w:sz w:val="20"/>
                <w:szCs w:val="20"/>
                <w:lang w:eastAsia="en-US"/>
              </w:rPr>
              <w:t>« </w:t>
            </w:r>
            <w:r w:rsidRPr="00ED144B">
              <w:rPr>
                <w:rFonts w:eastAsiaTheme="minorHAnsi"/>
                <w:sz w:val="20"/>
                <w:szCs w:val="20"/>
                <w:lang w:eastAsia="en-US"/>
              </w:rPr>
              <w:t>Guide méthodologique élaboré, accompagné de normes de qualité claires, pour la réalisation du</w:t>
            </w:r>
            <w:r>
              <w:rPr>
                <w:rFonts w:eastAsiaTheme="minorHAnsi"/>
                <w:sz w:val="20"/>
                <w:szCs w:val="20"/>
                <w:lang w:eastAsia="en-US"/>
              </w:rPr>
              <w:t xml:space="preserve"> </w:t>
            </w:r>
            <w:r w:rsidRPr="00ED144B">
              <w:rPr>
                <w:rFonts w:eastAsiaTheme="minorHAnsi"/>
                <w:sz w:val="20"/>
                <w:szCs w:val="20"/>
                <w:lang w:eastAsia="en-US"/>
              </w:rPr>
              <w:t>zonage participatif des terroirs villageois ‐ comprenant les terres utilisées et occupées par les</w:t>
            </w:r>
            <w:r>
              <w:rPr>
                <w:rFonts w:eastAsiaTheme="minorHAnsi"/>
                <w:sz w:val="20"/>
                <w:szCs w:val="20"/>
                <w:lang w:eastAsia="en-US"/>
              </w:rPr>
              <w:t xml:space="preserve"> </w:t>
            </w:r>
            <w:r w:rsidRPr="00ED144B">
              <w:rPr>
                <w:rFonts w:eastAsiaTheme="minorHAnsi"/>
                <w:sz w:val="20"/>
                <w:szCs w:val="20"/>
                <w:lang w:eastAsia="en-US"/>
              </w:rPr>
              <w:t>communautés locales et les peuples autochtones – et des entités territoriales, dans le cadre des</w:t>
            </w:r>
          </w:p>
          <w:p w:rsidR="00BC1321" w:rsidRDefault="00431D34" w:rsidP="00431D34">
            <w:pPr>
              <w:spacing w:after="120"/>
              <w:contextualSpacing/>
              <w:jc w:val="both"/>
              <w:rPr>
                <w:rFonts w:eastAsiaTheme="minorHAnsi"/>
                <w:b/>
                <w:sz w:val="20"/>
                <w:szCs w:val="20"/>
                <w:lang w:eastAsia="en-US"/>
              </w:rPr>
            </w:pPr>
            <w:r w:rsidRPr="00ED144B">
              <w:rPr>
                <w:rFonts w:eastAsiaTheme="minorHAnsi"/>
                <w:sz w:val="20"/>
                <w:szCs w:val="20"/>
                <w:lang w:eastAsia="en-US"/>
              </w:rPr>
              <w:t>programmes intégrés et sur base des démarches locales de planification déjà réalisées</w:t>
            </w:r>
            <w:r>
              <w:rPr>
                <w:rFonts w:eastAsiaTheme="minorHAnsi"/>
                <w:sz w:val="20"/>
                <w:szCs w:val="20"/>
                <w:lang w:eastAsia="en-US"/>
              </w:rPr>
              <w:t> »</w:t>
            </w:r>
          </w:p>
        </w:tc>
        <w:tc>
          <w:tcPr>
            <w:tcW w:w="3845" w:type="dxa"/>
          </w:tcPr>
          <w:p w:rsidR="00BC1321" w:rsidRPr="00ED144B" w:rsidRDefault="009F1630" w:rsidP="002E3A02">
            <w:pPr>
              <w:pStyle w:val="ListParagraph"/>
              <w:numPr>
                <w:ilvl w:val="0"/>
                <w:numId w:val="15"/>
              </w:numPr>
              <w:rPr>
                <w:rFonts w:eastAsiaTheme="minorHAnsi"/>
                <w:b/>
                <w:sz w:val="20"/>
                <w:szCs w:val="20"/>
                <w:lang w:eastAsia="en-US"/>
              </w:rPr>
            </w:pPr>
            <w:r w:rsidRPr="009F1630">
              <w:rPr>
                <w:rFonts w:asciiTheme="minorHAnsi" w:eastAsiaTheme="minorHAnsi" w:hAnsiTheme="minorHAnsi" w:cstheme="minorBidi"/>
                <w:sz w:val="20"/>
                <w:szCs w:val="20"/>
                <w:lang w:eastAsia="en-US"/>
              </w:rPr>
              <w:t>-</w:t>
            </w:r>
            <w:r w:rsidRPr="009F1630">
              <w:rPr>
                <w:rFonts w:asciiTheme="minorHAnsi" w:eastAsiaTheme="minorHAnsi" w:hAnsiTheme="minorHAnsi" w:cstheme="minorBidi"/>
                <w:sz w:val="20"/>
                <w:szCs w:val="20"/>
                <w:lang w:eastAsia="en-US"/>
              </w:rPr>
              <w:tab/>
              <w:t xml:space="preserve">21 PDD et 300 PSG </w:t>
            </w:r>
            <w:r w:rsidR="00431D34" w:rsidRPr="00ED144B">
              <w:rPr>
                <w:rFonts w:asciiTheme="minorHAnsi" w:eastAsiaTheme="minorHAnsi" w:hAnsiTheme="minorHAnsi" w:cstheme="minorBidi"/>
                <w:sz w:val="20"/>
                <w:szCs w:val="20"/>
                <w:lang w:eastAsia="en-US"/>
              </w:rPr>
              <w:t>dûment finalisés</w:t>
            </w:r>
            <w:r w:rsidR="00431D34">
              <w:rPr>
                <w:rFonts w:asciiTheme="minorHAnsi" w:eastAsiaTheme="minorHAnsi" w:hAnsiTheme="minorHAnsi" w:cstheme="minorBidi"/>
                <w:sz w:val="20"/>
                <w:szCs w:val="20"/>
                <w:lang w:eastAsia="en-US"/>
              </w:rPr>
              <w:t>,</w:t>
            </w:r>
          </w:p>
          <w:p w:rsidR="00431D34" w:rsidRPr="00ED144B" w:rsidRDefault="00431D34" w:rsidP="002E3A02">
            <w:pPr>
              <w:pStyle w:val="ListParagraph"/>
              <w:numPr>
                <w:ilvl w:val="0"/>
                <w:numId w:val="15"/>
              </w:numPr>
              <w:rPr>
                <w:rFonts w:eastAsiaTheme="minorHAnsi"/>
                <w:b/>
                <w:sz w:val="20"/>
                <w:szCs w:val="20"/>
                <w:lang w:eastAsia="en-US"/>
              </w:rPr>
            </w:pPr>
            <w:r>
              <w:rPr>
                <w:rFonts w:asciiTheme="minorHAnsi" w:eastAsiaTheme="minorHAnsi" w:hAnsiTheme="minorHAnsi" w:cstheme="minorBidi"/>
                <w:sz w:val="20"/>
                <w:szCs w:val="20"/>
                <w:lang w:eastAsia="en-US"/>
              </w:rPr>
              <w:t>7 secteurs dispose</w:t>
            </w:r>
            <w:r w:rsidRPr="00431D34">
              <w:rPr>
                <w:rFonts w:asciiTheme="minorHAnsi" w:eastAsiaTheme="minorHAnsi" w:hAnsiTheme="minorHAnsi" w:cstheme="minorBidi"/>
                <w:sz w:val="20"/>
                <w:szCs w:val="20"/>
                <w:lang w:eastAsia="en-US"/>
              </w:rPr>
              <w:t>nt d’un plan d’usage des sols</w:t>
            </w:r>
            <w:r>
              <w:rPr>
                <w:rFonts w:asciiTheme="minorHAnsi" w:eastAsiaTheme="minorHAnsi" w:hAnsiTheme="minorHAnsi" w:cstheme="minorBidi"/>
                <w:sz w:val="20"/>
                <w:szCs w:val="20"/>
                <w:lang w:eastAsia="en-US"/>
              </w:rPr>
              <w:t>,</w:t>
            </w:r>
          </w:p>
          <w:p w:rsidR="00431D34" w:rsidRDefault="00431D34" w:rsidP="002E3A02">
            <w:pPr>
              <w:pStyle w:val="ListParagraph"/>
              <w:numPr>
                <w:ilvl w:val="0"/>
                <w:numId w:val="15"/>
              </w:numPr>
              <w:rPr>
                <w:rFonts w:eastAsiaTheme="minorHAnsi"/>
                <w:b/>
                <w:sz w:val="20"/>
                <w:szCs w:val="20"/>
                <w:lang w:eastAsia="en-US"/>
              </w:rPr>
            </w:pPr>
            <w:r w:rsidRPr="00ED144B">
              <w:rPr>
                <w:rFonts w:asciiTheme="minorHAnsi" w:eastAsiaTheme="minorHAnsi" w:hAnsiTheme="minorHAnsi" w:cstheme="minorBidi"/>
                <w:sz w:val="20"/>
                <w:szCs w:val="20"/>
                <w:lang w:eastAsia="en-US"/>
              </w:rPr>
              <w:t xml:space="preserve">600 CLDs et 4 CARTs </w:t>
            </w:r>
            <w:r w:rsidRPr="00431D34">
              <w:rPr>
                <w:rFonts w:asciiTheme="minorHAnsi" w:eastAsiaTheme="minorHAnsi" w:hAnsiTheme="minorHAnsi" w:cstheme="minorBidi"/>
                <w:sz w:val="20"/>
                <w:szCs w:val="20"/>
                <w:lang w:eastAsia="en-US"/>
              </w:rPr>
              <w:t>redynamisés</w:t>
            </w:r>
          </w:p>
        </w:tc>
      </w:tr>
      <w:tr w:rsidR="00BC1321" w:rsidTr="00ED144B">
        <w:tc>
          <w:tcPr>
            <w:tcW w:w="1705" w:type="dxa"/>
          </w:tcPr>
          <w:p w:rsidR="00BC1321" w:rsidRDefault="00865119" w:rsidP="00ED144B">
            <w:pPr>
              <w:spacing w:after="120"/>
              <w:contextualSpacing/>
              <w:rPr>
                <w:rFonts w:eastAsiaTheme="minorHAnsi"/>
                <w:b/>
                <w:sz w:val="20"/>
                <w:szCs w:val="20"/>
                <w:lang w:eastAsia="en-US"/>
              </w:rPr>
            </w:pPr>
            <w:r>
              <w:rPr>
                <w:rFonts w:eastAsiaTheme="minorHAnsi"/>
                <w:b/>
                <w:sz w:val="20"/>
                <w:szCs w:val="20"/>
                <w:lang w:eastAsia="en-US"/>
              </w:rPr>
              <w:t>Objectif 6 : Foncier</w:t>
            </w:r>
          </w:p>
        </w:tc>
        <w:tc>
          <w:tcPr>
            <w:tcW w:w="3844" w:type="dxa"/>
          </w:tcPr>
          <w:p w:rsidR="00865119" w:rsidRPr="00ED144B" w:rsidRDefault="00865119" w:rsidP="00865119">
            <w:pPr>
              <w:spacing w:after="120"/>
              <w:contextualSpacing/>
              <w:jc w:val="both"/>
              <w:rPr>
                <w:rFonts w:eastAsiaTheme="minorHAnsi"/>
                <w:sz w:val="20"/>
                <w:szCs w:val="20"/>
                <w:lang w:eastAsia="en-US"/>
              </w:rPr>
            </w:pPr>
            <w:r>
              <w:rPr>
                <w:rFonts w:eastAsiaTheme="minorHAnsi"/>
                <w:sz w:val="20"/>
                <w:szCs w:val="20"/>
                <w:lang w:eastAsia="en-US"/>
              </w:rPr>
              <w:t>« </w:t>
            </w:r>
            <w:r w:rsidRPr="00ED144B">
              <w:rPr>
                <w:rFonts w:eastAsiaTheme="minorHAnsi"/>
                <w:sz w:val="20"/>
                <w:szCs w:val="20"/>
                <w:lang w:eastAsia="en-US"/>
              </w:rPr>
              <w:t>Guide méthodologique élaboré pour la définition de stratégies provinciales de gestion foncière</w:t>
            </w:r>
            <w:r>
              <w:rPr>
                <w:rFonts w:eastAsiaTheme="minorHAnsi"/>
                <w:sz w:val="20"/>
                <w:szCs w:val="20"/>
                <w:lang w:eastAsia="en-US"/>
              </w:rPr>
              <w:t xml:space="preserve"> </w:t>
            </w:r>
            <w:r w:rsidRPr="00ED144B">
              <w:rPr>
                <w:rFonts w:eastAsiaTheme="minorHAnsi"/>
                <w:sz w:val="20"/>
                <w:szCs w:val="20"/>
                <w:lang w:eastAsia="en-US"/>
              </w:rPr>
              <w:t>dans le cadre des programmes intégrés, suivant les bonnes pratiques internationales et les lois</w:t>
            </w:r>
          </w:p>
          <w:p w:rsidR="00865119" w:rsidRDefault="00865119" w:rsidP="00865119">
            <w:pPr>
              <w:spacing w:after="120"/>
              <w:contextualSpacing/>
              <w:jc w:val="both"/>
              <w:rPr>
                <w:rFonts w:eastAsiaTheme="minorHAnsi"/>
                <w:sz w:val="20"/>
                <w:szCs w:val="20"/>
                <w:lang w:eastAsia="en-US"/>
              </w:rPr>
            </w:pPr>
            <w:r>
              <w:rPr>
                <w:rFonts w:eastAsiaTheme="minorHAnsi"/>
                <w:sz w:val="20"/>
                <w:szCs w:val="20"/>
                <w:lang w:eastAsia="en-US"/>
              </w:rPr>
              <w:lastRenderedPageBreak/>
              <w:t>Nationales »</w:t>
            </w:r>
          </w:p>
          <w:p w:rsidR="00865119" w:rsidRDefault="00865119" w:rsidP="00865119">
            <w:pPr>
              <w:spacing w:after="120"/>
              <w:contextualSpacing/>
              <w:jc w:val="both"/>
              <w:rPr>
                <w:rFonts w:eastAsiaTheme="minorHAnsi"/>
                <w:sz w:val="20"/>
                <w:szCs w:val="20"/>
                <w:lang w:eastAsia="en-US"/>
              </w:rPr>
            </w:pPr>
          </w:p>
          <w:p w:rsidR="00BC1321" w:rsidRPr="00ED144B" w:rsidRDefault="00865119" w:rsidP="00865119">
            <w:pPr>
              <w:spacing w:after="120"/>
              <w:contextualSpacing/>
              <w:jc w:val="both"/>
              <w:rPr>
                <w:rFonts w:eastAsiaTheme="minorHAnsi"/>
                <w:sz w:val="20"/>
                <w:szCs w:val="20"/>
                <w:lang w:eastAsia="en-US"/>
              </w:rPr>
            </w:pPr>
            <w:r>
              <w:rPr>
                <w:rFonts w:eastAsiaTheme="minorHAnsi"/>
                <w:sz w:val="20"/>
                <w:szCs w:val="20"/>
                <w:lang w:eastAsia="en-US"/>
              </w:rPr>
              <w:t>« </w:t>
            </w:r>
            <w:r w:rsidRPr="00ED144B">
              <w:rPr>
                <w:rFonts w:eastAsiaTheme="minorHAnsi"/>
                <w:sz w:val="20"/>
                <w:szCs w:val="20"/>
                <w:lang w:eastAsia="en-US"/>
              </w:rPr>
              <w:t>Appuyer les communautés locales dans les procédures de requête de divers modèles locaux et</w:t>
            </w:r>
            <w:r>
              <w:rPr>
                <w:rFonts w:eastAsiaTheme="minorHAnsi"/>
                <w:sz w:val="20"/>
                <w:szCs w:val="20"/>
                <w:lang w:eastAsia="en-US"/>
              </w:rPr>
              <w:t xml:space="preserve"> </w:t>
            </w:r>
            <w:r w:rsidRPr="00ED144B">
              <w:rPr>
                <w:rFonts w:eastAsiaTheme="minorHAnsi"/>
                <w:sz w:val="20"/>
                <w:szCs w:val="20"/>
                <w:lang w:eastAsia="en-US"/>
              </w:rPr>
              <w:t>communautaires de gestion durable des forêts et dans la sécurisation des droits fonciers, en</w:t>
            </w:r>
            <w:r>
              <w:rPr>
                <w:rFonts w:eastAsiaTheme="minorHAnsi"/>
                <w:sz w:val="20"/>
                <w:szCs w:val="20"/>
                <w:lang w:eastAsia="en-US"/>
              </w:rPr>
              <w:t xml:space="preserve"> </w:t>
            </w:r>
            <w:r w:rsidRPr="00ED144B">
              <w:rPr>
                <w:rFonts w:eastAsiaTheme="minorHAnsi"/>
                <w:sz w:val="20"/>
                <w:szCs w:val="20"/>
                <w:lang w:eastAsia="en-US"/>
              </w:rPr>
              <w:t>particulier dans le cadre des programmes intégrés.</w:t>
            </w:r>
            <w:r>
              <w:rPr>
                <w:rFonts w:eastAsiaTheme="minorHAnsi"/>
                <w:sz w:val="20"/>
                <w:szCs w:val="20"/>
                <w:lang w:eastAsia="en-US"/>
              </w:rPr>
              <w:t> »</w:t>
            </w:r>
          </w:p>
        </w:tc>
        <w:tc>
          <w:tcPr>
            <w:tcW w:w="3845" w:type="dxa"/>
          </w:tcPr>
          <w:p w:rsidR="00865119" w:rsidRDefault="009F1630" w:rsidP="002E3A02">
            <w:pPr>
              <w:pStyle w:val="ListParagraph"/>
              <w:numPr>
                <w:ilvl w:val="0"/>
                <w:numId w:val="15"/>
              </w:numPr>
              <w:rPr>
                <w:rFonts w:eastAsiaTheme="minorHAnsi"/>
                <w:sz w:val="20"/>
                <w:szCs w:val="20"/>
                <w:lang w:eastAsia="en-US"/>
              </w:rPr>
            </w:pPr>
            <w:r w:rsidRPr="009F1630">
              <w:rPr>
                <w:rFonts w:asciiTheme="minorHAnsi" w:eastAsiaTheme="minorHAnsi" w:hAnsiTheme="minorHAnsi" w:cstheme="minorBidi"/>
                <w:sz w:val="20"/>
                <w:szCs w:val="20"/>
                <w:lang w:eastAsia="en-US"/>
              </w:rPr>
              <w:lastRenderedPageBreak/>
              <w:t>-</w:t>
            </w:r>
            <w:r w:rsidRPr="009F1630">
              <w:rPr>
                <w:rFonts w:asciiTheme="minorHAnsi" w:eastAsiaTheme="minorHAnsi" w:hAnsiTheme="minorHAnsi" w:cstheme="minorBidi"/>
                <w:sz w:val="20"/>
                <w:szCs w:val="20"/>
                <w:lang w:eastAsia="en-US"/>
              </w:rPr>
              <w:tab/>
              <w:t xml:space="preserve">21 PDD et 300 PSG </w:t>
            </w:r>
            <w:r w:rsidR="00865119">
              <w:rPr>
                <w:rFonts w:asciiTheme="minorHAnsi" w:eastAsiaTheme="minorHAnsi" w:hAnsiTheme="minorHAnsi" w:cstheme="minorBidi"/>
                <w:sz w:val="20"/>
                <w:szCs w:val="20"/>
                <w:lang w:eastAsia="en-US"/>
              </w:rPr>
              <w:t>dûment finalisés,</w:t>
            </w:r>
          </w:p>
          <w:p w:rsidR="00BC1321" w:rsidRDefault="00865119" w:rsidP="002E3A02">
            <w:pPr>
              <w:pStyle w:val="ListParagraph"/>
              <w:numPr>
                <w:ilvl w:val="0"/>
                <w:numId w:val="15"/>
              </w:numPr>
              <w:rPr>
                <w:rFonts w:eastAsiaTheme="minorHAnsi"/>
                <w:sz w:val="20"/>
                <w:szCs w:val="20"/>
                <w:lang w:eastAsia="en-US"/>
              </w:rPr>
            </w:pPr>
            <w:r>
              <w:rPr>
                <w:rFonts w:asciiTheme="minorHAnsi" w:eastAsiaTheme="minorHAnsi" w:hAnsiTheme="minorHAnsi" w:cstheme="minorBidi"/>
                <w:sz w:val="20"/>
                <w:szCs w:val="20"/>
                <w:lang w:eastAsia="en-US"/>
              </w:rPr>
              <w:t>S</w:t>
            </w:r>
            <w:r w:rsidR="00431D34" w:rsidRPr="00ED144B">
              <w:rPr>
                <w:rFonts w:asciiTheme="minorHAnsi" w:eastAsiaTheme="minorHAnsi" w:hAnsiTheme="minorHAnsi" w:cstheme="minorBidi"/>
                <w:sz w:val="20"/>
                <w:szCs w:val="20"/>
                <w:lang w:eastAsia="en-US"/>
              </w:rPr>
              <w:t xml:space="preserve">ervices </w:t>
            </w:r>
            <w:r w:rsidR="00CD1EE2">
              <w:rPr>
                <w:rFonts w:asciiTheme="minorHAnsi" w:eastAsiaTheme="minorHAnsi" w:hAnsiTheme="minorHAnsi" w:cstheme="minorBidi"/>
                <w:sz w:val="20"/>
                <w:szCs w:val="20"/>
                <w:lang w:eastAsia="en-US"/>
              </w:rPr>
              <w:t>des Affaires Foncières, du Cadastre et de l’Intérieur</w:t>
            </w:r>
            <w:r>
              <w:rPr>
                <w:rFonts w:asciiTheme="minorHAnsi" w:eastAsiaTheme="minorHAnsi" w:hAnsiTheme="minorHAnsi" w:cstheme="minorBidi"/>
                <w:sz w:val="20"/>
                <w:szCs w:val="20"/>
                <w:lang w:eastAsia="en-US"/>
              </w:rPr>
              <w:t xml:space="preserve"> des 4 territoires</w:t>
            </w:r>
            <w:r w:rsidR="00431D34" w:rsidRPr="00ED144B">
              <w:rPr>
                <w:rFonts w:asciiTheme="minorHAnsi" w:eastAsiaTheme="minorHAnsi" w:hAnsiTheme="minorHAnsi" w:cstheme="minorBidi"/>
                <w:sz w:val="20"/>
                <w:szCs w:val="20"/>
                <w:lang w:eastAsia="en-US"/>
              </w:rPr>
              <w:t xml:space="preserve"> formés et équipés</w:t>
            </w:r>
            <w:r w:rsidR="00ED729E">
              <w:rPr>
                <w:rFonts w:asciiTheme="minorHAnsi" w:eastAsiaTheme="minorHAnsi" w:hAnsiTheme="minorHAnsi" w:cstheme="minorBidi"/>
                <w:sz w:val="20"/>
                <w:szCs w:val="20"/>
                <w:lang w:eastAsia="en-US"/>
              </w:rPr>
              <w:t>,</w:t>
            </w:r>
          </w:p>
          <w:p w:rsidR="00ED729E" w:rsidRPr="00ED144B" w:rsidRDefault="00ED729E" w:rsidP="002E3A02">
            <w:pPr>
              <w:pStyle w:val="ListParagraph"/>
              <w:numPr>
                <w:ilvl w:val="0"/>
                <w:numId w:val="15"/>
              </w:numPr>
              <w:rPr>
                <w:rFonts w:eastAsiaTheme="minorHAnsi"/>
                <w:sz w:val="20"/>
                <w:szCs w:val="20"/>
                <w:lang w:eastAsia="en-US"/>
              </w:rPr>
            </w:pPr>
            <w:r w:rsidRPr="00ED729E">
              <w:rPr>
                <w:rFonts w:asciiTheme="minorHAnsi" w:eastAsiaTheme="minorHAnsi" w:hAnsiTheme="minorHAnsi" w:cstheme="minorBidi"/>
                <w:sz w:val="20"/>
                <w:szCs w:val="20"/>
                <w:lang w:eastAsia="en-US"/>
              </w:rPr>
              <w:t xml:space="preserve">3000 ha de forêts communautaires </w:t>
            </w:r>
            <w:r w:rsidRPr="00ED729E">
              <w:rPr>
                <w:rFonts w:asciiTheme="minorHAnsi" w:eastAsiaTheme="minorHAnsi" w:hAnsiTheme="minorHAnsi" w:cstheme="minorBidi"/>
                <w:sz w:val="20"/>
                <w:szCs w:val="20"/>
                <w:lang w:eastAsia="en-US"/>
              </w:rPr>
              <w:lastRenderedPageBreak/>
              <w:t>dédiés à la conservation</w:t>
            </w:r>
          </w:p>
        </w:tc>
      </w:tr>
      <w:tr w:rsidR="00BC1321" w:rsidTr="00ED144B">
        <w:tc>
          <w:tcPr>
            <w:tcW w:w="1705" w:type="dxa"/>
          </w:tcPr>
          <w:p w:rsidR="00BC1321" w:rsidRDefault="00CD1EE2" w:rsidP="00ED144B">
            <w:pPr>
              <w:spacing w:after="120"/>
              <w:contextualSpacing/>
              <w:rPr>
                <w:rFonts w:eastAsiaTheme="minorHAnsi"/>
                <w:b/>
                <w:sz w:val="20"/>
                <w:szCs w:val="20"/>
                <w:lang w:eastAsia="en-US"/>
              </w:rPr>
            </w:pPr>
            <w:r>
              <w:rPr>
                <w:rFonts w:eastAsiaTheme="minorHAnsi"/>
                <w:b/>
                <w:sz w:val="20"/>
                <w:szCs w:val="20"/>
                <w:lang w:eastAsia="en-US"/>
              </w:rPr>
              <w:lastRenderedPageBreak/>
              <w:t>Objectif 7 : Démographie</w:t>
            </w:r>
          </w:p>
        </w:tc>
        <w:tc>
          <w:tcPr>
            <w:tcW w:w="3844" w:type="dxa"/>
          </w:tcPr>
          <w:p w:rsidR="00CD1EE2" w:rsidRPr="00ED144B" w:rsidRDefault="00CD1EE2" w:rsidP="00CD1EE2">
            <w:pPr>
              <w:spacing w:after="120"/>
              <w:contextualSpacing/>
              <w:jc w:val="both"/>
              <w:rPr>
                <w:rFonts w:eastAsiaTheme="minorHAnsi"/>
                <w:sz w:val="20"/>
                <w:szCs w:val="20"/>
                <w:lang w:eastAsia="en-US"/>
              </w:rPr>
            </w:pPr>
            <w:r>
              <w:rPr>
                <w:rFonts w:eastAsiaTheme="minorHAnsi"/>
                <w:sz w:val="20"/>
                <w:szCs w:val="20"/>
                <w:lang w:eastAsia="en-US"/>
              </w:rPr>
              <w:t>« </w:t>
            </w:r>
            <w:r w:rsidRPr="00ED144B">
              <w:rPr>
                <w:rFonts w:eastAsiaTheme="minorHAnsi"/>
                <w:sz w:val="20"/>
                <w:szCs w:val="20"/>
                <w:lang w:eastAsia="en-US"/>
              </w:rPr>
              <w:t>Stratégie d’appui aux zones des programmes intégrés définie avec le Comité Technique</w:t>
            </w:r>
          </w:p>
          <w:p w:rsidR="00BC1321" w:rsidRPr="00ED144B" w:rsidRDefault="00CD1EE2" w:rsidP="00CD1EE2">
            <w:pPr>
              <w:spacing w:after="120"/>
              <w:contextualSpacing/>
              <w:jc w:val="both"/>
              <w:rPr>
                <w:rFonts w:eastAsiaTheme="minorHAnsi"/>
                <w:sz w:val="20"/>
                <w:szCs w:val="20"/>
                <w:lang w:eastAsia="en-US"/>
              </w:rPr>
            </w:pPr>
            <w:r w:rsidRPr="00ED144B">
              <w:rPr>
                <w:rFonts w:eastAsiaTheme="minorHAnsi"/>
                <w:sz w:val="20"/>
                <w:szCs w:val="20"/>
                <w:lang w:eastAsia="en-US"/>
              </w:rPr>
              <w:t>Multisectoriel Permanent de la Planification Familiale, sur</w:t>
            </w:r>
            <w:r>
              <w:rPr>
                <w:rFonts w:eastAsiaTheme="minorHAnsi"/>
                <w:sz w:val="20"/>
                <w:szCs w:val="20"/>
                <w:lang w:eastAsia="en-US"/>
              </w:rPr>
              <w:t xml:space="preserve"> base de l’analyse des besoins »</w:t>
            </w:r>
          </w:p>
        </w:tc>
        <w:tc>
          <w:tcPr>
            <w:tcW w:w="3845" w:type="dxa"/>
          </w:tcPr>
          <w:p w:rsidR="00974F59" w:rsidRDefault="00974F59" w:rsidP="002E3A02">
            <w:pPr>
              <w:pStyle w:val="ListParagraph"/>
              <w:numPr>
                <w:ilvl w:val="0"/>
                <w:numId w:val="15"/>
              </w:numPr>
              <w:spacing w:after="120"/>
              <w:contextualSpacing/>
              <w:jc w:val="both"/>
              <w:rPr>
                <w:rFonts w:eastAsiaTheme="minorHAnsi"/>
                <w:sz w:val="20"/>
                <w:szCs w:val="20"/>
                <w:lang w:eastAsia="en-US"/>
              </w:rPr>
            </w:pPr>
            <w:r w:rsidRPr="00974F59">
              <w:rPr>
                <w:rFonts w:eastAsiaTheme="minorHAnsi"/>
                <w:sz w:val="20"/>
                <w:szCs w:val="20"/>
                <w:lang w:eastAsia="en-US"/>
              </w:rPr>
              <w:t>90 000 ménages</w:t>
            </w:r>
            <w:r>
              <w:rPr>
                <w:rFonts w:eastAsiaTheme="minorHAnsi"/>
                <w:sz w:val="20"/>
                <w:szCs w:val="20"/>
                <w:lang w:eastAsia="en-US"/>
              </w:rPr>
              <w:t xml:space="preserve"> agricoles du District de Mai-Ndombe sensibilisés aux méthodes de la planification familiale</w:t>
            </w:r>
            <w:r>
              <w:t xml:space="preserve"> </w:t>
            </w:r>
            <w:r w:rsidRPr="00974F59">
              <w:rPr>
                <w:rFonts w:eastAsiaTheme="minorHAnsi"/>
                <w:sz w:val="20"/>
                <w:szCs w:val="20"/>
                <w:lang w:eastAsia="en-US"/>
              </w:rPr>
              <w:t>et à la prévention d'Ebola et du VIH SIDA</w:t>
            </w:r>
            <w:r>
              <w:rPr>
                <w:rFonts w:eastAsiaTheme="minorHAnsi"/>
                <w:sz w:val="20"/>
                <w:szCs w:val="20"/>
                <w:lang w:eastAsia="en-US"/>
              </w:rPr>
              <w:t>,</w:t>
            </w:r>
          </w:p>
          <w:p w:rsidR="00BC1321" w:rsidRPr="00974F59" w:rsidRDefault="00974F59" w:rsidP="002E3A02">
            <w:pPr>
              <w:pStyle w:val="ListParagraph"/>
              <w:numPr>
                <w:ilvl w:val="0"/>
                <w:numId w:val="15"/>
              </w:numPr>
              <w:spacing w:after="120"/>
              <w:contextualSpacing/>
              <w:jc w:val="both"/>
              <w:rPr>
                <w:rFonts w:eastAsiaTheme="minorHAnsi"/>
                <w:sz w:val="20"/>
                <w:szCs w:val="20"/>
                <w:lang w:eastAsia="en-US"/>
              </w:rPr>
            </w:pPr>
            <w:r>
              <w:rPr>
                <w:rFonts w:eastAsiaTheme="minorHAnsi"/>
                <w:sz w:val="20"/>
                <w:szCs w:val="20"/>
                <w:lang w:eastAsia="en-US"/>
              </w:rPr>
              <w:t xml:space="preserve">7% de la population </w:t>
            </w:r>
            <w:r w:rsidR="00EE0CA3">
              <w:rPr>
                <w:rFonts w:eastAsiaTheme="minorHAnsi"/>
                <w:sz w:val="20"/>
                <w:szCs w:val="20"/>
                <w:lang w:eastAsia="en-US"/>
              </w:rPr>
              <w:t>utilise des moyens de contraception moderne</w:t>
            </w:r>
          </w:p>
        </w:tc>
      </w:tr>
      <w:tr w:rsidR="00CD1EE2" w:rsidTr="002B4B74">
        <w:tc>
          <w:tcPr>
            <w:tcW w:w="1705" w:type="dxa"/>
          </w:tcPr>
          <w:p w:rsidR="00CD1EE2" w:rsidRDefault="00CD1EE2" w:rsidP="00CD1EE2">
            <w:pPr>
              <w:spacing w:after="120"/>
              <w:contextualSpacing/>
              <w:rPr>
                <w:rFonts w:eastAsiaTheme="minorHAnsi"/>
                <w:b/>
                <w:sz w:val="20"/>
                <w:szCs w:val="20"/>
                <w:lang w:eastAsia="en-US"/>
              </w:rPr>
            </w:pPr>
            <w:r>
              <w:rPr>
                <w:rFonts w:eastAsiaTheme="minorHAnsi"/>
                <w:b/>
                <w:sz w:val="20"/>
                <w:szCs w:val="20"/>
                <w:lang w:eastAsia="en-US"/>
              </w:rPr>
              <w:t>Objectif 8 : Gouvernance</w:t>
            </w:r>
          </w:p>
        </w:tc>
        <w:tc>
          <w:tcPr>
            <w:tcW w:w="3844" w:type="dxa"/>
          </w:tcPr>
          <w:p w:rsidR="00CD1EE2" w:rsidRPr="00CD1EE2" w:rsidRDefault="00CD1EE2" w:rsidP="00CD1EE2">
            <w:pPr>
              <w:spacing w:after="120"/>
              <w:contextualSpacing/>
              <w:jc w:val="both"/>
              <w:rPr>
                <w:rFonts w:eastAsiaTheme="minorHAnsi"/>
                <w:sz w:val="20"/>
                <w:szCs w:val="20"/>
                <w:lang w:eastAsia="en-US"/>
              </w:rPr>
            </w:pPr>
            <w:r>
              <w:rPr>
                <w:rFonts w:eastAsiaTheme="minorHAnsi"/>
                <w:sz w:val="20"/>
                <w:szCs w:val="20"/>
                <w:lang w:eastAsia="en-US"/>
              </w:rPr>
              <w:t>« </w:t>
            </w:r>
            <w:r w:rsidRPr="00CD1EE2">
              <w:rPr>
                <w:rFonts w:eastAsiaTheme="minorHAnsi"/>
                <w:sz w:val="20"/>
                <w:szCs w:val="20"/>
                <w:lang w:eastAsia="en-US"/>
              </w:rPr>
              <w:t>Renforcer la gestion de l’espace et des ressources naturelles aux divers niveaux de gouvernance</w:t>
            </w:r>
            <w:r>
              <w:rPr>
                <w:rFonts w:eastAsiaTheme="minorHAnsi"/>
                <w:sz w:val="20"/>
                <w:szCs w:val="20"/>
                <w:lang w:eastAsia="en-US"/>
              </w:rPr>
              <w:t xml:space="preserve"> </w:t>
            </w:r>
            <w:r w:rsidRPr="00CD1EE2">
              <w:rPr>
                <w:rFonts w:eastAsiaTheme="minorHAnsi"/>
                <w:sz w:val="20"/>
                <w:szCs w:val="20"/>
                <w:lang w:eastAsia="en-US"/>
              </w:rPr>
              <w:t>territoriale appropriés, au travers de l’opérationnalisation des plateformes de concertation multiacteurs</w:t>
            </w:r>
          </w:p>
          <w:p w:rsidR="00CD1EE2" w:rsidRPr="00CD1EE2" w:rsidRDefault="00CD1EE2" w:rsidP="00CD1EE2">
            <w:pPr>
              <w:spacing w:after="120"/>
              <w:contextualSpacing/>
              <w:jc w:val="both"/>
              <w:rPr>
                <w:rFonts w:eastAsiaTheme="minorHAnsi"/>
                <w:sz w:val="20"/>
                <w:szCs w:val="20"/>
                <w:lang w:eastAsia="en-US"/>
              </w:rPr>
            </w:pPr>
            <w:r w:rsidRPr="00CD1EE2">
              <w:rPr>
                <w:rFonts w:eastAsiaTheme="minorHAnsi"/>
                <w:sz w:val="20"/>
                <w:szCs w:val="20"/>
                <w:lang w:eastAsia="en-US"/>
              </w:rPr>
              <w:t>et multi–sectorielles pertinentes (telles que les Conseils Agricoles Ruraux de Gestion), au</w:t>
            </w:r>
          </w:p>
          <w:p w:rsidR="00CD1EE2" w:rsidRDefault="00CD1EE2" w:rsidP="00CD1EE2">
            <w:pPr>
              <w:spacing w:after="120"/>
              <w:contextualSpacing/>
              <w:jc w:val="both"/>
              <w:rPr>
                <w:rFonts w:eastAsiaTheme="minorHAnsi"/>
                <w:sz w:val="20"/>
                <w:szCs w:val="20"/>
                <w:lang w:eastAsia="en-US"/>
              </w:rPr>
            </w:pPr>
            <w:r w:rsidRPr="00CD1EE2">
              <w:rPr>
                <w:rFonts w:eastAsiaTheme="minorHAnsi"/>
                <w:sz w:val="20"/>
                <w:szCs w:val="20"/>
                <w:lang w:eastAsia="en-US"/>
              </w:rPr>
              <w:t>mandat élargi, dans le</w:t>
            </w:r>
            <w:r>
              <w:rPr>
                <w:rFonts w:eastAsiaTheme="minorHAnsi"/>
                <w:sz w:val="20"/>
                <w:szCs w:val="20"/>
                <w:lang w:eastAsia="en-US"/>
              </w:rPr>
              <w:t xml:space="preserve"> cadre des programmes intégrés »</w:t>
            </w:r>
          </w:p>
        </w:tc>
        <w:tc>
          <w:tcPr>
            <w:tcW w:w="3845" w:type="dxa"/>
          </w:tcPr>
          <w:p w:rsidR="00A9476A" w:rsidRPr="00ED144B" w:rsidRDefault="009F1630" w:rsidP="002E3A02">
            <w:pPr>
              <w:pStyle w:val="ListParagraph"/>
              <w:numPr>
                <w:ilvl w:val="0"/>
                <w:numId w:val="15"/>
              </w:numPr>
              <w:rPr>
                <w:rFonts w:eastAsiaTheme="minorHAnsi"/>
                <w:sz w:val="20"/>
                <w:szCs w:val="20"/>
                <w:lang w:eastAsia="en-US"/>
              </w:rPr>
            </w:pPr>
            <w:r w:rsidRPr="009F1630">
              <w:rPr>
                <w:rFonts w:asciiTheme="minorHAnsi" w:eastAsiaTheme="minorHAnsi" w:hAnsiTheme="minorHAnsi" w:cstheme="minorBidi"/>
                <w:sz w:val="20"/>
                <w:szCs w:val="20"/>
                <w:lang w:eastAsia="en-US"/>
              </w:rPr>
              <w:tab/>
              <w:t xml:space="preserve">21 PDD et 300 PSG </w:t>
            </w:r>
            <w:r w:rsidR="00A9476A" w:rsidRPr="00ED144B">
              <w:rPr>
                <w:rFonts w:asciiTheme="minorHAnsi" w:eastAsiaTheme="minorHAnsi" w:hAnsiTheme="minorHAnsi" w:cstheme="minorBidi"/>
                <w:sz w:val="20"/>
                <w:szCs w:val="20"/>
                <w:lang w:eastAsia="en-US"/>
              </w:rPr>
              <w:t>dûment finalisés,</w:t>
            </w:r>
          </w:p>
          <w:p w:rsidR="00CD1EE2" w:rsidRPr="00ED144B" w:rsidRDefault="00A9476A" w:rsidP="002E3A02">
            <w:pPr>
              <w:pStyle w:val="ListParagraph"/>
              <w:numPr>
                <w:ilvl w:val="0"/>
                <w:numId w:val="15"/>
              </w:numPr>
              <w:rPr>
                <w:rFonts w:eastAsiaTheme="minorHAnsi"/>
                <w:b/>
                <w:sz w:val="20"/>
                <w:szCs w:val="20"/>
                <w:lang w:eastAsia="en-US"/>
              </w:rPr>
            </w:pPr>
            <w:r w:rsidRPr="00ED144B">
              <w:rPr>
                <w:rFonts w:asciiTheme="minorHAnsi" w:eastAsiaTheme="minorHAnsi" w:hAnsiTheme="minorHAnsi" w:cstheme="minorBidi"/>
                <w:sz w:val="20"/>
                <w:szCs w:val="20"/>
                <w:lang w:eastAsia="en-US"/>
              </w:rPr>
              <w:t>600 CLDs et 4 CARTs redynamisés</w:t>
            </w:r>
          </w:p>
          <w:p w:rsidR="00992E0B" w:rsidRDefault="00992E0B" w:rsidP="002E3A02">
            <w:pPr>
              <w:pStyle w:val="ListParagraph"/>
              <w:numPr>
                <w:ilvl w:val="0"/>
                <w:numId w:val="15"/>
              </w:numPr>
              <w:rPr>
                <w:rFonts w:eastAsiaTheme="minorHAnsi"/>
                <w:b/>
                <w:sz w:val="20"/>
                <w:szCs w:val="20"/>
                <w:lang w:eastAsia="en-US"/>
              </w:rPr>
            </w:pPr>
            <w:r>
              <w:rPr>
                <w:rFonts w:asciiTheme="minorHAnsi" w:eastAsiaTheme="minorHAnsi" w:hAnsiTheme="minorHAnsi" w:cstheme="minorBidi"/>
                <w:sz w:val="20"/>
                <w:szCs w:val="20"/>
                <w:lang w:eastAsia="en-US"/>
              </w:rPr>
              <w:t>40 000 personnes ont été consultées dans des plateformes de concertées, dont 15 000 femmes</w:t>
            </w:r>
          </w:p>
        </w:tc>
      </w:tr>
    </w:tbl>
    <w:p w:rsidR="00BC1321" w:rsidRDefault="00BC1321"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BB59AB" w:rsidRDefault="00BB59AB" w:rsidP="00BC1321">
      <w:pPr>
        <w:spacing w:after="120"/>
        <w:contextualSpacing/>
        <w:jc w:val="both"/>
        <w:rPr>
          <w:rFonts w:eastAsiaTheme="minorHAnsi"/>
          <w:b/>
          <w:sz w:val="20"/>
          <w:szCs w:val="20"/>
          <w:lang w:eastAsia="en-US"/>
        </w:rPr>
      </w:pPr>
    </w:p>
    <w:p w:rsidR="009B30E2" w:rsidRPr="00401544" w:rsidRDefault="009B30E2" w:rsidP="00B277C0">
      <w:pPr>
        <w:pStyle w:val="Heading1"/>
        <w:ind w:left="360"/>
      </w:pPr>
      <w:bookmarkStart w:id="30" w:name="_Toc469036927"/>
      <w:r w:rsidRPr="00401544">
        <w:t>Plans de travail, activités envisagées et budget dont contribution CAFI/FONAREDD</w:t>
      </w:r>
      <w:bookmarkEnd w:id="30"/>
    </w:p>
    <w:p w:rsidR="00554D4F" w:rsidRPr="004E7C36" w:rsidRDefault="00554D4F" w:rsidP="00554D4F">
      <w:pPr>
        <w:spacing w:after="120"/>
        <w:contextualSpacing/>
        <w:jc w:val="both"/>
        <w:rPr>
          <w:rFonts w:eastAsiaTheme="minorHAnsi"/>
          <w:b/>
          <w:sz w:val="20"/>
          <w:szCs w:val="20"/>
          <w:lang w:eastAsia="en-US"/>
        </w:rPr>
      </w:pPr>
    </w:p>
    <w:p w:rsidR="00554D4F" w:rsidRPr="004E7C36" w:rsidRDefault="00554D4F" w:rsidP="00554D4F">
      <w:pPr>
        <w:spacing w:after="120"/>
        <w:contextualSpacing/>
        <w:jc w:val="both"/>
        <w:rPr>
          <w:rFonts w:eastAsiaTheme="minorHAnsi"/>
          <w:b/>
          <w:sz w:val="20"/>
          <w:szCs w:val="20"/>
          <w:lang w:eastAsia="en-US"/>
        </w:rPr>
      </w:pPr>
      <w:r w:rsidRPr="004E7C36">
        <w:rPr>
          <w:rFonts w:eastAsiaTheme="minorHAnsi"/>
          <w:b/>
          <w:sz w:val="20"/>
          <w:szCs w:val="20"/>
          <w:lang w:eastAsia="en-US"/>
        </w:rPr>
        <w:t xml:space="preserve">Tableau </w:t>
      </w:r>
      <w:r w:rsidR="00BC1321">
        <w:rPr>
          <w:rFonts w:eastAsiaTheme="minorHAnsi"/>
          <w:b/>
          <w:sz w:val="20"/>
          <w:szCs w:val="20"/>
          <w:lang w:eastAsia="en-US"/>
        </w:rPr>
        <w:t>3</w:t>
      </w:r>
      <w:r w:rsidRPr="004E7C36">
        <w:rPr>
          <w:rFonts w:eastAsiaTheme="minorHAnsi"/>
          <w:b/>
          <w:sz w:val="20"/>
          <w:szCs w:val="20"/>
          <w:lang w:eastAsia="en-US"/>
        </w:rPr>
        <w:t xml:space="preserve"> : Plan de travail relatif à : </w:t>
      </w:r>
      <w:r w:rsidR="00541584">
        <w:rPr>
          <w:rFonts w:eastAsiaTheme="minorHAnsi"/>
          <w:b/>
          <w:sz w:val="20"/>
          <w:szCs w:val="20"/>
          <w:lang w:eastAsia="en-US"/>
        </w:rPr>
        <w:t>PIREDD Mai-Ndombe</w:t>
      </w:r>
      <w:r w:rsidRPr="004E7C36">
        <w:rPr>
          <w:rFonts w:eastAsiaTheme="minorHAnsi"/>
          <w:b/>
          <w:sz w:val="20"/>
          <w:szCs w:val="20"/>
          <w:lang w:eastAsia="en-US"/>
        </w:rPr>
        <w:t xml:space="preserve">                      </w:t>
      </w:r>
      <w:r w:rsidRPr="004E7C36">
        <w:rPr>
          <w:rFonts w:eastAsiaTheme="minorHAnsi"/>
          <w:b/>
          <w:sz w:val="20"/>
          <w:szCs w:val="20"/>
          <w:lang w:eastAsia="en-US"/>
        </w:rPr>
        <w:tab/>
      </w:r>
      <w:r w:rsidRPr="004E7C36">
        <w:rPr>
          <w:rFonts w:eastAsiaTheme="minorHAnsi"/>
          <w:b/>
          <w:sz w:val="20"/>
          <w:szCs w:val="20"/>
          <w:lang w:eastAsia="en-US"/>
        </w:rPr>
        <w:tab/>
      </w:r>
      <w:r w:rsidRPr="004E7C36">
        <w:rPr>
          <w:rFonts w:eastAsiaTheme="minorHAnsi"/>
          <w:b/>
          <w:sz w:val="20"/>
          <w:szCs w:val="20"/>
          <w:lang w:eastAsia="en-US"/>
        </w:rPr>
        <w:tab/>
      </w:r>
    </w:p>
    <w:p w:rsidR="00381C8F" w:rsidRDefault="00381C8F" w:rsidP="00554D4F">
      <w:pPr>
        <w:spacing w:after="120"/>
        <w:contextualSpacing/>
        <w:jc w:val="both"/>
        <w:rPr>
          <w:rFonts w:eastAsiaTheme="minorHAnsi"/>
          <w:b/>
          <w:sz w:val="20"/>
          <w:szCs w:val="20"/>
          <w:lang w:eastAsia="en-US"/>
        </w:rPr>
      </w:pPr>
    </w:p>
    <w:p w:rsidR="00541584" w:rsidRDefault="00541584" w:rsidP="00554D4F">
      <w:pPr>
        <w:spacing w:after="120"/>
        <w:contextualSpacing/>
        <w:jc w:val="both"/>
        <w:rPr>
          <w:rFonts w:eastAsiaTheme="minorHAnsi"/>
          <w:sz w:val="20"/>
          <w:szCs w:val="20"/>
          <w:lang w:eastAsia="en-US"/>
        </w:rPr>
      </w:pPr>
      <w:r w:rsidRPr="00541584">
        <w:rPr>
          <w:rFonts w:eastAsiaTheme="minorHAnsi"/>
          <w:sz w:val="20"/>
          <w:szCs w:val="20"/>
          <w:lang w:eastAsia="en-US"/>
        </w:rPr>
        <w:t xml:space="preserve">La section 4 fournissant des chronogrammes de mise en œuvre des activités, </w:t>
      </w:r>
      <w:r>
        <w:rPr>
          <w:rFonts w:eastAsiaTheme="minorHAnsi"/>
          <w:sz w:val="20"/>
          <w:szCs w:val="20"/>
          <w:lang w:eastAsia="en-US"/>
        </w:rPr>
        <w:t>le tableau a été modifié pour e</w:t>
      </w:r>
      <w:r w:rsidR="00AC1526">
        <w:rPr>
          <w:rFonts w:eastAsiaTheme="minorHAnsi"/>
          <w:sz w:val="20"/>
          <w:szCs w:val="20"/>
          <w:lang w:eastAsia="en-US"/>
        </w:rPr>
        <w:t>n rendre sa</w:t>
      </w:r>
      <w:r>
        <w:rPr>
          <w:rFonts w:eastAsiaTheme="minorHAnsi"/>
          <w:sz w:val="20"/>
          <w:szCs w:val="20"/>
          <w:lang w:eastAsia="en-US"/>
        </w:rPr>
        <w:t xml:space="preserve"> lecture plus lisible :</w:t>
      </w:r>
    </w:p>
    <w:p w:rsidR="00D061C6" w:rsidRDefault="00D061C6" w:rsidP="00554D4F">
      <w:pPr>
        <w:spacing w:after="120"/>
        <w:contextualSpacing/>
        <w:jc w:val="both"/>
        <w:rPr>
          <w:rFonts w:eastAsiaTheme="minorHAnsi"/>
          <w:sz w:val="20"/>
          <w:szCs w:val="20"/>
          <w:lang w:eastAsia="en-U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4701FB" w:rsidRPr="00A53E33" w:rsidTr="00ED144B">
        <w:trPr>
          <w:trHeight w:val="240"/>
          <w:jc w:val="center"/>
        </w:trPr>
        <w:tc>
          <w:tcPr>
            <w:tcW w:w="9600" w:type="dxa"/>
            <w:tcBorders>
              <w:top w:val="nil"/>
              <w:left w:val="nil"/>
              <w:bottom w:val="nil"/>
              <w:right w:val="nil"/>
            </w:tcBorders>
            <w:shd w:val="clear" w:color="auto" w:fill="DEEAF6" w:themeFill="accent1" w:themeFillTint="33"/>
            <w:vAlign w:val="center"/>
            <w:hideMark/>
          </w:tcPr>
          <w:p w:rsidR="004701FB" w:rsidRPr="00A53E33" w:rsidRDefault="004701FB" w:rsidP="004701FB">
            <w:pPr>
              <w:spacing w:after="0" w:line="240" w:lineRule="auto"/>
              <w:jc w:val="center"/>
              <w:rPr>
                <w:rFonts w:ascii="Calibri" w:eastAsia="Times New Roman" w:hAnsi="Calibri" w:cs="Times New Roman"/>
                <w:b/>
                <w:bCs/>
                <w:color w:val="000000"/>
                <w:sz w:val="18"/>
                <w:szCs w:val="18"/>
                <w:lang w:eastAsia="en-US"/>
              </w:rPr>
            </w:pPr>
            <w:r w:rsidRPr="00E95215">
              <w:rPr>
                <w:rFonts w:ascii="Calibri" w:eastAsia="Times New Roman" w:hAnsi="Calibri" w:cs="Times New Roman"/>
                <w:b/>
                <w:bCs/>
                <w:color w:val="000000"/>
                <w:sz w:val="18"/>
                <w:szCs w:val="18"/>
                <w:lang w:eastAsia="en-US"/>
              </w:rPr>
              <w:t>Budget PIREDD Mai-</w:t>
            </w:r>
            <w:r w:rsidRPr="00A53E33">
              <w:rPr>
                <w:rFonts w:ascii="Calibri" w:eastAsia="Times New Roman" w:hAnsi="Calibri" w:cs="Times New Roman"/>
                <w:b/>
                <w:bCs/>
                <w:color w:val="000000"/>
                <w:sz w:val="18"/>
                <w:szCs w:val="18"/>
                <w:lang w:eastAsia="en-US"/>
              </w:rPr>
              <w:t>Ndombe sur 5 ans (2017 -2021)</w:t>
            </w:r>
          </w:p>
        </w:tc>
      </w:tr>
    </w:tbl>
    <w:p w:rsidR="004701FB" w:rsidRPr="006A1CFA" w:rsidRDefault="004701FB" w:rsidP="00554D4F">
      <w:pPr>
        <w:spacing w:after="120"/>
        <w:contextualSpacing/>
        <w:jc w:val="both"/>
        <w:rPr>
          <w:rFonts w:eastAsiaTheme="minorHAnsi"/>
          <w:sz w:val="20"/>
          <w:szCs w:val="20"/>
          <w:lang w:eastAsia="en-US"/>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7"/>
        <w:gridCol w:w="1259"/>
      </w:tblGrid>
      <w:tr w:rsidR="006A1CFA" w:rsidRPr="004E7C36" w:rsidTr="006A1CFA">
        <w:trPr>
          <w:trHeight w:val="675"/>
        </w:trPr>
        <w:tc>
          <w:tcPr>
            <w:tcW w:w="4373" w:type="pct"/>
            <w:shd w:val="clear" w:color="auto" w:fill="DEEAF6" w:themeFill="accent1" w:themeFillTint="33"/>
          </w:tcPr>
          <w:p w:rsidR="006A1CFA" w:rsidRPr="004E7C36" w:rsidRDefault="006A1CFA" w:rsidP="006A1CFA">
            <w:pPr>
              <w:contextualSpacing/>
              <w:rPr>
                <w:rFonts w:eastAsiaTheme="minorHAnsi"/>
                <w:b/>
                <w:sz w:val="20"/>
                <w:szCs w:val="20"/>
                <w:lang w:eastAsia="en-US"/>
              </w:rPr>
            </w:pPr>
            <w:r w:rsidRPr="006A1CFA">
              <w:rPr>
                <w:rFonts w:eastAsiaTheme="minorHAnsi"/>
                <w:b/>
                <w:sz w:val="20"/>
                <w:szCs w:val="20"/>
                <w:lang w:eastAsia="en-US"/>
              </w:rPr>
              <w:t>Effet</w:t>
            </w:r>
            <w:r>
              <w:rPr>
                <w:rFonts w:eastAsiaTheme="minorHAnsi"/>
                <w:b/>
                <w:sz w:val="20"/>
                <w:szCs w:val="20"/>
                <w:lang w:eastAsia="en-US"/>
              </w:rPr>
              <w:t>s</w:t>
            </w:r>
            <w:r w:rsidRPr="006A1CFA">
              <w:rPr>
                <w:rFonts w:eastAsiaTheme="minorHAnsi"/>
                <w:b/>
                <w:sz w:val="20"/>
                <w:szCs w:val="20"/>
                <w:lang w:eastAsia="en-US"/>
              </w:rPr>
              <w:t xml:space="preserve"> Attendu du Fonds auquel le programme contribue :</w:t>
            </w:r>
          </w:p>
        </w:tc>
        <w:tc>
          <w:tcPr>
            <w:tcW w:w="627" w:type="pct"/>
            <w:shd w:val="clear" w:color="auto" w:fill="DEEAF6" w:themeFill="accent1" w:themeFillTint="33"/>
          </w:tcPr>
          <w:p w:rsidR="006A1CFA" w:rsidRPr="004E7C36" w:rsidRDefault="006A1CFA" w:rsidP="00317E5B">
            <w:pPr>
              <w:contextualSpacing/>
              <w:jc w:val="center"/>
              <w:rPr>
                <w:rFonts w:eastAsiaTheme="minorHAnsi"/>
                <w:b/>
                <w:sz w:val="20"/>
                <w:szCs w:val="20"/>
                <w:lang w:eastAsia="en-US"/>
              </w:rPr>
            </w:pPr>
            <w:r w:rsidRPr="004E7C36">
              <w:rPr>
                <w:rFonts w:eastAsiaTheme="minorHAnsi"/>
                <w:sz w:val="20"/>
                <w:szCs w:val="20"/>
                <w:lang w:eastAsia="en-US"/>
              </w:rPr>
              <w:t xml:space="preserve">Budget prévu </w:t>
            </w:r>
          </w:p>
        </w:tc>
      </w:tr>
      <w:tr w:rsidR="006A1CFA" w:rsidRPr="004E7C36" w:rsidTr="006A1CFA">
        <w:trPr>
          <w:trHeight w:val="70"/>
        </w:trPr>
        <w:tc>
          <w:tcPr>
            <w:tcW w:w="5000" w:type="pct"/>
            <w:gridSpan w:val="2"/>
            <w:shd w:val="clear" w:color="auto" w:fill="DEEAF6" w:themeFill="accent1" w:themeFillTint="33"/>
          </w:tcPr>
          <w:p w:rsidR="006A1CFA" w:rsidRDefault="006A1CFA" w:rsidP="00541584">
            <w:pPr>
              <w:contextualSpacing/>
              <w:rPr>
                <w:rFonts w:eastAsiaTheme="minorHAnsi"/>
                <w:b/>
                <w:sz w:val="20"/>
                <w:szCs w:val="20"/>
                <w:lang w:eastAsia="en-US"/>
              </w:rPr>
            </w:pPr>
            <w:r w:rsidRPr="006A1CFA">
              <w:rPr>
                <w:rFonts w:eastAsiaTheme="minorHAnsi"/>
                <w:b/>
                <w:sz w:val="20"/>
                <w:szCs w:val="20"/>
                <w:lang w:eastAsia="en-US"/>
              </w:rPr>
              <w:t>Effet 1 : Investissements agricoles respectueux de la forêt et améliorant les moyens d’existence des populations rurales, y compris des personnes vulnérables et marginalisées.</w:t>
            </w:r>
          </w:p>
        </w:tc>
      </w:tr>
      <w:tr w:rsidR="00554D4F" w:rsidRPr="004E7C36" w:rsidTr="006A1CFA">
        <w:trPr>
          <w:trHeight w:val="70"/>
        </w:trPr>
        <w:tc>
          <w:tcPr>
            <w:tcW w:w="5000" w:type="pct"/>
            <w:gridSpan w:val="2"/>
            <w:shd w:val="clear" w:color="auto" w:fill="DEEAF6" w:themeFill="accent1" w:themeFillTint="33"/>
          </w:tcPr>
          <w:p w:rsidR="00554D4F" w:rsidRPr="004E7C36" w:rsidRDefault="00541584" w:rsidP="00541584">
            <w:pPr>
              <w:contextualSpacing/>
              <w:rPr>
                <w:rFonts w:eastAsiaTheme="minorHAnsi"/>
                <w:b/>
                <w:sz w:val="20"/>
                <w:szCs w:val="20"/>
                <w:lang w:eastAsia="en-US"/>
              </w:rPr>
            </w:pPr>
            <w:r>
              <w:rPr>
                <w:rFonts w:eastAsiaTheme="minorHAnsi"/>
                <w:b/>
                <w:sz w:val="20"/>
                <w:szCs w:val="20"/>
                <w:lang w:eastAsia="en-US"/>
              </w:rPr>
              <w:t xml:space="preserve">R1 : </w:t>
            </w:r>
            <w:r w:rsidRPr="00541584">
              <w:rPr>
                <w:rFonts w:eastAsiaTheme="minorHAnsi"/>
                <w:b/>
                <w:sz w:val="20"/>
                <w:szCs w:val="20"/>
                <w:lang w:eastAsia="en-US"/>
              </w:rPr>
              <w:t>Investissements agricoles</w:t>
            </w:r>
          </w:p>
        </w:tc>
      </w:tr>
      <w:tr w:rsidR="00554D4F" w:rsidRPr="004E7C36" w:rsidTr="006A1CFA">
        <w:trPr>
          <w:trHeight w:val="70"/>
        </w:trPr>
        <w:tc>
          <w:tcPr>
            <w:tcW w:w="4373" w:type="pct"/>
          </w:tcPr>
          <w:p w:rsidR="00554D4F" w:rsidRPr="00FA76A9" w:rsidRDefault="00FA76A9" w:rsidP="00AC1526">
            <w:pPr>
              <w:spacing w:after="0"/>
              <w:contextualSpacing/>
              <w:rPr>
                <w:rFonts w:eastAsiaTheme="minorHAnsi"/>
                <w:sz w:val="20"/>
                <w:szCs w:val="20"/>
                <w:lang w:eastAsia="en-US"/>
              </w:rPr>
            </w:pPr>
            <w:r w:rsidRPr="00FA76A9">
              <w:rPr>
                <w:rFonts w:eastAsiaTheme="minorHAnsi"/>
                <w:sz w:val="20"/>
                <w:szCs w:val="20"/>
                <w:lang w:eastAsia="en-US"/>
              </w:rPr>
              <w:t>ALE devant être sélectionnée par voie d’appel d’offres</w:t>
            </w:r>
          </w:p>
        </w:tc>
        <w:tc>
          <w:tcPr>
            <w:tcW w:w="627" w:type="pct"/>
          </w:tcPr>
          <w:p w:rsidR="00554D4F" w:rsidRPr="00FA76A9" w:rsidRDefault="004701FB" w:rsidP="00337AB6">
            <w:pPr>
              <w:spacing w:after="0"/>
              <w:contextualSpacing/>
              <w:jc w:val="center"/>
              <w:rPr>
                <w:rFonts w:eastAsiaTheme="minorHAnsi"/>
                <w:sz w:val="20"/>
                <w:szCs w:val="20"/>
                <w:lang w:eastAsia="en-US"/>
              </w:rPr>
            </w:pPr>
            <w:r>
              <w:rPr>
                <w:rFonts w:eastAsiaTheme="minorHAnsi"/>
                <w:sz w:val="20"/>
                <w:szCs w:val="20"/>
                <w:lang w:eastAsia="en-US"/>
              </w:rPr>
              <w:t>10 194 730</w:t>
            </w:r>
          </w:p>
        </w:tc>
      </w:tr>
      <w:tr w:rsidR="00554D4F" w:rsidRPr="004E7C36" w:rsidTr="006A1CFA">
        <w:trPr>
          <w:trHeight w:val="70"/>
        </w:trPr>
        <w:tc>
          <w:tcPr>
            <w:tcW w:w="4373" w:type="pct"/>
          </w:tcPr>
          <w:p w:rsidR="00554D4F" w:rsidRPr="00FA76A9" w:rsidRDefault="00FA76A9" w:rsidP="00AC1526">
            <w:pPr>
              <w:spacing w:after="0"/>
              <w:contextualSpacing/>
              <w:rPr>
                <w:rFonts w:eastAsiaTheme="minorHAnsi"/>
                <w:sz w:val="20"/>
                <w:szCs w:val="20"/>
                <w:lang w:eastAsia="en-US"/>
              </w:rPr>
            </w:pPr>
            <w:r w:rsidRPr="00FA76A9">
              <w:rPr>
                <w:rFonts w:eastAsiaTheme="minorHAnsi"/>
                <w:sz w:val="20"/>
                <w:szCs w:val="20"/>
                <w:lang w:eastAsia="en-US"/>
              </w:rPr>
              <w:t>UC-PIF</w:t>
            </w:r>
          </w:p>
        </w:tc>
        <w:tc>
          <w:tcPr>
            <w:tcW w:w="627" w:type="pct"/>
          </w:tcPr>
          <w:p w:rsidR="00554D4F" w:rsidRPr="00FA76A9" w:rsidRDefault="004701FB" w:rsidP="00337AB6">
            <w:pPr>
              <w:spacing w:after="0"/>
              <w:contextualSpacing/>
              <w:jc w:val="center"/>
              <w:rPr>
                <w:rFonts w:eastAsiaTheme="minorHAnsi"/>
                <w:sz w:val="20"/>
                <w:szCs w:val="20"/>
                <w:lang w:eastAsia="en-US"/>
              </w:rPr>
            </w:pPr>
            <w:r>
              <w:rPr>
                <w:rFonts w:eastAsiaTheme="minorHAnsi"/>
                <w:sz w:val="20"/>
                <w:szCs w:val="20"/>
                <w:lang w:eastAsia="en-US"/>
              </w:rPr>
              <w:t>1 020 481</w:t>
            </w:r>
          </w:p>
        </w:tc>
      </w:tr>
      <w:tr w:rsidR="00554D4F" w:rsidRPr="004E7C36" w:rsidTr="006A1CFA">
        <w:trPr>
          <w:trHeight w:val="70"/>
        </w:trPr>
        <w:tc>
          <w:tcPr>
            <w:tcW w:w="4373" w:type="pct"/>
            <w:shd w:val="clear" w:color="auto" w:fill="D9D9D9" w:themeFill="background1" w:themeFillShade="D9"/>
          </w:tcPr>
          <w:p w:rsidR="00554D4F" w:rsidRPr="00FA76A9" w:rsidRDefault="00554D4F" w:rsidP="00AC1526">
            <w:pPr>
              <w:spacing w:after="0"/>
              <w:contextualSpacing/>
              <w:rPr>
                <w:rFonts w:eastAsiaTheme="minorHAnsi"/>
                <w:sz w:val="20"/>
                <w:szCs w:val="20"/>
                <w:lang w:eastAsia="en-US"/>
              </w:rPr>
            </w:pPr>
            <w:r w:rsidRPr="00FA76A9">
              <w:rPr>
                <w:rFonts w:eastAsiaTheme="minorHAnsi"/>
                <w:sz w:val="20"/>
                <w:szCs w:val="20"/>
                <w:lang w:eastAsia="en-US"/>
              </w:rPr>
              <w:t xml:space="preserve">Budget prévu pour </w:t>
            </w:r>
            <w:r w:rsidR="00AC1526">
              <w:rPr>
                <w:rFonts w:eastAsiaTheme="minorHAnsi"/>
                <w:sz w:val="20"/>
                <w:szCs w:val="20"/>
                <w:lang w:eastAsia="en-US"/>
              </w:rPr>
              <w:t>R</w:t>
            </w:r>
            <w:r w:rsidRPr="00FA76A9">
              <w:rPr>
                <w:rFonts w:eastAsiaTheme="minorHAnsi"/>
                <w:sz w:val="20"/>
                <w:szCs w:val="20"/>
                <w:lang w:eastAsia="en-US"/>
              </w:rPr>
              <w:t>1</w:t>
            </w:r>
          </w:p>
        </w:tc>
        <w:tc>
          <w:tcPr>
            <w:tcW w:w="627" w:type="pct"/>
            <w:shd w:val="clear" w:color="auto" w:fill="D9D9D9" w:themeFill="background1" w:themeFillShade="D9"/>
          </w:tcPr>
          <w:p w:rsidR="00554D4F" w:rsidRPr="00AC1526" w:rsidRDefault="004701FB" w:rsidP="00AC1526">
            <w:pPr>
              <w:spacing w:after="0"/>
              <w:contextualSpacing/>
              <w:jc w:val="center"/>
              <w:rPr>
                <w:rFonts w:eastAsiaTheme="minorHAnsi"/>
                <w:b/>
                <w:sz w:val="20"/>
                <w:szCs w:val="20"/>
                <w:lang w:eastAsia="en-US"/>
              </w:rPr>
            </w:pPr>
            <w:r>
              <w:rPr>
                <w:rFonts w:eastAsiaTheme="minorHAnsi"/>
                <w:b/>
                <w:sz w:val="20"/>
                <w:szCs w:val="20"/>
                <w:lang w:eastAsia="en-US"/>
              </w:rPr>
              <w:t>11 215 211</w:t>
            </w:r>
          </w:p>
        </w:tc>
      </w:tr>
      <w:tr w:rsidR="006A1CFA" w:rsidRPr="004E7C36" w:rsidTr="006A1CFA">
        <w:trPr>
          <w:trHeight w:val="70"/>
        </w:trPr>
        <w:tc>
          <w:tcPr>
            <w:tcW w:w="5000" w:type="pct"/>
            <w:gridSpan w:val="2"/>
            <w:shd w:val="clear" w:color="auto" w:fill="DEEAF6" w:themeFill="accent1" w:themeFillTint="33"/>
          </w:tcPr>
          <w:p w:rsidR="006A1CFA" w:rsidRPr="00FA76A9" w:rsidRDefault="006A1CFA" w:rsidP="00AC1526">
            <w:pPr>
              <w:spacing w:after="0"/>
              <w:contextualSpacing/>
              <w:rPr>
                <w:rFonts w:eastAsiaTheme="minorHAnsi"/>
                <w:b/>
                <w:sz w:val="20"/>
                <w:szCs w:val="20"/>
                <w:lang w:eastAsia="en-US"/>
              </w:rPr>
            </w:pPr>
            <w:r w:rsidRPr="006A1CFA">
              <w:rPr>
                <w:rFonts w:eastAsiaTheme="minorHAnsi"/>
                <w:b/>
                <w:sz w:val="20"/>
                <w:szCs w:val="20"/>
                <w:lang w:eastAsia="en-US"/>
              </w:rPr>
              <w:t>Effet 2 : Réduction de la part de bois énergie non-durable</w:t>
            </w:r>
          </w:p>
        </w:tc>
      </w:tr>
      <w:tr w:rsidR="00FA76A9" w:rsidRPr="004E7C36" w:rsidTr="006A1CFA">
        <w:trPr>
          <w:trHeight w:val="70"/>
        </w:trPr>
        <w:tc>
          <w:tcPr>
            <w:tcW w:w="5000" w:type="pct"/>
            <w:gridSpan w:val="2"/>
            <w:shd w:val="clear" w:color="auto" w:fill="DEEAF6" w:themeFill="accent1" w:themeFillTint="33"/>
          </w:tcPr>
          <w:p w:rsidR="00FA76A9" w:rsidRPr="00FA76A9" w:rsidRDefault="00FA76A9" w:rsidP="00AC1526">
            <w:pPr>
              <w:spacing w:after="0"/>
              <w:contextualSpacing/>
              <w:rPr>
                <w:rFonts w:eastAsiaTheme="minorHAnsi"/>
                <w:b/>
                <w:sz w:val="20"/>
                <w:szCs w:val="20"/>
                <w:lang w:eastAsia="en-US"/>
              </w:rPr>
            </w:pPr>
            <w:r w:rsidRPr="00FA76A9">
              <w:rPr>
                <w:rFonts w:eastAsiaTheme="minorHAnsi"/>
                <w:b/>
                <w:sz w:val="20"/>
                <w:szCs w:val="20"/>
                <w:lang w:eastAsia="en-US"/>
              </w:rPr>
              <w:t>R2 : Réduction de la part de bois énergie non-durable</w:t>
            </w:r>
          </w:p>
        </w:tc>
      </w:tr>
      <w:tr w:rsidR="00FA76A9" w:rsidRPr="004E7C36" w:rsidTr="006A1CFA">
        <w:trPr>
          <w:trHeight w:val="70"/>
        </w:trPr>
        <w:tc>
          <w:tcPr>
            <w:tcW w:w="4373" w:type="pct"/>
          </w:tcPr>
          <w:p w:rsidR="00FA76A9" w:rsidRPr="00FA76A9" w:rsidRDefault="00AC1526" w:rsidP="00AC1526">
            <w:pPr>
              <w:spacing w:after="0"/>
              <w:contextualSpacing/>
              <w:rPr>
                <w:rFonts w:eastAsiaTheme="minorHAnsi"/>
                <w:sz w:val="20"/>
                <w:szCs w:val="20"/>
                <w:lang w:eastAsia="en-US"/>
              </w:rPr>
            </w:pPr>
            <w:r w:rsidRPr="00AC1526">
              <w:rPr>
                <w:rFonts w:eastAsiaTheme="minorHAnsi"/>
                <w:sz w:val="20"/>
                <w:szCs w:val="20"/>
                <w:lang w:eastAsia="en-US"/>
              </w:rPr>
              <w:t>ALE devant être sélectionnée par voie d’appel d’offres</w:t>
            </w:r>
          </w:p>
        </w:tc>
        <w:tc>
          <w:tcPr>
            <w:tcW w:w="627" w:type="pct"/>
          </w:tcPr>
          <w:p w:rsidR="00FA76A9" w:rsidRPr="00FA76A9" w:rsidRDefault="00121378" w:rsidP="004701FB">
            <w:pPr>
              <w:spacing w:after="0"/>
              <w:contextualSpacing/>
              <w:jc w:val="center"/>
              <w:rPr>
                <w:rFonts w:eastAsiaTheme="minorHAnsi"/>
                <w:sz w:val="20"/>
                <w:szCs w:val="20"/>
                <w:lang w:eastAsia="en-US"/>
              </w:rPr>
            </w:pPr>
            <w:r>
              <w:rPr>
                <w:rFonts w:eastAsiaTheme="minorHAnsi"/>
                <w:sz w:val="20"/>
                <w:szCs w:val="20"/>
                <w:lang w:eastAsia="en-US"/>
              </w:rPr>
              <w:t xml:space="preserve">4 </w:t>
            </w:r>
            <w:r w:rsidR="004701FB">
              <w:rPr>
                <w:rFonts w:eastAsiaTheme="minorHAnsi"/>
                <w:sz w:val="20"/>
                <w:szCs w:val="20"/>
                <w:lang w:eastAsia="en-US"/>
              </w:rPr>
              <w:t>857 203</w:t>
            </w:r>
          </w:p>
        </w:tc>
      </w:tr>
      <w:tr w:rsidR="00FA76A9" w:rsidRPr="004E7C36" w:rsidTr="006A1CFA">
        <w:trPr>
          <w:trHeight w:val="70"/>
        </w:trPr>
        <w:tc>
          <w:tcPr>
            <w:tcW w:w="4373" w:type="pct"/>
          </w:tcPr>
          <w:p w:rsidR="00FA76A9" w:rsidRPr="00FA76A9" w:rsidRDefault="00AC1526" w:rsidP="00AC1526">
            <w:pPr>
              <w:spacing w:after="0"/>
              <w:contextualSpacing/>
              <w:rPr>
                <w:rFonts w:eastAsiaTheme="minorHAnsi"/>
                <w:sz w:val="20"/>
                <w:szCs w:val="20"/>
                <w:lang w:eastAsia="en-US"/>
              </w:rPr>
            </w:pPr>
            <w:r w:rsidRPr="00AC1526">
              <w:rPr>
                <w:rFonts w:eastAsiaTheme="minorHAnsi"/>
                <w:sz w:val="20"/>
                <w:szCs w:val="20"/>
                <w:lang w:eastAsia="en-US"/>
              </w:rPr>
              <w:t>UC-PIF</w:t>
            </w:r>
          </w:p>
        </w:tc>
        <w:tc>
          <w:tcPr>
            <w:tcW w:w="627" w:type="pct"/>
          </w:tcPr>
          <w:p w:rsidR="00FA76A9" w:rsidRPr="00FA76A9" w:rsidRDefault="004701FB" w:rsidP="00337AB6">
            <w:pPr>
              <w:spacing w:after="0"/>
              <w:contextualSpacing/>
              <w:jc w:val="center"/>
              <w:rPr>
                <w:rFonts w:eastAsiaTheme="minorHAnsi"/>
                <w:sz w:val="20"/>
                <w:szCs w:val="20"/>
                <w:lang w:eastAsia="en-US"/>
              </w:rPr>
            </w:pPr>
            <w:r>
              <w:rPr>
                <w:rFonts w:eastAsiaTheme="minorHAnsi"/>
                <w:sz w:val="20"/>
                <w:szCs w:val="20"/>
                <w:lang w:eastAsia="en-US"/>
              </w:rPr>
              <w:t>486 200</w:t>
            </w:r>
          </w:p>
        </w:tc>
      </w:tr>
      <w:tr w:rsidR="00FA76A9" w:rsidRPr="004E7C36" w:rsidTr="006A1CFA">
        <w:trPr>
          <w:trHeight w:val="70"/>
        </w:trPr>
        <w:tc>
          <w:tcPr>
            <w:tcW w:w="4373" w:type="pct"/>
            <w:shd w:val="clear" w:color="auto" w:fill="D9D9D9" w:themeFill="background1" w:themeFillShade="D9"/>
          </w:tcPr>
          <w:p w:rsidR="00FA76A9" w:rsidRPr="00FA76A9" w:rsidRDefault="00AC1526" w:rsidP="00AC1526">
            <w:pPr>
              <w:spacing w:after="0"/>
              <w:contextualSpacing/>
              <w:rPr>
                <w:rFonts w:eastAsiaTheme="minorHAnsi"/>
                <w:sz w:val="20"/>
                <w:szCs w:val="20"/>
                <w:lang w:eastAsia="en-US"/>
              </w:rPr>
            </w:pPr>
            <w:r>
              <w:rPr>
                <w:rFonts w:eastAsiaTheme="minorHAnsi"/>
                <w:sz w:val="20"/>
                <w:szCs w:val="20"/>
                <w:lang w:eastAsia="en-US"/>
              </w:rPr>
              <w:t xml:space="preserve">Budget prévu pour </w:t>
            </w:r>
            <w:r w:rsidRPr="00AC1526">
              <w:rPr>
                <w:rFonts w:eastAsiaTheme="minorHAnsi"/>
                <w:sz w:val="20"/>
                <w:szCs w:val="20"/>
                <w:lang w:eastAsia="en-US"/>
              </w:rPr>
              <w:t>R2</w:t>
            </w:r>
          </w:p>
        </w:tc>
        <w:tc>
          <w:tcPr>
            <w:tcW w:w="627" w:type="pct"/>
            <w:shd w:val="clear" w:color="auto" w:fill="D9D9D9" w:themeFill="background1" w:themeFillShade="D9"/>
          </w:tcPr>
          <w:p w:rsidR="00FA76A9" w:rsidRPr="00AC1526" w:rsidRDefault="004701FB" w:rsidP="00337AB6">
            <w:pPr>
              <w:spacing w:after="0"/>
              <w:contextualSpacing/>
              <w:jc w:val="center"/>
              <w:rPr>
                <w:rFonts w:eastAsiaTheme="minorHAnsi"/>
                <w:b/>
                <w:sz w:val="20"/>
                <w:szCs w:val="20"/>
                <w:lang w:eastAsia="en-US"/>
              </w:rPr>
            </w:pPr>
            <w:r>
              <w:rPr>
                <w:rFonts w:eastAsiaTheme="minorHAnsi"/>
                <w:b/>
                <w:sz w:val="20"/>
                <w:szCs w:val="20"/>
                <w:lang w:eastAsia="en-US"/>
              </w:rPr>
              <w:t>5 343 404</w:t>
            </w:r>
          </w:p>
        </w:tc>
      </w:tr>
      <w:tr w:rsidR="006A1CFA" w:rsidRPr="004E7C36" w:rsidTr="006A1CFA">
        <w:trPr>
          <w:trHeight w:val="70"/>
        </w:trPr>
        <w:tc>
          <w:tcPr>
            <w:tcW w:w="5000" w:type="pct"/>
            <w:gridSpan w:val="2"/>
            <w:shd w:val="clear" w:color="auto" w:fill="DEEAF6" w:themeFill="accent1" w:themeFillTint="33"/>
          </w:tcPr>
          <w:p w:rsidR="006A1CFA" w:rsidRPr="00AC1526" w:rsidRDefault="006A1CFA" w:rsidP="00AC1526">
            <w:pPr>
              <w:spacing w:after="0"/>
              <w:contextualSpacing/>
              <w:rPr>
                <w:rFonts w:eastAsiaTheme="minorHAnsi"/>
                <w:b/>
                <w:sz w:val="20"/>
                <w:szCs w:val="20"/>
                <w:lang w:eastAsia="en-US"/>
              </w:rPr>
            </w:pPr>
            <w:r w:rsidRPr="006A1CFA">
              <w:rPr>
                <w:rFonts w:eastAsiaTheme="minorHAnsi"/>
                <w:b/>
                <w:sz w:val="20"/>
                <w:szCs w:val="20"/>
                <w:lang w:eastAsia="en-US"/>
              </w:rPr>
              <w:t>Effet 3 : La déforestation et la dégradation issues de l’exploitation des forêts est réduite grâce à une gestion plus durable</w:t>
            </w:r>
          </w:p>
        </w:tc>
      </w:tr>
      <w:tr w:rsidR="00AC1526" w:rsidRPr="004E7C36" w:rsidTr="006A1CFA">
        <w:trPr>
          <w:trHeight w:val="70"/>
        </w:trPr>
        <w:tc>
          <w:tcPr>
            <w:tcW w:w="5000" w:type="pct"/>
            <w:gridSpan w:val="2"/>
            <w:shd w:val="clear" w:color="auto" w:fill="DEEAF6" w:themeFill="accent1" w:themeFillTint="33"/>
          </w:tcPr>
          <w:p w:rsidR="00AC1526" w:rsidRPr="00FA76A9" w:rsidRDefault="00AC1526" w:rsidP="00AC1526">
            <w:pPr>
              <w:spacing w:after="0"/>
              <w:contextualSpacing/>
              <w:rPr>
                <w:rFonts w:eastAsiaTheme="minorHAnsi"/>
                <w:sz w:val="20"/>
                <w:szCs w:val="20"/>
                <w:lang w:eastAsia="en-US"/>
              </w:rPr>
            </w:pPr>
            <w:r w:rsidRPr="00AC1526">
              <w:rPr>
                <w:rFonts w:eastAsiaTheme="minorHAnsi"/>
                <w:b/>
                <w:sz w:val="20"/>
                <w:szCs w:val="20"/>
                <w:lang w:eastAsia="en-US"/>
              </w:rPr>
              <w:t>R3 : Gestion durable des forêts</w:t>
            </w:r>
          </w:p>
        </w:tc>
      </w:tr>
      <w:tr w:rsidR="00FA76A9" w:rsidRPr="004E7C36" w:rsidTr="006A1CFA">
        <w:trPr>
          <w:trHeight w:val="70"/>
        </w:trPr>
        <w:tc>
          <w:tcPr>
            <w:tcW w:w="4373" w:type="pct"/>
          </w:tcPr>
          <w:p w:rsidR="00FA76A9" w:rsidRPr="00FA76A9" w:rsidRDefault="00AC1526" w:rsidP="00AC1526">
            <w:pPr>
              <w:spacing w:after="0"/>
              <w:contextualSpacing/>
              <w:rPr>
                <w:rFonts w:eastAsiaTheme="minorHAnsi"/>
                <w:sz w:val="20"/>
                <w:szCs w:val="20"/>
                <w:lang w:eastAsia="en-US"/>
              </w:rPr>
            </w:pPr>
            <w:r w:rsidRPr="00AC1526">
              <w:rPr>
                <w:rFonts w:eastAsiaTheme="minorHAnsi"/>
                <w:sz w:val="20"/>
                <w:szCs w:val="20"/>
                <w:lang w:eastAsia="en-US"/>
              </w:rPr>
              <w:t>ALE devant être sélectionnée par voie d’appel d’offres</w:t>
            </w:r>
          </w:p>
        </w:tc>
        <w:tc>
          <w:tcPr>
            <w:tcW w:w="627" w:type="pct"/>
          </w:tcPr>
          <w:p w:rsidR="00FA76A9" w:rsidRPr="00FA76A9" w:rsidRDefault="004701FB" w:rsidP="00337AB6">
            <w:pPr>
              <w:spacing w:after="0"/>
              <w:contextualSpacing/>
              <w:jc w:val="center"/>
              <w:rPr>
                <w:rFonts w:eastAsiaTheme="minorHAnsi"/>
                <w:sz w:val="20"/>
                <w:szCs w:val="20"/>
                <w:lang w:eastAsia="en-US"/>
              </w:rPr>
            </w:pPr>
            <w:r>
              <w:rPr>
                <w:rFonts w:eastAsiaTheme="minorHAnsi"/>
                <w:sz w:val="20"/>
                <w:szCs w:val="20"/>
                <w:lang w:eastAsia="en-US"/>
              </w:rPr>
              <w:t>539 689</w:t>
            </w:r>
          </w:p>
        </w:tc>
      </w:tr>
      <w:tr w:rsidR="00FA76A9" w:rsidRPr="004E7C36" w:rsidTr="006A1CFA">
        <w:trPr>
          <w:trHeight w:val="70"/>
        </w:trPr>
        <w:tc>
          <w:tcPr>
            <w:tcW w:w="4373" w:type="pct"/>
          </w:tcPr>
          <w:p w:rsidR="00FA76A9" w:rsidRPr="00FA76A9" w:rsidRDefault="00AC1526" w:rsidP="00AC1526">
            <w:pPr>
              <w:spacing w:after="0"/>
              <w:contextualSpacing/>
              <w:rPr>
                <w:rFonts w:eastAsiaTheme="minorHAnsi"/>
                <w:sz w:val="20"/>
                <w:szCs w:val="20"/>
                <w:lang w:eastAsia="en-US"/>
              </w:rPr>
            </w:pPr>
            <w:r w:rsidRPr="00AC1526">
              <w:rPr>
                <w:rFonts w:eastAsiaTheme="minorHAnsi"/>
                <w:sz w:val="20"/>
                <w:szCs w:val="20"/>
                <w:lang w:eastAsia="en-US"/>
              </w:rPr>
              <w:t>UC-PIF</w:t>
            </w:r>
          </w:p>
        </w:tc>
        <w:tc>
          <w:tcPr>
            <w:tcW w:w="627" w:type="pct"/>
          </w:tcPr>
          <w:p w:rsidR="00FA76A9" w:rsidRPr="00FA76A9" w:rsidRDefault="004701FB" w:rsidP="00337AB6">
            <w:pPr>
              <w:spacing w:after="0"/>
              <w:contextualSpacing/>
              <w:jc w:val="center"/>
              <w:rPr>
                <w:rFonts w:eastAsiaTheme="minorHAnsi"/>
                <w:sz w:val="20"/>
                <w:szCs w:val="20"/>
                <w:lang w:eastAsia="en-US"/>
              </w:rPr>
            </w:pPr>
            <w:r>
              <w:rPr>
                <w:rFonts w:eastAsiaTheme="minorHAnsi"/>
                <w:sz w:val="20"/>
                <w:szCs w:val="20"/>
                <w:lang w:eastAsia="en-US"/>
              </w:rPr>
              <w:t>54 022</w:t>
            </w:r>
          </w:p>
        </w:tc>
      </w:tr>
      <w:tr w:rsidR="00FA76A9" w:rsidRPr="004E7C36" w:rsidTr="006A1CFA">
        <w:trPr>
          <w:trHeight w:val="70"/>
        </w:trPr>
        <w:tc>
          <w:tcPr>
            <w:tcW w:w="4373" w:type="pct"/>
            <w:shd w:val="clear" w:color="auto" w:fill="D9D9D9" w:themeFill="background1" w:themeFillShade="D9"/>
          </w:tcPr>
          <w:p w:rsidR="00FA76A9" w:rsidRPr="00FA76A9" w:rsidRDefault="00AC1526" w:rsidP="00AC1526">
            <w:pPr>
              <w:spacing w:after="0"/>
              <w:contextualSpacing/>
              <w:rPr>
                <w:rFonts w:eastAsiaTheme="minorHAnsi"/>
                <w:sz w:val="20"/>
                <w:szCs w:val="20"/>
                <w:lang w:eastAsia="en-US"/>
              </w:rPr>
            </w:pPr>
            <w:r w:rsidRPr="00AC1526">
              <w:rPr>
                <w:rFonts w:eastAsiaTheme="minorHAnsi"/>
                <w:sz w:val="20"/>
                <w:szCs w:val="20"/>
                <w:lang w:eastAsia="en-US"/>
              </w:rPr>
              <w:t>Budget prévu pour R</w:t>
            </w:r>
            <w:r>
              <w:rPr>
                <w:rFonts w:eastAsiaTheme="minorHAnsi"/>
                <w:sz w:val="20"/>
                <w:szCs w:val="20"/>
                <w:lang w:eastAsia="en-US"/>
              </w:rPr>
              <w:t>3</w:t>
            </w:r>
          </w:p>
        </w:tc>
        <w:tc>
          <w:tcPr>
            <w:tcW w:w="627" w:type="pct"/>
            <w:shd w:val="clear" w:color="auto" w:fill="D9D9D9" w:themeFill="background1" w:themeFillShade="D9"/>
          </w:tcPr>
          <w:p w:rsidR="00FA76A9" w:rsidRPr="00AC1526" w:rsidRDefault="004701FB" w:rsidP="00337AB6">
            <w:pPr>
              <w:spacing w:after="0"/>
              <w:contextualSpacing/>
              <w:jc w:val="center"/>
              <w:rPr>
                <w:rFonts w:eastAsiaTheme="minorHAnsi"/>
                <w:b/>
                <w:sz w:val="20"/>
                <w:szCs w:val="20"/>
                <w:lang w:eastAsia="en-US"/>
              </w:rPr>
            </w:pPr>
            <w:r>
              <w:rPr>
                <w:rFonts w:eastAsiaTheme="minorHAnsi"/>
                <w:b/>
                <w:sz w:val="20"/>
                <w:szCs w:val="20"/>
                <w:lang w:eastAsia="en-US"/>
              </w:rPr>
              <w:t>593 712</w:t>
            </w:r>
          </w:p>
        </w:tc>
      </w:tr>
      <w:tr w:rsidR="006A1CFA" w:rsidRPr="004E7C36" w:rsidTr="006A1CFA">
        <w:trPr>
          <w:trHeight w:val="70"/>
        </w:trPr>
        <w:tc>
          <w:tcPr>
            <w:tcW w:w="5000" w:type="pct"/>
            <w:gridSpan w:val="2"/>
            <w:shd w:val="clear" w:color="auto" w:fill="DEEAF6" w:themeFill="accent1" w:themeFillTint="33"/>
          </w:tcPr>
          <w:p w:rsidR="006A1CFA" w:rsidRDefault="006A1CFA" w:rsidP="00C1687E">
            <w:pPr>
              <w:spacing w:after="0"/>
              <w:contextualSpacing/>
              <w:rPr>
                <w:rFonts w:eastAsiaTheme="minorHAnsi"/>
                <w:b/>
                <w:sz w:val="20"/>
                <w:szCs w:val="20"/>
                <w:lang w:eastAsia="en-US"/>
              </w:rPr>
            </w:pPr>
            <w:r w:rsidRPr="006A1CFA">
              <w:rPr>
                <w:rFonts w:eastAsiaTheme="minorHAnsi"/>
                <w:b/>
                <w:sz w:val="20"/>
                <w:szCs w:val="20"/>
                <w:lang w:eastAsia="en-US"/>
              </w:rPr>
              <w:t>Effet 5 : Les activités humaines sont mieux planifiées permettant une optimisation de l’utilisation de l’espace et une diminution de leur impact sur les forêts</w:t>
            </w:r>
          </w:p>
        </w:tc>
      </w:tr>
      <w:tr w:rsidR="00C1687E" w:rsidRPr="004E7C36" w:rsidTr="006A1CFA">
        <w:trPr>
          <w:trHeight w:val="70"/>
        </w:trPr>
        <w:tc>
          <w:tcPr>
            <w:tcW w:w="5000" w:type="pct"/>
            <w:gridSpan w:val="2"/>
            <w:shd w:val="clear" w:color="auto" w:fill="DEEAF6" w:themeFill="accent1" w:themeFillTint="33"/>
          </w:tcPr>
          <w:p w:rsidR="00C1687E" w:rsidRPr="00C1687E" w:rsidRDefault="00C1687E" w:rsidP="00C1687E">
            <w:pPr>
              <w:spacing w:after="0"/>
              <w:contextualSpacing/>
              <w:rPr>
                <w:rFonts w:eastAsiaTheme="minorHAnsi"/>
                <w:b/>
                <w:sz w:val="20"/>
                <w:szCs w:val="20"/>
                <w:lang w:eastAsia="en-US"/>
              </w:rPr>
            </w:pPr>
            <w:r>
              <w:rPr>
                <w:rFonts w:eastAsiaTheme="minorHAnsi"/>
                <w:b/>
                <w:sz w:val="20"/>
                <w:szCs w:val="20"/>
                <w:lang w:eastAsia="en-US"/>
              </w:rPr>
              <w:t>R5</w:t>
            </w:r>
            <w:r w:rsidRPr="00C1687E">
              <w:rPr>
                <w:rFonts w:eastAsiaTheme="minorHAnsi"/>
                <w:b/>
                <w:sz w:val="20"/>
                <w:szCs w:val="20"/>
                <w:lang w:eastAsia="en-US"/>
              </w:rPr>
              <w:t xml:space="preserve"> : Aménagement du Territoire  </w:t>
            </w:r>
          </w:p>
        </w:tc>
      </w:tr>
      <w:tr w:rsidR="00FA76A9" w:rsidRPr="004E7C36" w:rsidTr="006A1CFA">
        <w:trPr>
          <w:trHeight w:val="70"/>
        </w:trPr>
        <w:tc>
          <w:tcPr>
            <w:tcW w:w="4373" w:type="pct"/>
          </w:tcPr>
          <w:p w:rsidR="00FA76A9"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FA76A9" w:rsidRPr="00FA76A9" w:rsidRDefault="00337AB6" w:rsidP="00337AB6">
            <w:pPr>
              <w:spacing w:after="0"/>
              <w:contextualSpacing/>
              <w:jc w:val="center"/>
              <w:rPr>
                <w:rFonts w:eastAsiaTheme="minorHAnsi"/>
                <w:sz w:val="20"/>
                <w:szCs w:val="20"/>
                <w:lang w:eastAsia="en-US"/>
              </w:rPr>
            </w:pPr>
            <w:r>
              <w:rPr>
                <w:rFonts w:eastAsiaTheme="minorHAnsi"/>
                <w:sz w:val="20"/>
                <w:szCs w:val="20"/>
                <w:lang w:eastAsia="en-US"/>
              </w:rPr>
              <w:t>288 978</w:t>
            </w:r>
          </w:p>
        </w:tc>
      </w:tr>
      <w:tr w:rsidR="00FA76A9" w:rsidRPr="004E7C36" w:rsidTr="006A1CFA">
        <w:trPr>
          <w:trHeight w:val="70"/>
        </w:trPr>
        <w:tc>
          <w:tcPr>
            <w:tcW w:w="4373" w:type="pct"/>
          </w:tcPr>
          <w:p w:rsidR="00FA76A9"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FA76A9" w:rsidRPr="00FA76A9" w:rsidRDefault="00337AB6" w:rsidP="00AC1526">
            <w:pPr>
              <w:spacing w:after="0"/>
              <w:contextualSpacing/>
              <w:jc w:val="center"/>
              <w:rPr>
                <w:rFonts w:eastAsiaTheme="minorHAnsi"/>
                <w:sz w:val="20"/>
                <w:szCs w:val="20"/>
                <w:lang w:eastAsia="en-US"/>
              </w:rPr>
            </w:pPr>
            <w:r>
              <w:rPr>
                <w:rFonts w:eastAsiaTheme="minorHAnsi"/>
                <w:sz w:val="20"/>
                <w:szCs w:val="20"/>
                <w:lang w:eastAsia="en-US"/>
              </w:rPr>
              <w:t>28 926</w:t>
            </w:r>
          </w:p>
        </w:tc>
      </w:tr>
      <w:tr w:rsidR="00FA76A9" w:rsidRPr="004E7C36" w:rsidTr="006A1CFA">
        <w:trPr>
          <w:trHeight w:val="70"/>
        </w:trPr>
        <w:tc>
          <w:tcPr>
            <w:tcW w:w="4373" w:type="pct"/>
            <w:shd w:val="clear" w:color="auto" w:fill="D9D9D9" w:themeFill="background1" w:themeFillShade="D9"/>
          </w:tcPr>
          <w:p w:rsidR="00FA76A9"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5</w:t>
            </w:r>
          </w:p>
        </w:tc>
        <w:tc>
          <w:tcPr>
            <w:tcW w:w="627" w:type="pct"/>
            <w:shd w:val="clear" w:color="auto" w:fill="D9D9D9" w:themeFill="background1" w:themeFillShade="D9"/>
          </w:tcPr>
          <w:p w:rsidR="00FA76A9" w:rsidRPr="00C1687E" w:rsidRDefault="00337AB6" w:rsidP="00AC1526">
            <w:pPr>
              <w:spacing w:after="0"/>
              <w:contextualSpacing/>
              <w:jc w:val="center"/>
              <w:rPr>
                <w:rFonts w:eastAsiaTheme="minorHAnsi"/>
                <w:b/>
                <w:sz w:val="20"/>
                <w:szCs w:val="20"/>
                <w:lang w:eastAsia="en-US"/>
              </w:rPr>
            </w:pPr>
            <w:r>
              <w:rPr>
                <w:rFonts w:eastAsiaTheme="minorHAnsi"/>
                <w:b/>
                <w:sz w:val="20"/>
                <w:szCs w:val="20"/>
                <w:lang w:eastAsia="en-US"/>
              </w:rPr>
              <w:t>317 905</w:t>
            </w:r>
          </w:p>
        </w:tc>
      </w:tr>
      <w:tr w:rsidR="006A1CFA" w:rsidRPr="004E7C36" w:rsidTr="006A1CFA">
        <w:trPr>
          <w:trHeight w:val="70"/>
        </w:trPr>
        <w:tc>
          <w:tcPr>
            <w:tcW w:w="5000" w:type="pct"/>
            <w:gridSpan w:val="2"/>
            <w:shd w:val="clear" w:color="auto" w:fill="DEEAF6" w:themeFill="accent1" w:themeFillTint="33"/>
          </w:tcPr>
          <w:p w:rsidR="006A1CFA" w:rsidRPr="00C1687E" w:rsidRDefault="006A1CFA" w:rsidP="00C1687E">
            <w:pPr>
              <w:spacing w:after="0"/>
              <w:contextualSpacing/>
              <w:rPr>
                <w:rFonts w:eastAsiaTheme="minorHAnsi"/>
                <w:b/>
                <w:sz w:val="20"/>
                <w:szCs w:val="20"/>
                <w:lang w:eastAsia="en-US"/>
              </w:rPr>
            </w:pPr>
            <w:r w:rsidRPr="006A1CFA">
              <w:rPr>
                <w:rFonts w:eastAsiaTheme="minorHAnsi"/>
                <w:b/>
                <w:sz w:val="20"/>
                <w:szCs w:val="20"/>
                <w:lang w:eastAsia="en-US"/>
              </w:rPr>
              <w:t>Effet 6 : Les droits fonciers permettent l’évolution durable de l’exploitation forestière et agricole</w:t>
            </w:r>
          </w:p>
        </w:tc>
      </w:tr>
      <w:tr w:rsidR="00C1687E" w:rsidRPr="004E7C36" w:rsidTr="006A1CFA">
        <w:trPr>
          <w:trHeight w:val="70"/>
        </w:trPr>
        <w:tc>
          <w:tcPr>
            <w:tcW w:w="5000" w:type="pct"/>
            <w:gridSpan w:val="2"/>
            <w:shd w:val="clear" w:color="auto" w:fill="DEEAF6" w:themeFill="accent1" w:themeFillTint="33"/>
          </w:tcPr>
          <w:p w:rsidR="00C1687E" w:rsidRPr="00FA76A9" w:rsidRDefault="00C1687E" w:rsidP="00C1687E">
            <w:pPr>
              <w:spacing w:after="0"/>
              <w:contextualSpacing/>
              <w:rPr>
                <w:rFonts w:eastAsiaTheme="minorHAnsi"/>
                <w:sz w:val="20"/>
                <w:szCs w:val="20"/>
                <w:lang w:eastAsia="en-US"/>
              </w:rPr>
            </w:pPr>
            <w:r w:rsidRPr="00C1687E">
              <w:rPr>
                <w:rFonts w:eastAsiaTheme="minorHAnsi"/>
                <w:b/>
                <w:sz w:val="20"/>
                <w:szCs w:val="20"/>
                <w:lang w:eastAsia="en-US"/>
              </w:rPr>
              <w:t>R6 : Foncier</w:t>
            </w:r>
          </w:p>
        </w:tc>
      </w:tr>
      <w:tr w:rsidR="00FA76A9" w:rsidRPr="004E7C36" w:rsidTr="006A1CFA">
        <w:trPr>
          <w:trHeight w:val="70"/>
        </w:trPr>
        <w:tc>
          <w:tcPr>
            <w:tcW w:w="4373" w:type="pct"/>
          </w:tcPr>
          <w:p w:rsidR="00FA76A9"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FA76A9" w:rsidRPr="00FA76A9" w:rsidRDefault="00337AB6" w:rsidP="00AC1526">
            <w:pPr>
              <w:spacing w:after="0"/>
              <w:contextualSpacing/>
              <w:jc w:val="center"/>
              <w:rPr>
                <w:rFonts w:eastAsiaTheme="minorHAnsi"/>
                <w:sz w:val="20"/>
                <w:szCs w:val="20"/>
                <w:lang w:eastAsia="en-US"/>
              </w:rPr>
            </w:pPr>
            <w:r>
              <w:rPr>
                <w:rFonts w:eastAsiaTheme="minorHAnsi"/>
                <w:sz w:val="20"/>
                <w:szCs w:val="20"/>
                <w:lang w:eastAsia="en-US"/>
              </w:rPr>
              <w:t>288 978</w:t>
            </w:r>
          </w:p>
        </w:tc>
      </w:tr>
      <w:tr w:rsidR="00C1687E" w:rsidRPr="004E7C36" w:rsidTr="006A1CFA">
        <w:trPr>
          <w:trHeight w:val="70"/>
        </w:trPr>
        <w:tc>
          <w:tcPr>
            <w:tcW w:w="4373" w:type="pct"/>
          </w:tcPr>
          <w:p w:rsidR="00C1687E"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C1687E" w:rsidRPr="00FA76A9" w:rsidRDefault="00337AB6" w:rsidP="00AC1526">
            <w:pPr>
              <w:spacing w:after="0"/>
              <w:contextualSpacing/>
              <w:jc w:val="center"/>
              <w:rPr>
                <w:rFonts w:eastAsiaTheme="minorHAnsi"/>
                <w:sz w:val="20"/>
                <w:szCs w:val="20"/>
                <w:lang w:eastAsia="en-US"/>
              </w:rPr>
            </w:pPr>
            <w:r>
              <w:rPr>
                <w:rFonts w:eastAsiaTheme="minorHAnsi"/>
                <w:sz w:val="20"/>
                <w:szCs w:val="20"/>
                <w:lang w:eastAsia="en-US"/>
              </w:rPr>
              <w:t>28 926</w:t>
            </w:r>
          </w:p>
        </w:tc>
      </w:tr>
      <w:tr w:rsidR="00C1687E" w:rsidRPr="004E7C36" w:rsidTr="006A1CFA">
        <w:trPr>
          <w:trHeight w:val="70"/>
        </w:trPr>
        <w:tc>
          <w:tcPr>
            <w:tcW w:w="4373" w:type="pct"/>
            <w:shd w:val="clear" w:color="auto" w:fill="D9D9D9" w:themeFill="background1" w:themeFillShade="D9"/>
          </w:tcPr>
          <w:p w:rsidR="00C1687E"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6</w:t>
            </w:r>
          </w:p>
        </w:tc>
        <w:tc>
          <w:tcPr>
            <w:tcW w:w="627" w:type="pct"/>
            <w:shd w:val="clear" w:color="auto" w:fill="D9D9D9" w:themeFill="background1" w:themeFillShade="D9"/>
          </w:tcPr>
          <w:p w:rsidR="00C1687E" w:rsidRPr="00C1687E" w:rsidRDefault="00337AB6" w:rsidP="00AC1526">
            <w:pPr>
              <w:spacing w:after="0"/>
              <w:contextualSpacing/>
              <w:jc w:val="center"/>
              <w:rPr>
                <w:rFonts w:eastAsiaTheme="minorHAnsi"/>
                <w:b/>
                <w:sz w:val="20"/>
                <w:szCs w:val="20"/>
                <w:lang w:eastAsia="en-US"/>
              </w:rPr>
            </w:pPr>
            <w:r>
              <w:rPr>
                <w:rFonts w:eastAsiaTheme="minorHAnsi"/>
                <w:b/>
                <w:sz w:val="20"/>
                <w:szCs w:val="20"/>
                <w:lang w:eastAsia="en-US"/>
              </w:rPr>
              <w:t>317 905</w:t>
            </w:r>
          </w:p>
        </w:tc>
      </w:tr>
      <w:tr w:rsidR="006A1CFA" w:rsidRPr="004E7C36" w:rsidTr="006A1CFA">
        <w:trPr>
          <w:trHeight w:val="70"/>
        </w:trPr>
        <w:tc>
          <w:tcPr>
            <w:tcW w:w="5000" w:type="pct"/>
            <w:gridSpan w:val="2"/>
            <w:shd w:val="clear" w:color="auto" w:fill="DEEAF6" w:themeFill="accent1" w:themeFillTint="33"/>
          </w:tcPr>
          <w:p w:rsidR="006A1CFA" w:rsidRPr="00C1687E" w:rsidRDefault="006A1CFA" w:rsidP="00C1687E">
            <w:pPr>
              <w:spacing w:after="0"/>
              <w:contextualSpacing/>
              <w:rPr>
                <w:rFonts w:eastAsiaTheme="minorHAnsi"/>
                <w:b/>
                <w:sz w:val="20"/>
                <w:szCs w:val="20"/>
                <w:lang w:eastAsia="en-US"/>
              </w:rPr>
            </w:pPr>
            <w:r w:rsidRPr="006A1CFA">
              <w:rPr>
                <w:rFonts w:eastAsiaTheme="minorHAnsi"/>
                <w:b/>
                <w:sz w:val="20"/>
                <w:szCs w:val="20"/>
                <w:lang w:eastAsia="en-US"/>
              </w:rPr>
              <w:t>Effet 7 : La pression humaine sur les forêts, liée aux phénomènes migratoires et à la dynamique démographique, est réduite</w:t>
            </w:r>
          </w:p>
        </w:tc>
      </w:tr>
      <w:tr w:rsidR="00C1687E" w:rsidRPr="004E7C36" w:rsidTr="006A1CFA">
        <w:trPr>
          <w:trHeight w:val="70"/>
        </w:trPr>
        <w:tc>
          <w:tcPr>
            <w:tcW w:w="5000" w:type="pct"/>
            <w:gridSpan w:val="2"/>
            <w:shd w:val="clear" w:color="auto" w:fill="DEEAF6" w:themeFill="accent1" w:themeFillTint="33"/>
          </w:tcPr>
          <w:p w:rsidR="00C1687E" w:rsidRPr="00FA76A9" w:rsidRDefault="00C1687E" w:rsidP="00C1687E">
            <w:pPr>
              <w:spacing w:after="0"/>
              <w:contextualSpacing/>
              <w:rPr>
                <w:rFonts w:eastAsiaTheme="minorHAnsi"/>
                <w:sz w:val="20"/>
                <w:szCs w:val="20"/>
                <w:lang w:eastAsia="en-US"/>
              </w:rPr>
            </w:pPr>
            <w:r w:rsidRPr="00C1687E">
              <w:rPr>
                <w:rFonts w:eastAsiaTheme="minorHAnsi"/>
                <w:b/>
                <w:sz w:val="20"/>
                <w:szCs w:val="20"/>
                <w:lang w:eastAsia="en-US"/>
              </w:rPr>
              <w:t>R7 : Démographie</w:t>
            </w:r>
          </w:p>
        </w:tc>
      </w:tr>
      <w:tr w:rsidR="00C1687E" w:rsidRPr="004E7C36" w:rsidTr="006A1CFA">
        <w:trPr>
          <w:trHeight w:val="130"/>
        </w:trPr>
        <w:tc>
          <w:tcPr>
            <w:tcW w:w="4373" w:type="pct"/>
          </w:tcPr>
          <w:p w:rsidR="00C1687E"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C1687E" w:rsidRPr="00FA76A9" w:rsidRDefault="00337AB6" w:rsidP="00AC1526">
            <w:pPr>
              <w:spacing w:after="0"/>
              <w:contextualSpacing/>
              <w:jc w:val="center"/>
              <w:rPr>
                <w:rFonts w:eastAsiaTheme="minorHAnsi"/>
                <w:sz w:val="20"/>
                <w:szCs w:val="20"/>
                <w:lang w:eastAsia="en-US"/>
              </w:rPr>
            </w:pPr>
            <w:r>
              <w:rPr>
                <w:rFonts w:eastAsiaTheme="minorHAnsi"/>
                <w:sz w:val="20"/>
                <w:szCs w:val="20"/>
                <w:lang w:eastAsia="en-US"/>
              </w:rPr>
              <w:t>599 851</w:t>
            </w:r>
          </w:p>
        </w:tc>
      </w:tr>
      <w:tr w:rsidR="00C1687E" w:rsidRPr="004E7C36" w:rsidTr="006A1CFA">
        <w:trPr>
          <w:trHeight w:val="70"/>
        </w:trPr>
        <w:tc>
          <w:tcPr>
            <w:tcW w:w="4373" w:type="pct"/>
          </w:tcPr>
          <w:p w:rsidR="00C1687E"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C1687E" w:rsidRPr="00FA76A9" w:rsidRDefault="00337AB6" w:rsidP="00AC1526">
            <w:pPr>
              <w:spacing w:after="0"/>
              <w:contextualSpacing/>
              <w:jc w:val="center"/>
              <w:rPr>
                <w:rFonts w:eastAsiaTheme="minorHAnsi"/>
                <w:sz w:val="20"/>
                <w:szCs w:val="20"/>
                <w:lang w:eastAsia="en-US"/>
              </w:rPr>
            </w:pPr>
            <w:r>
              <w:rPr>
                <w:rFonts w:eastAsiaTheme="minorHAnsi"/>
                <w:sz w:val="20"/>
                <w:szCs w:val="20"/>
                <w:lang w:eastAsia="en-US"/>
              </w:rPr>
              <w:t>60 044</w:t>
            </w:r>
          </w:p>
        </w:tc>
      </w:tr>
      <w:tr w:rsidR="00C1687E" w:rsidRPr="004E7C36" w:rsidTr="006A1CFA">
        <w:trPr>
          <w:trHeight w:val="70"/>
        </w:trPr>
        <w:tc>
          <w:tcPr>
            <w:tcW w:w="4373" w:type="pct"/>
            <w:shd w:val="clear" w:color="auto" w:fill="D9D9D9" w:themeFill="background1" w:themeFillShade="D9"/>
          </w:tcPr>
          <w:p w:rsidR="00C1687E" w:rsidRPr="00FA76A9" w:rsidRDefault="00C1687E" w:rsidP="00AC1526">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7</w:t>
            </w:r>
          </w:p>
        </w:tc>
        <w:tc>
          <w:tcPr>
            <w:tcW w:w="627" w:type="pct"/>
            <w:shd w:val="clear" w:color="auto" w:fill="D9D9D9" w:themeFill="background1" w:themeFillShade="D9"/>
          </w:tcPr>
          <w:p w:rsidR="00C1687E" w:rsidRPr="00C1687E" w:rsidRDefault="00337AB6" w:rsidP="00AC1526">
            <w:pPr>
              <w:spacing w:after="0"/>
              <w:contextualSpacing/>
              <w:jc w:val="center"/>
              <w:rPr>
                <w:rFonts w:eastAsiaTheme="minorHAnsi"/>
                <w:b/>
                <w:sz w:val="20"/>
                <w:szCs w:val="20"/>
                <w:lang w:eastAsia="en-US"/>
              </w:rPr>
            </w:pPr>
            <w:r>
              <w:rPr>
                <w:rFonts w:eastAsiaTheme="minorHAnsi"/>
                <w:b/>
                <w:sz w:val="20"/>
                <w:szCs w:val="20"/>
                <w:lang w:eastAsia="en-US"/>
              </w:rPr>
              <w:t>659 895</w:t>
            </w:r>
          </w:p>
        </w:tc>
      </w:tr>
      <w:tr w:rsidR="006A1CFA" w:rsidRPr="004E7C36" w:rsidTr="006A1CFA">
        <w:trPr>
          <w:trHeight w:val="70"/>
        </w:trPr>
        <w:tc>
          <w:tcPr>
            <w:tcW w:w="5000" w:type="pct"/>
            <w:gridSpan w:val="2"/>
            <w:shd w:val="clear" w:color="auto" w:fill="DEEAF6" w:themeFill="accent1" w:themeFillTint="33"/>
          </w:tcPr>
          <w:p w:rsidR="006A1CFA" w:rsidRPr="00C1687E" w:rsidRDefault="006A1CFA" w:rsidP="00C1687E">
            <w:pPr>
              <w:spacing w:after="0"/>
              <w:contextualSpacing/>
              <w:rPr>
                <w:rFonts w:eastAsiaTheme="minorHAnsi"/>
                <w:b/>
                <w:sz w:val="20"/>
                <w:szCs w:val="20"/>
                <w:lang w:eastAsia="en-US"/>
              </w:rPr>
            </w:pPr>
            <w:r w:rsidRPr="006A1CFA">
              <w:rPr>
                <w:rFonts w:eastAsiaTheme="minorHAnsi"/>
                <w:b/>
                <w:sz w:val="20"/>
                <w:szCs w:val="20"/>
                <w:lang w:eastAsia="en-US"/>
              </w:rPr>
              <w:lastRenderedPageBreak/>
              <w:t>Effet 8 : La bonne gouvernance est assurée permettant une mise en œuvre effective, transversale et intégrée, transparente, équitable et durable de REDD+, basée sur les résultats, et intégrant l’information, la consultation, la participation et l’appropriation de toutes les parties prenantes, y compris équitablement entre les femmes et les hommes</w:t>
            </w:r>
          </w:p>
        </w:tc>
      </w:tr>
      <w:tr w:rsidR="00C1687E" w:rsidRPr="004E7C36" w:rsidTr="006A1CFA">
        <w:trPr>
          <w:trHeight w:val="70"/>
        </w:trPr>
        <w:tc>
          <w:tcPr>
            <w:tcW w:w="5000" w:type="pct"/>
            <w:gridSpan w:val="2"/>
            <w:shd w:val="clear" w:color="auto" w:fill="DEEAF6" w:themeFill="accent1" w:themeFillTint="33"/>
          </w:tcPr>
          <w:p w:rsidR="00C1687E" w:rsidRPr="00FA76A9" w:rsidRDefault="00C1687E" w:rsidP="00C1687E">
            <w:pPr>
              <w:spacing w:after="0"/>
              <w:contextualSpacing/>
              <w:rPr>
                <w:rFonts w:eastAsiaTheme="minorHAnsi"/>
                <w:sz w:val="20"/>
                <w:szCs w:val="20"/>
                <w:lang w:eastAsia="en-US"/>
              </w:rPr>
            </w:pPr>
            <w:r w:rsidRPr="00C1687E">
              <w:rPr>
                <w:rFonts w:eastAsiaTheme="minorHAnsi"/>
                <w:b/>
                <w:sz w:val="20"/>
                <w:szCs w:val="20"/>
                <w:lang w:eastAsia="en-US"/>
              </w:rPr>
              <w:t>R8 : Gouvernance</w:t>
            </w:r>
          </w:p>
        </w:tc>
      </w:tr>
      <w:tr w:rsidR="00C1687E" w:rsidRPr="004E7C36" w:rsidTr="006A1CFA">
        <w:trPr>
          <w:trHeight w:val="70"/>
        </w:trPr>
        <w:tc>
          <w:tcPr>
            <w:tcW w:w="4373" w:type="pct"/>
          </w:tcPr>
          <w:p w:rsidR="00C1687E" w:rsidRPr="00FA76A9" w:rsidRDefault="00542C30" w:rsidP="00AC1526">
            <w:pPr>
              <w:spacing w:after="0"/>
              <w:contextualSpacing/>
              <w:rPr>
                <w:rFonts w:eastAsiaTheme="minorHAnsi"/>
                <w:sz w:val="20"/>
                <w:szCs w:val="20"/>
                <w:lang w:eastAsia="en-US"/>
              </w:rPr>
            </w:pPr>
            <w:r w:rsidRPr="00542C30">
              <w:rPr>
                <w:rFonts w:eastAsiaTheme="minorHAnsi"/>
                <w:sz w:val="20"/>
                <w:szCs w:val="20"/>
                <w:lang w:eastAsia="en-US"/>
              </w:rPr>
              <w:t>ALE devant être sélectionnée par voie d’appel d’offres</w:t>
            </w:r>
          </w:p>
        </w:tc>
        <w:tc>
          <w:tcPr>
            <w:tcW w:w="627" w:type="pct"/>
          </w:tcPr>
          <w:p w:rsidR="00C1687E" w:rsidRPr="00FA76A9" w:rsidRDefault="00337AB6" w:rsidP="00AC1526">
            <w:pPr>
              <w:spacing w:after="0"/>
              <w:contextualSpacing/>
              <w:jc w:val="center"/>
              <w:rPr>
                <w:rFonts w:eastAsiaTheme="minorHAnsi"/>
                <w:sz w:val="20"/>
                <w:szCs w:val="20"/>
                <w:lang w:eastAsia="en-US"/>
              </w:rPr>
            </w:pPr>
            <w:r>
              <w:rPr>
                <w:rFonts w:eastAsiaTheme="minorHAnsi"/>
                <w:sz w:val="20"/>
                <w:szCs w:val="20"/>
                <w:lang w:eastAsia="en-US"/>
              </w:rPr>
              <w:t>487 379</w:t>
            </w:r>
          </w:p>
        </w:tc>
      </w:tr>
      <w:tr w:rsidR="00C1687E" w:rsidRPr="004E7C36" w:rsidTr="006A1CFA">
        <w:trPr>
          <w:trHeight w:val="70"/>
        </w:trPr>
        <w:tc>
          <w:tcPr>
            <w:tcW w:w="4373" w:type="pct"/>
          </w:tcPr>
          <w:p w:rsidR="00C1687E" w:rsidRPr="00FA76A9" w:rsidRDefault="00542C30" w:rsidP="00AC1526">
            <w:pPr>
              <w:spacing w:after="0"/>
              <w:contextualSpacing/>
              <w:rPr>
                <w:rFonts w:eastAsiaTheme="minorHAnsi"/>
                <w:sz w:val="20"/>
                <w:szCs w:val="20"/>
                <w:lang w:eastAsia="en-US"/>
              </w:rPr>
            </w:pPr>
            <w:r w:rsidRPr="00542C30">
              <w:rPr>
                <w:rFonts w:eastAsiaTheme="minorHAnsi"/>
                <w:sz w:val="20"/>
                <w:szCs w:val="20"/>
                <w:lang w:eastAsia="en-US"/>
              </w:rPr>
              <w:t>UC-PIF</w:t>
            </w:r>
          </w:p>
        </w:tc>
        <w:tc>
          <w:tcPr>
            <w:tcW w:w="627" w:type="pct"/>
          </w:tcPr>
          <w:p w:rsidR="00C1687E" w:rsidRPr="00FA76A9" w:rsidRDefault="00337AB6" w:rsidP="00AC1526">
            <w:pPr>
              <w:spacing w:after="0"/>
              <w:contextualSpacing/>
              <w:jc w:val="center"/>
              <w:rPr>
                <w:rFonts w:eastAsiaTheme="minorHAnsi"/>
                <w:sz w:val="20"/>
                <w:szCs w:val="20"/>
                <w:lang w:eastAsia="en-US"/>
              </w:rPr>
            </w:pPr>
            <w:r>
              <w:rPr>
                <w:rFonts w:eastAsiaTheme="minorHAnsi"/>
                <w:sz w:val="20"/>
                <w:szCs w:val="20"/>
                <w:lang w:eastAsia="en-US"/>
              </w:rPr>
              <w:t>48 786</w:t>
            </w:r>
          </w:p>
        </w:tc>
      </w:tr>
      <w:tr w:rsidR="00C1687E" w:rsidRPr="004E7C36" w:rsidTr="006A1CFA">
        <w:trPr>
          <w:trHeight w:val="70"/>
        </w:trPr>
        <w:tc>
          <w:tcPr>
            <w:tcW w:w="4373" w:type="pct"/>
            <w:shd w:val="clear" w:color="auto" w:fill="D9D9D9" w:themeFill="background1" w:themeFillShade="D9"/>
          </w:tcPr>
          <w:p w:rsidR="00C1687E" w:rsidRPr="00FA76A9" w:rsidRDefault="00542C30" w:rsidP="00AC1526">
            <w:pPr>
              <w:spacing w:after="0"/>
              <w:contextualSpacing/>
              <w:rPr>
                <w:rFonts w:eastAsiaTheme="minorHAnsi"/>
                <w:sz w:val="20"/>
                <w:szCs w:val="20"/>
                <w:lang w:eastAsia="en-US"/>
              </w:rPr>
            </w:pPr>
            <w:r w:rsidRPr="00542C30">
              <w:rPr>
                <w:rFonts w:eastAsiaTheme="minorHAnsi"/>
                <w:sz w:val="20"/>
                <w:szCs w:val="20"/>
                <w:lang w:eastAsia="en-US"/>
              </w:rPr>
              <w:t>Budget prévu pour R</w:t>
            </w:r>
            <w:r>
              <w:rPr>
                <w:rFonts w:eastAsiaTheme="minorHAnsi"/>
                <w:sz w:val="20"/>
                <w:szCs w:val="20"/>
                <w:lang w:eastAsia="en-US"/>
              </w:rPr>
              <w:t>8</w:t>
            </w:r>
          </w:p>
        </w:tc>
        <w:tc>
          <w:tcPr>
            <w:tcW w:w="627" w:type="pct"/>
            <w:shd w:val="clear" w:color="auto" w:fill="D9D9D9" w:themeFill="background1" w:themeFillShade="D9"/>
          </w:tcPr>
          <w:p w:rsidR="00C1687E" w:rsidRPr="00542C30" w:rsidRDefault="00337AB6" w:rsidP="00AC1526">
            <w:pPr>
              <w:spacing w:after="0"/>
              <w:contextualSpacing/>
              <w:jc w:val="center"/>
              <w:rPr>
                <w:rFonts w:eastAsiaTheme="minorHAnsi"/>
                <w:b/>
                <w:sz w:val="20"/>
                <w:szCs w:val="20"/>
                <w:lang w:eastAsia="en-US"/>
              </w:rPr>
            </w:pPr>
            <w:r>
              <w:rPr>
                <w:rFonts w:eastAsiaTheme="minorHAnsi"/>
                <w:b/>
                <w:sz w:val="20"/>
                <w:szCs w:val="20"/>
                <w:lang w:eastAsia="en-US"/>
              </w:rPr>
              <w:t>536 165</w:t>
            </w:r>
          </w:p>
        </w:tc>
      </w:tr>
      <w:tr w:rsidR="006A1CFA" w:rsidRPr="004E7C36" w:rsidTr="006A1CFA">
        <w:trPr>
          <w:trHeight w:val="70"/>
        </w:trPr>
        <w:tc>
          <w:tcPr>
            <w:tcW w:w="5000" w:type="pct"/>
            <w:gridSpan w:val="2"/>
            <w:shd w:val="clear" w:color="auto" w:fill="DEEAF6" w:themeFill="accent1" w:themeFillTint="33"/>
          </w:tcPr>
          <w:p w:rsidR="006A1CFA" w:rsidRDefault="006A1CFA" w:rsidP="00542C30">
            <w:pPr>
              <w:spacing w:after="0"/>
              <w:contextualSpacing/>
              <w:rPr>
                <w:rFonts w:eastAsiaTheme="minorHAnsi"/>
                <w:b/>
                <w:sz w:val="20"/>
                <w:szCs w:val="20"/>
                <w:lang w:eastAsia="en-US"/>
              </w:rPr>
            </w:pPr>
            <w:r>
              <w:rPr>
                <w:rFonts w:eastAsiaTheme="minorHAnsi"/>
                <w:b/>
                <w:sz w:val="20"/>
                <w:szCs w:val="20"/>
                <w:lang w:eastAsia="en-US"/>
              </w:rPr>
              <w:t>Autres effets</w:t>
            </w:r>
          </w:p>
        </w:tc>
      </w:tr>
      <w:tr w:rsidR="00542C30" w:rsidRPr="004E7C36" w:rsidTr="006A1CFA">
        <w:trPr>
          <w:trHeight w:val="70"/>
        </w:trPr>
        <w:tc>
          <w:tcPr>
            <w:tcW w:w="5000" w:type="pct"/>
            <w:gridSpan w:val="2"/>
            <w:shd w:val="clear" w:color="auto" w:fill="DEEAF6" w:themeFill="accent1" w:themeFillTint="33"/>
          </w:tcPr>
          <w:p w:rsidR="00542C30" w:rsidRPr="00542C30" w:rsidRDefault="00542C30" w:rsidP="00542C30">
            <w:pPr>
              <w:spacing w:after="0"/>
              <w:contextualSpacing/>
              <w:rPr>
                <w:rFonts w:eastAsiaTheme="minorHAnsi"/>
                <w:b/>
                <w:sz w:val="20"/>
                <w:szCs w:val="20"/>
                <w:lang w:eastAsia="en-US"/>
              </w:rPr>
            </w:pPr>
            <w:r>
              <w:rPr>
                <w:rFonts w:eastAsiaTheme="minorHAnsi"/>
                <w:b/>
                <w:sz w:val="20"/>
                <w:szCs w:val="20"/>
                <w:lang w:eastAsia="en-US"/>
              </w:rPr>
              <w:t>R9</w:t>
            </w:r>
            <w:r w:rsidRPr="00542C30">
              <w:rPr>
                <w:rFonts w:eastAsiaTheme="minorHAnsi"/>
                <w:b/>
                <w:sz w:val="20"/>
                <w:szCs w:val="20"/>
                <w:lang w:eastAsia="en-US"/>
              </w:rPr>
              <w:t xml:space="preserve"> : Peuples Autochtones</w:t>
            </w:r>
          </w:p>
        </w:tc>
      </w:tr>
      <w:tr w:rsidR="00FA76A9" w:rsidRPr="004E7C36" w:rsidTr="006A1CFA">
        <w:trPr>
          <w:trHeight w:val="70"/>
        </w:trPr>
        <w:tc>
          <w:tcPr>
            <w:tcW w:w="4373" w:type="pct"/>
          </w:tcPr>
          <w:p w:rsidR="00FA76A9" w:rsidRPr="00FA76A9" w:rsidRDefault="00542C30" w:rsidP="00317E5B">
            <w:pPr>
              <w:contextualSpacing/>
              <w:rPr>
                <w:rFonts w:eastAsiaTheme="minorHAnsi"/>
                <w:sz w:val="20"/>
                <w:szCs w:val="20"/>
                <w:lang w:eastAsia="en-US"/>
              </w:rPr>
            </w:pPr>
            <w:r w:rsidRPr="00542C30">
              <w:rPr>
                <w:rFonts w:eastAsiaTheme="minorHAnsi"/>
                <w:sz w:val="20"/>
                <w:szCs w:val="20"/>
                <w:lang w:eastAsia="en-US"/>
              </w:rPr>
              <w:t>ALE devant être sélectionnée par voie d’appel d’offres</w:t>
            </w:r>
          </w:p>
        </w:tc>
        <w:tc>
          <w:tcPr>
            <w:tcW w:w="627" w:type="pct"/>
          </w:tcPr>
          <w:p w:rsidR="00FA76A9" w:rsidRPr="00FA76A9" w:rsidRDefault="00337AB6" w:rsidP="00FA76A9">
            <w:pPr>
              <w:contextualSpacing/>
              <w:jc w:val="center"/>
              <w:rPr>
                <w:rFonts w:eastAsiaTheme="minorHAnsi"/>
                <w:sz w:val="20"/>
                <w:szCs w:val="20"/>
                <w:lang w:eastAsia="en-US"/>
              </w:rPr>
            </w:pPr>
            <w:r>
              <w:rPr>
                <w:rFonts w:eastAsiaTheme="minorHAnsi"/>
                <w:sz w:val="20"/>
                <w:szCs w:val="20"/>
                <w:lang w:eastAsia="en-US"/>
              </w:rPr>
              <w:t>1 169 709</w:t>
            </w:r>
          </w:p>
        </w:tc>
      </w:tr>
      <w:tr w:rsidR="00542C30" w:rsidRPr="004E7C36" w:rsidTr="006A1CFA">
        <w:trPr>
          <w:trHeight w:val="70"/>
        </w:trPr>
        <w:tc>
          <w:tcPr>
            <w:tcW w:w="4373" w:type="pct"/>
          </w:tcPr>
          <w:p w:rsidR="00542C30" w:rsidRPr="00542C30" w:rsidRDefault="00542C30" w:rsidP="00317E5B">
            <w:pPr>
              <w:contextualSpacing/>
              <w:rPr>
                <w:rFonts w:eastAsiaTheme="minorHAnsi"/>
                <w:sz w:val="20"/>
                <w:szCs w:val="20"/>
                <w:lang w:eastAsia="en-US"/>
              </w:rPr>
            </w:pPr>
            <w:r>
              <w:rPr>
                <w:rFonts w:eastAsiaTheme="minorHAnsi"/>
                <w:sz w:val="20"/>
                <w:szCs w:val="20"/>
                <w:lang w:eastAsia="en-US"/>
              </w:rPr>
              <w:t>UC-PIF</w:t>
            </w:r>
          </w:p>
        </w:tc>
        <w:tc>
          <w:tcPr>
            <w:tcW w:w="627" w:type="pct"/>
          </w:tcPr>
          <w:p w:rsidR="00542C30" w:rsidRPr="00FA76A9" w:rsidRDefault="00337AB6" w:rsidP="00FA76A9">
            <w:pPr>
              <w:contextualSpacing/>
              <w:jc w:val="center"/>
              <w:rPr>
                <w:rFonts w:eastAsiaTheme="minorHAnsi"/>
                <w:sz w:val="20"/>
                <w:szCs w:val="20"/>
                <w:lang w:eastAsia="en-US"/>
              </w:rPr>
            </w:pPr>
            <w:r>
              <w:rPr>
                <w:rFonts w:eastAsiaTheme="minorHAnsi"/>
                <w:sz w:val="20"/>
                <w:szCs w:val="20"/>
                <w:lang w:eastAsia="en-US"/>
              </w:rPr>
              <w:t>117 087</w:t>
            </w:r>
          </w:p>
        </w:tc>
      </w:tr>
      <w:tr w:rsidR="00542C30" w:rsidRPr="004E7C36" w:rsidTr="006A1CFA">
        <w:trPr>
          <w:trHeight w:val="70"/>
        </w:trPr>
        <w:tc>
          <w:tcPr>
            <w:tcW w:w="4373" w:type="pct"/>
            <w:shd w:val="clear" w:color="auto" w:fill="D9D9D9" w:themeFill="background1" w:themeFillShade="D9"/>
          </w:tcPr>
          <w:p w:rsidR="00542C30" w:rsidRPr="00542C30" w:rsidRDefault="00542C30" w:rsidP="00317E5B">
            <w:pPr>
              <w:contextualSpacing/>
              <w:rPr>
                <w:rFonts w:eastAsiaTheme="minorHAnsi"/>
                <w:sz w:val="20"/>
                <w:szCs w:val="20"/>
                <w:lang w:eastAsia="en-US"/>
              </w:rPr>
            </w:pPr>
            <w:r w:rsidRPr="00542C30">
              <w:rPr>
                <w:rFonts w:eastAsiaTheme="minorHAnsi"/>
                <w:sz w:val="20"/>
                <w:szCs w:val="20"/>
                <w:lang w:eastAsia="en-US"/>
              </w:rPr>
              <w:t>Budget prévu pour R</w:t>
            </w:r>
            <w:r>
              <w:rPr>
                <w:rFonts w:eastAsiaTheme="minorHAnsi"/>
                <w:sz w:val="20"/>
                <w:szCs w:val="20"/>
                <w:lang w:eastAsia="en-US"/>
              </w:rPr>
              <w:t>9</w:t>
            </w:r>
          </w:p>
        </w:tc>
        <w:tc>
          <w:tcPr>
            <w:tcW w:w="627" w:type="pct"/>
            <w:shd w:val="clear" w:color="auto" w:fill="D9D9D9" w:themeFill="background1" w:themeFillShade="D9"/>
          </w:tcPr>
          <w:p w:rsidR="00542C30" w:rsidRPr="00257132" w:rsidRDefault="00257132" w:rsidP="00257132">
            <w:pPr>
              <w:contextualSpacing/>
              <w:rPr>
                <w:rFonts w:eastAsiaTheme="minorHAnsi"/>
                <w:b/>
                <w:sz w:val="20"/>
                <w:szCs w:val="20"/>
                <w:lang w:eastAsia="en-US"/>
              </w:rPr>
            </w:pPr>
            <w:r w:rsidRPr="00257132">
              <w:rPr>
                <w:rFonts w:eastAsiaTheme="minorHAnsi"/>
                <w:b/>
                <w:sz w:val="20"/>
                <w:szCs w:val="20"/>
                <w:lang w:eastAsia="en-US"/>
              </w:rPr>
              <w:t>1 28</w:t>
            </w:r>
            <w:r w:rsidR="00337AB6">
              <w:rPr>
                <w:rFonts w:eastAsiaTheme="minorHAnsi"/>
                <w:b/>
                <w:sz w:val="20"/>
                <w:szCs w:val="20"/>
                <w:lang w:eastAsia="en-US"/>
              </w:rPr>
              <w:t>6 796</w:t>
            </w:r>
          </w:p>
        </w:tc>
      </w:tr>
      <w:tr w:rsidR="008F115B" w:rsidRPr="004E7C36" w:rsidTr="006A1CFA">
        <w:trPr>
          <w:trHeight w:val="76"/>
        </w:trPr>
        <w:tc>
          <w:tcPr>
            <w:tcW w:w="5000" w:type="pct"/>
            <w:gridSpan w:val="2"/>
            <w:shd w:val="clear" w:color="auto" w:fill="DEEAF6" w:themeFill="accent1" w:themeFillTint="33"/>
          </w:tcPr>
          <w:p w:rsidR="008F115B" w:rsidRPr="008F115B" w:rsidRDefault="008F115B" w:rsidP="008F115B">
            <w:pPr>
              <w:contextualSpacing/>
              <w:rPr>
                <w:rFonts w:eastAsiaTheme="minorHAnsi"/>
                <w:b/>
                <w:sz w:val="20"/>
                <w:szCs w:val="20"/>
                <w:lang w:eastAsia="en-US"/>
              </w:rPr>
            </w:pPr>
            <w:r w:rsidRPr="008F115B">
              <w:rPr>
                <w:rFonts w:eastAsiaTheme="minorHAnsi"/>
                <w:b/>
                <w:sz w:val="20"/>
                <w:szCs w:val="20"/>
                <w:lang w:eastAsia="en-US"/>
              </w:rPr>
              <w:t>R10 Soutien au développement de filières (café, cacao, hévéa, huile de palme)</w:t>
            </w:r>
          </w:p>
        </w:tc>
      </w:tr>
      <w:tr w:rsidR="00542C30" w:rsidRPr="004E7C36" w:rsidTr="006A1CFA">
        <w:trPr>
          <w:trHeight w:val="70"/>
        </w:trPr>
        <w:tc>
          <w:tcPr>
            <w:tcW w:w="4373" w:type="pct"/>
          </w:tcPr>
          <w:p w:rsidR="00542C30" w:rsidRPr="00542C30" w:rsidRDefault="008F115B" w:rsidP="00317E5B">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542C30" w:rsidRPr="00FA76A9" w:rsidRDefault="00337AB6" w:rsidP="00FA76A9">
            <w:pPr>
              <w:contextualSpacing/>
              <w:jc w:val="center"/>
              <w:rPr>
                <w:rFonts w:eastAsiaTheme="minorHAnsi"/>
                <w:sz w:val="20"/>
                <w:szCs w:val="20"/>
                <w:lang w:eastAsia="en-US"/>
              </w:rPr>
            </w:pPr>
            <w:r>
              <w:rPr>
                <w:rFonts w:eastAsiaTheme="minorHAnsi"/>
                <w:sz w:val="20"/>
                <w:szCs w:val="20"/>
                <w:lang w:eastAsia="en-US"/>
              </w:rPr>
              <w:t>749 814</w:t>
            </w:r>
          </w:p>
        </w:tc>
      </w:tr>
      <w:tr w:rsidR="00542C30" w:rsidRPr="004E7C36" w:rsidTr="006A1CFA">
        <w:trPr>
          <w:trHeight w:val="70"/>
        </w:trPr>
        <w:tc>
          <w:tcPr>
            <w:tcW w:w="4373" w:type="pct"/>
          </w:tcPr>
          <w:p w:rsidR="00542C30" w:rsidRPr="00542C30" w:rsidRDefault="008F115B" w:rsidP="00317E5B">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542C30" w:rsidRPr="00FA76A9" w:rsidRDefault="00337AB6" w:rsidP="00FA76A9">
            <w:pPr>
              <w:contextualSpacing/>
              <w:jc w:val="center"/>
              <w:rPr>
                <w:rFonts w:eastAsiaTheme="minorHAnsi"/>
                <w:sz w:val="20"/>
                <w:szCs w:val="20"/>
                <w:lang w:eastAsia="en-US"/>
              </w:rPr>
            </w:pPr>
            <w:r>
              <w:rPr>
                <w:rFonts w:eastAsiaTheme="minorHAnsi"/>
                <w:sz w:val="20"/>
                <w:szCs w:val="20"/>
                <w:lang w:eastAsia="en-US"/>
              </w:rPr>
              <w:t>75 055</w:t>
            </w:r>
          </w:p>
        </w:tc>
      </w:tr>
      <w:tr w:rsidR="00542C30" w:rsidRPr="004E7C36" w:rsidTr="006A1CFA">
        <w:trPr>
          <w:trHeight w:val="70"/>
        </w:trPr>
        <w:tc>
          <w:tcPr>
            <w:tcW w:w="4373" w:type="pct"/>
            <w:shd w:val="clear" w:color="auto" w:fill="D9D9D9" w:themeFill="background1" w:themeFillShade="D9"/>
          </w:tcPr>
          <w:p w:rsidR="00542C30" w:rsidRPr="00542C30" w:rsidRDefault="008F115B" w:rsidP="00317E5B">
            <w:pPr>
              <w:contextualSpacing/>
              <w:rPr>
                <w:rFonts w:eastAsiaTheme="minorHAnsi"/>
                <w:sz w:val="20"/>
                <w:szCs w:val="20"/>
                <w:lang w:eastAsia="en-US"/>
              </w:rPr>
            </w:pPr>
            <w:r w:rsidRPr="008F115B">
              <w:rPr>
                <w:rFonts w:eastAsiaTheme="minorHAnsi"/>
                <w:sz w:val="20"/>
                <w:szCs w:val="20"/>
                <w:lang w:eastAsia="en-US"/>
              </w:rPr>
              <w:t>Budget prévu pour R</w:t>
            </w:r>
            <w:r>
              <w:rPr>
                <w:rFonts w:eastAsiaTheme="minorHAnsi"/>
                <w:sz w:val="20"/>
                <w:szCs w:val="20"/>
                <w:lang w:eastAsia="en-US"/>
              </w:rPr>
              <w:t>10</w:t>
            </w:r>
          </w:p>
        </w:tc>
        <w:tc>
          <w:tcPr>
            <w:tcW w:w="627" w:type="pct"/>
            <w:shd w:val="clear" w:color="auto" w:fill="D9D9D9" w:themeFill="background1" w:themeFillShade="D9"/>
          </w:tcPr>
          <w:p w:rsidR="00542C30" w:rsidRPr="008F115B" w:rsidRDefault="00337AB6" w:rsidP="00FA76A9">
            <w:pPr>
              <w:contextualSpacing/>
              <w:jc w:val="center"/>
              <w:rPr>
                <w:rFonts w:eastAsiaTheme="minorHAnsi"/>
                <w:b/>
                <w:sz w:val="20"/>
                <w:szCs w:val="20"/>
                <w:lang w:eastAsia="en-US"/>
              </w:rPr>
            </w:pPr>
            <w:r>
              <w:rPr>
                <w:rFonts w:eastAsiaTheme="minorHAnsi"/>
                <w:b/>
                <w:sz w:val="20"/>
                <w:szCs w:val="20"/>
                <w:lang w:eastAsia="en-US"/>
              </w:rPr>
              <w:t>824 869</w:t>
            </w:r>
          </w:p>
        </w:tc>
      </w:tr>
      <w:tr w:rsidR="008F115B" w:rsidRPr="004E7C36" w:rsidTr="006A1CFA">
        <w:trPr>
          <w:trHeight w:val="468"/>
        </w:trPr>
        <w:tc>
          <w:tcPr>
            <w:tcW w:w="5000" w:type="pct"/>
            <w:gridSpan w:val="2"/>
            <w:shd w:val="clear" w:color="auto" w:fill="DEEAF6" w:themeFill="accent1" w:themeFillTint="33"/>
          </w:tcPr>
          <w:p w:rsidR="008F115B" w:rsidRPr="008F115B" w:rsidRDefault="008F115B" w:rsidP="008F115B">
            <w:pPr>
              <w:contextualSpacing/>
              <w:rPr>
                <w:rFonts w:eastAsiaTheme="minorHAnsi"/>
                <w:b/>
                <w:sz w:val="20"/>
                <w:szCs w:val="20"/>
                <w:lang w:eastAsia="en-US"/>
              </w:rPr>
            </w:pPr>
            <w:r w:rsidRPr="008F115B">
              <w:rPr>
                <w:rFonts w:eastAsiaTheme="minorHAnsi"/>
                <w:b/>
                <w:sz w:val="20"/>
                <w:szCs w:val="20"/>
                <w:lang w:eastAsia="en-US"/>
              </w:rPr>
              <w:t>R11 : Soutien au développement d'une pêche responsable et autres investissements pour soutenir la mise en œuvre des PDD (Création d’étangs piscicoles, etc.)</w:t>
            </w:r>
          </w:p>
        </w:tc>
      </w:tr>
      <w:tr w:rsidR="008F115B" w:rsidRPr="004E7C36" w:rsidTr="006A1CFA">
        <w:trPr>
          <w:trHeight w:val="70"/>
        </w:trPr>
        <w:tc>
          <w:tcPr>
            <w:tcW w:w="4373" w:type="pct"/>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8F115B" w:rsidRPr="00FA76A9" w:rsidRDefault="008A0862" w:rsidP="00FA76A9">
            <w:pPr>
              <w:contextualSpacing/>
              <w:jc w:val="center"/>
              <w:rPr>
                <w:rFonts w:eastAsiaTheme="minorHAnsi"/>
                <w:sz w:val="20"/>
                <w:szCs w:val="20"/>
                <w:lang w:eastAsia="en-US"/>
              </w:rPr>
            </w:pPr>
            <w:r>
              <w:rPr>
                <w:rFonts w:eastAsiaTheme="minorHAnsi"/>
                <w:sz w:val="20"/>
                <w:szCs w:val="20"/>
                <w:lang w:eastAsia="en-US"/>
              </w:rPr>
              <w:t>659 836</w:t>
            </w:r>
          </w:p>
        </w:tc>
      </w:tr>
      <w:tr w:rsidR="008F115B" w:rsidRPr="004E7C36" w:rsidTr="006A1CFA">
        <w:trPr>
          <w:trHeight w:val="70"/>
        </w:trPr>
        <w:tc>
          <w:tcPr>
            <w:tcW w:w="4373" w:type="pct"/>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8F115B" w:rsidRPr="00FA76A9" w:rsidRDefault="008A0862" w:rsidP="00FA76A9">
            <w:pPr>
              <w:contextualSpacing/>
              <w:jc w:val="center"/>
              <w:rPr>
                <w:rFonts w:eastAsiaTheme="minorHAnsi"/>
                <w:sz w:val="20"/>
                <w:szCs w:val="20"/>
                <w:lang w:eastAsia="en-US"/>
              </w:rPr>
            </w:pPr>
            <w:r>
              <w:rPr>
                <w:rFonts w:eastAsiaTheme="minorHAnsi"/>
                <w:sz w:val="20"/>
                <w:szCs w:val="20"/>
                <w:lang w:eastAsia="en-US"/>
              </w:rPr>
              <w:t>66 049</w:t>
            </w:r>
          </w:p>
        </w:tc>
      </w:tr>
      <w:tr w:rsidR="008F115B" w:rsidRPr="004E7C36" w:rsidTr="006A1CFA">
        <w:trPr>
          <w:trHeight w:val="70"/>
        </w:trPr>
        <w:tc>
          <w:tcPr>
            <w:tcW w:w="4373" w:type="pct"/>
            <w:shd w:val="clear" w:color="auto" w:fill="D9D9D9" w:themeFill="background1" w:themeFillShade="D9"/>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Budget prévu pour R1</w:t>
            </w:r>
            <w:r>
              <w:rPr>
                <w:rFonts w:eastAsiaTheme="minorHAnsi"/>
                <w:sz w:val="20"/>
                <w:szCs w:val="20"/>
                <w:lang w:eastAsia="en-US"/>
              </w:rPr>
              <w:t>1</w:t>
            </w:r>
          </w:p>
        </w:tc>
        <w:tc>
          <w:tcPr>
            <w:tcW w:w="627" w:type="pct"/>
            <w:shd w:val="clear" w:color="auto" w:fill="D9D9D9" w:themeFill="background1" w:themeFillShade="D9"/>
          </w:tcPr>
          <w:p w:rsidR="008F115B" w:rsidRPr="008F115B" w:rsidRDefault="008A0862" w:rsidP="0029790B">
            <w:pPr>
              <w:contextualSpacing/>
              <w:jc w:val="center"/>
              <w:rPr>
                <w:rFonts w:eastAsiaTheme="minorHAnsi"/>
                <w:b/>
                <w:sz w:val="20"/>
                <w:szCs w:val="20"/>
                <w:lang w:eastAsia="en-US"/>
              </w:rPr>
            </w:pPr>
            <w:r>
              <w:rPr>
                <w:rFonts w:eastAsiaTheme="minorHAnsi"/>
                <w:b/>
                <w:sz w:val="20"/>
                <w:szCs w:val="20"/>
                <w:lang w:eastAsia="en-US"/>
              </w:rPr>
              <w:t>725 885</w:t>
            </w:r>
          </w:p>
        </w:tc>
      </w:tr>
      <w:tr w:rsidR="008F115B" w:rsidRPr="004E7C36" w:rsidTr="006A1CFA">
        <w:trPr>
          <w:trHeight w:val="70"/>
        </w:trPr>
        <w:tc>
          <w:tcPr>
            <w:tcW w:w="5000" w:type="pct"/>
            <w:gridSpan w:val="2"/>
            <w:shd w:val="clear" w:color="auto" w:fill="DEEAF6" w:themeFill="accent1" w:themeFillTint="33"/>
          </w:tcPr>
          <w:p w:rsidR="008F115B" w:rsidRPr="008F115B" w:rsidRDefault="008F115B" w:rsidP="008F115B">
            <w:pPr>
              <w:contextualSpacing/>
              <w:rPr>
                <w:rFonts w:eastAsiaTheme="minorHAnsi"/>
                <w:b/>
                <w:sz w:val="20"/>
                <w:szCs w:val="20"/>
                <w:lang w:eastAsia="en-US"/>
              </w:rPr>
            </w:pPr>
            <w:r w:rsidRPr="008F115B">
              <w:rPr>
                <w:rFonts w:eastAsiaTheme="minorHAnsi"/>
                <w:b/>
                <w:sz w:val="20"/>
                <w:szCs w:val="20"/>
                <w:lang w:eastAsia="en-US"/>
              </w:rPr>
              <w:t>R12 : Investissements structurants</w:t>
            </w:r>
          </w:p>
        </w:tc>
      </w:tr>
      <w:tr w:rsidR="008F115B" w:rsidRPr="004E7C36" w:rsidTr="006A1CFA">
        <w:trPr>
          <w:trHeight w:val="70"/>
        </w:trPr>
        <w:tc>
          <w:tcPr>
            <w:tcW w:w="4373" w:type="pct"/>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8F115B" w:rsidRPr="00FA76A9" w:rsidRDefault="0029790B" w:rsidP="00FA76A9">
            <w:pPr>
              <w:contextualSpacing/>
              <w:jc w:val="center"/>
              <w:rPr>
                <w:rFonts w:eastAsiaTheme="minorHAnsi"/>
                <w:sz w:val="20"/>
                <w:szCs w:val="20"/>
                <w:lang w:eastAsia="en-US"/>
              </w:rPr>
            </w:pPr>
            <w:r>
              <w:rPr>
                <w:rFonts w:eastAsiaTheme="minorHAnsi"/>
                <w:sz w:val="20"/>
                <w:szCs w:val="20"/>
                <w:lang w:eastAsia="en-US"/>
              </w:rPr>
              <w:t>4 931 955</w:t>
            </w:r>
          </w:p>
        </w:tc>
      </w:tr>
      <w:tr w:rsidR="008F115B" w:rsidRPr="004E7C36" w:rsidTr="006A1CFA">
        <w:trPr>
          <w:trHeight w:val="70"/>
        </w:trPr>
        <w:tc>
          <w:tcPr>
            <w:tcW w:w="4373" w:type="pct"/>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8F115B" w:rsidRPr="00FA76A9" w:rsidRDefault="0029790B" w:rsidP="00FA76A9">
            <w:pPr>
              <w:contextualSpacing/>
              <w:jc w:val="center"/>
              <w:rPr>
                <w:rFonts w:eastAsiaTheme="minorHAnsi"/>
                <w:sz w:val="20"/>
                <w:szCs w:val="20"/>
                <w:lang w:eastAsia="en-US"/>
              </w:rPr>
            </w:pPr>
            <w:r>
              <w:rPr>
                <w:rFonts w:eastAsiaTheme="minorHAnsi"/>
                <w:sz w:val="20"/>
                <w:szCs w:val="20"/>
                <w:lang w:eastAsia="en-US"/>
              </w:rPr>
              <w:t>493 683</w:t>
            </w:r>
          </w:p>
        </w:tc>
      </w:tr>
      <w:tr w:rsidR="008F115B" w:rsidRPr="004E7C36" w:rsidTr="006A1CFA">
        <w:trPr>
          <w:trHeight w:val="70"/>
        </w:trPr>
        <w:tc>
          <w:tcPr>
            <w:tcW w:w="4373" w:type="pct"/>
            <w:shd w:val="clear" w:color="auto" w:fill="D9D9D9" w:themeFill="background1" w:themeFillShade="D9"/>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Budget prévu pour R1</w:t>
            </w:r>
            <w:r>
              <w:rPr>
                <w:rFonts w:eastAsiaTheme="minorHAnsi"/>
                <w:sz w:val="20"/>
                <w:szCs w:val="20"/>
                <w:lang w:eastAsia="en-US"/>
              </w:rPr>
              <w:t>2</w:t>
            </w:r>
          </w:p>
        </w:tc>
        <w:tc>
          <w:tcPr>
            <w:tcW w:w="627" w:type="pct"/>
            <w:shd w:val="clear" w:color="auto" w:fill="D9D9D9" w:themeFill="background1" w:themeFillShade="D9"/>
          </w:tcPr>
          <w:p w:rsidR="008F115B" w:rsidRPr="008F115B" w:rsidRDefault="0029790B" w:rsidP="00FA76A9">
            <w:pPr>
              <w:contextualSpacing/>
              <w:jc w:val="center"/>
              <w:rPr>
                <w:rFonts w:eastAsiaTheme="minorHAnsi"/>
                <w:b/>
                <w:sz w:val="20"/>
                <w:szCs w:val="20"/>
                <w:lang w:eastAsia="en-US"/>
              </w:rPr>
            </w:pPr>
            <w:r>
              <w:rPr>
                <w:rFonts w:eastAsiaTheme="minorHAnsi"/>
                <w:b/>
                <w:sz w:val="20"/>
                <w:szCs w:val="20"/>
                <w:lang w:eastAsia="en-US"/>
              </w:rPr>
              <w:t>5 425 638</w:t>
            </w:r>
          </w:p>
        </w:tc>
      </w:tr>
      <w:tr w:rsidR="008F115B" w:rsidRPr="004E7C36" w:rsidTr="006A1CFA">
        <w:trPr>
          <w:trHeight w:val="70"/>
        </w:trPr>
        <w:tc>
          <w:tcPr>
            <w:tcW w:w="5000" w:type="pct"/>
            <w:gridSpan w:val="2"/>
            <w:shd w:val="clear" w:color="auto" w:fill="DEEAF6" w:themeFill="accent1" w:themeFillTint="33"/>
          </w:tcPr>
          <w:p w:rsidR="008F115B" w:rsidRPr="008F115B" w:rsidRDefault="008F115B" w:rsidP="008F115B">
            <w:pPr>
              <w:contextualSpacing/>
              <w:rPr>
                <w:rFonts w:eastAsiaTheme="minorHAnsi"/>
                <w:b/>
                <w:sz w:val="20"/>
                <w:szCs w:val="20"/>
                <w:lang w:eastAsia="en-US"/>
              </w:rPr>
            </w:pPr>
            <w:r w:rsidRPr="008F115B">
              <w:rPr>
                <w:rFonts w:eastAsiaTheme="minorHAnsi"/>
                <w:b/>
                <w:sz w:val="20"/>
                <w:szCs w:val="20"/>
                <w:lang w:eastAsia="en-US"/>
              </w:rPr>
              <w:t>Total budget (hors rémunération Banque mondiale)</w:t>
            </w:r>
          </w:p>
        </w:tc>
      </w:tr>
      <w:tr w:rsidR="008F115B" w:rsidRPr="004E7C36" w:rsidTr="006A1CFA">
        <w:trPr>
          <w:trHeight w:val="70"/>
        </w:trPr>
        <w:tc>
          <w:tcPr>
            <w:tcW w:w="4373" w:type="pct"/>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8F115B" w:rsidRPr="00FA76A9" w:rsidRDefault="0029790B" w:rsidP="00FA76A9">
            <w:pPr>
              <w:contextualSpacing/>
              <w:jc w:val="center"/>
              <w:rPr>
                <w:rFonts w:eastAsiaTheme="minorHAnsi"/>
                <w:sz w:val="20"/>
                <w:szCs w:val="20"/>
                <w:lang w:eastAsia="en-US"/>
              </w:rPr>
            </w:pPr>
            <w:r>
              <w:rPr>
                <w:rFonts w:eastAsiaTheme="minorHAnsi"/>
                <w:sz w:val="20"/>
                <w:szCs w:val="20"/>
                <w:lang w:eastAsia="en-US"/>
              </w:rPr>
              <w:t>24 768 122</w:t>
            </w:r>
          </w:p>
        </w:tc>
      </w:tr>
      <w:tr w:rsidR="008F115B" w:rsidRPr="004E7C36" w:rsidTr="006A1CFA">
        <w:trPr>
          <w:trHeight w:val="70"/>
        </w:trPr>
        <w:tc>
          <w:tcPr>
            <w:tcW w:w="4373" w:type="pct"/>
          </w:tcPr>
          <w:p w:rsidR="008F115B" w:rsidRPr="00FA76A9" w:rsidRDefault="008F115B" w:rsidP="00317E5B">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8F115B" w:rsidRPr="00FA76A9" w:rsidRDefault="0029790B" w:rsidP="00FA76A9">
            <w:pPr>
              <w:contextualSpacing/>
              <w:jc w:val="center"/>
              <w:rPr>
                <w:rFonts w:eastAsiaTheme="minorHAnsi"/>
                <w:sz w:val="20"/>
                <w:szCs w:val="20"/>
                <w:lang w:eastAsia="en-US"/>
              </w:rPr>
            </w:pPr>
            <w:r>
              <w:rPr>
                <w:rFonts w:eastAsiaTheme="minorHAnsi"/>
                <w:sz w:val="20"/>
                <w:szCs w:val="20"/>
                <w:lang w:eastAsia="en-US"/>
              </w:rPr>
              <w:t>2 479 261</w:t>
            </w:r>
          </w:p>
        </w:tc>
      </w:tr>
      <w:tr w:rsidR="00554D4F" w:rsidRPr="004E7C36" w:rsidTr="006A1CFA">
        <w:trPr>
          <w:trHeight w:val="70"/>
        </w:trPr>
        <w:tc>
          <w:tcPr>
            <w:tcW w:w="4373" w:type="pct"/>
            <w:shd w:val="clear" w:color="auto" w:fill="D9D9D9" w:themeFill="background1" w:themeFillShade="D9"/>
          </w:tcPr>
          <w:p w:rsidR="00554D4F" w:rsidRPr="004E7C36" w:rsidRDefault="008F115B" w:rsidP="00317E5B">
            <w:pPr>
              <w:contextualSpacing/>
              <w:rPr>
                <w:rFonts w:eastAsiaTheme="minorHAnsi"/>
                <w:b/>
                <w:sz w:val="20"/>
                <w:szCs w:val="20"/>
                <w:lang w:eastAsia="en-US"/>
              </w:rPr>
            </w:pPr>
            <w:r>
              <w:rPr>
                <w:rFonts w:eastAsiaTheme="minorHAnsi"/>
                <w:b/>
                <w:sz w:val="20"/>
                <w:szCs w:val="20"/>
                <w:lang w:eastAsia="en-US"/>
              </w:rPr>
              <w:t>Total</w:t>
            </w:r>
          </w:p>
        </w:tc>
        <w:tc>
          <w:tcPr>
            <w:tcW w:w="627" w:type="pct"/>
            <w:shd w:val="clear" w:color="auto" w:fill="D9D9D9" w:themeFill="background1" w:themeFillShade="D9"/>
          </w:tcPr>
          <w:p w:rsidR="00554D4F" w:rsidRPr="004E7C36" w:rsidRDefault="0029790B" w:rsidP="00317E5B">
            <w:pPr>
              <w:contextualSpacing/>
              <w:rPr>
                <w:rFonts w:eastAsiaTheme="minorHAnsi"/>
                <w:b/>
                <w:sz w:val="20"/>
                <w:szCs w:val="20"/>
                <w:lang w:eastAsia="en-US"/>
              </w:rPr>
            </w:pPr>
            <w:r>
              <w:rPr>
                <w:rFonts w:eastAsiaTheme="minorHAnsi"/>
                <w:b/>
                <w:sz w:val="20"/>
                <w:szCs w:val="20"/>
                <w:lang w:eastAsia="en-US"/>
              </w:rPr>
              <w:t>27 247 383</w:t>
            </w:r>
          </w:p>
        </w:tc>
      </w:tr>
    </w:tbl>
    <w:p w:rsidR="00554D4F" w:rsidRPr="004E7C36" w:rsidRDefault="00554D4F" w:rsidP="00554D4F">
      <w:pPr>
        <w:spacing w:after="120"/>
        <w:contextualSpacing/>
        <w:jc w:val="both"/>
        <w:rPr>
          <w:rFonts w:eastAsiaTheme="minorHAnsi"/>
          <w:b/>
          <w:sz w:val="20"/>
          <w:szCs w:val="20"/>
          <w:lang w:eastAsia="en-US"/>
        </w:rPr>
      </w:pPr>
    </w:p>
    <w:p w:rsidR="00986D23" w:rsidRDefault="00986D23">
      <w:pPr>
        <w:spacing w:after="160" w:line="259" w:lineRule="auto"/>
        <w:rPr>
          <w:rFonts w:eastAsiaTheme="minorHAnsi"/>
          <w:sz w:val="20"/>
          <w:szCs w:val="20"/>
          <w:lang w:eastAsia="en-US"/>
        </w:rPr>
      </w:pPr>
      <w:r>
        <w:rPr>
          <w:rFonts w:eastAsiaTheme="minorHAnsi"/>
          <w:sz w:val="20"/>
          <w:szCs w:val="20"/>
          <w:lang w:eastAsia="en-US"/>
        </w:rPr>
        <w:br w:type="page"/>
      </w:r>
    </w:p>
    <w:p w:rsidR="00D061C6" w:rsidRDefault="00D061C6" w:rsidP="00D061C6">
      <w:pPr>
        <w:spacing w:after="120"/>
        <w:contextualSpacing/>
        <w:jc w:val="both"/>
        <w:rPr>
          <w:rFonts w:eastAsiaTheme="minorHAnsi"/>
          <w:sz w:val="20"/>
          <w:szCs w:val="20"/>
          <w:lang w:eastAsia="en-U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D061C6" w:rsidRPr="00A53E33" w:rsidTr="00ED144B">
        <w:trPr>
          <w:trHeight w:val="240"/>
          <w:jc w:val="center"/>
        </w:trPr>
        <w:tc>
          <w:tcPr>
            <w:tcW w:w="9600" w:type="dxa"/>
            <w:tcBorders>
              <w:top w:val="nil"/>
              <w:left w:val="nil"/>
              <w:bottom w:val="nil"/>
              <w:right w:val="nil"/>
            </w:tcBorders>
            <w:shd w:val="clear" w:color="auto" w:fill="D8E4BC"/>
            <w:vAlign w:val="center"/>
            <w:hideMark/>
          </w:tcPr>
          <w:p w:rsidR="00D061C6" w:rsidRPr="00A53E33" w:rsidRDefault="00D061C6" w:rsidP="00EA4BE1">
            <w:pPr>
              <w:spacing w:after="0" w:line="240" w:lineRule="auto"/>
              <w:jc w:val="center"/>
              <w:rPr>
                <w:rFonts w:ascii="Calibri" w:eastAsia="Times New Roman" w:hAnsi="Calibri" w:cs="Times New Roman"/>
                <w:b/>
                <w:bCs/>
                <w:color w:val="000000"/>
                <w:sz w:val="18"/>
                <w:szCs w:val="18"/>
                <w:lang w:eastAsia="en-US"/>
              </w:rPr>
            </w:pPr>
            <w:r w:rsidRPr="00E95215">
              <w:rPr>
                <w:rFonts w:ascii="Calibri" w:eastAsia="Times New Roman" w:hAnsi="Calibri" w:cs="Times New Roman"/>
                <w:b/>
                <w:bCs/>
                <w:color w:val="000000"/>
                <w:sz w:val="18"/>
                <w:szCs w:val="18"/>
                <w:lang w:eastAsia="en-US"/>
              </w:rPr>
              <w:t>Budget PIREDD Mai-</w:t>
            </w:r>
            <w:r>
              <w:rPr>
                <w:rFonts w:ascii="Calibri" w:eastAsia="Times New Roman" w:hAnsi="Calibri" w:cs="Times New Roman"/>
                <w:b/>
                <w:bCs/>
                <w:color w:val="000000"/>
                <w:sz w:val="18"/>
                <w:szCs w:val="18"/>
                <w:lang w:eastAsia="en-US"/>
              </w:rPr>
              <w:t>Ndombe sur 3 ans (2017 -2019</w:t>
            </w:r>
            <w:r w:rsidRPr="00A53E33">
              <w:rPr>
                <w:rFonts w:ascii="Calibri" w:eastAsia="Times New Roman" w:hAnsi="Calibri" w:cs="Times New Roman"/>
                <w:b/>
                <w:bCs/>
                <w:color w:val="000000"/>
                <w:sz w:val="18"/>
                <w:szCs w:val="18"/>
                <w:lang w:eastAsia="en-US"/>
              </w:rPr>
              <w:t>)</w:t>
            </w:r>
          </w:p>
        </w:tc>
      </w:tr>
    </w:tbl>
    <w:p w:rsidR="00D061C6" w:rsidRPr="006A1CFA" w:rsidRDefault="00D061C6" w:rsidP="00D061C6">
      <w:pPr>
        <w:spacing w:after="120"/>
        <w:contextualSpacing/>
        <w:jc w:val="both"/>
        <w:rPr>
          <w:rFonts w:eastAsiaTheme="minorHAnsi"/>
          <w:sz w:val="20"/>
          <w:szCs w:val="20"/>
          <w:lang w:eastAsia="en-US"/>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7"/>
        <w:gridCol w:w="1259"/>
      </w:tblGrid>
      <w:tr w:rsidR="00D061C6" w:rsidRPr="004E7C36" w:rsidTr="00ED144B">
        <w:trPr>
          <w:trHeight w:val="675"/>
        </w:trPr>
        <w:tc>
          <w:tcPr>
            <w:tcW w:w="4373" w:type="pct"/>
            <w:shd w:val="clear" w:color="auto" w:fill="D8E4BC"/>
          </w:tcPr>
          <w:p w:rsidR="00D061C6" w:rsidRPr="004E7C36" w:rsidRDefault="00D061C6" w:rsidP="00EA4BE1">
            <w:pPr>
              <w:contextualSpacing/>
              <w:rPr>
                <w:rFonts w:eastAsiaTheme="minorHAnsi"/>
                <w:b/>
                <w:sz w:val="20"/>
                <w:szCs w:val="20"/>
                <w:lang w:eastAsia="en-US"/>
              </w:rPr>
            </w:pPr>
            <w:r w:rsidRPr="006A1CFA">
              <w:rPr>
                <w:rFonts w:eastAsiaTheme="minorHAnsi"/>
                <w:b/>
                <w:sz w:val="20"/>
                <w:szCs w:val="20"/>
                <w:lang w:eastAsia="en-US"/>
              </w:rPr>
              <w:t>Effet</w:t>
            </w:r>
            <w:r>
              <w:rPr>
                <w:rFonts w:eastAsiaTheme="minorHAnsi"/>
                <w:b/>
                <w:sz w:val="20"/>
                <w:szCs w:val="20"/>
                <w:lang w:eastAsia="en-US"/>
              </w:rPr>
              <w:t>s</w:t>
            </w:r>
            <w:r w:rsidRPr="006A1CFA">
              <w:rPr>
                <w:rFonts w:eastAsiaTheme="minorHAnsi"/>
                <w:b/>
                <w:sz w:val="20"/>
                <w:szCs w:val="20"/>
                <w:lang w:eastAsia="en-US"/>
              </w:rPr>
              <w:t xml:space="preserve"> Attendu du Fonds auquel le programme contribue :</w:t>
            </w:r>
          </w:p>
        </w:tc>
        <w:tc>
          <w:tcPr>
            <w:tcW w:w="627" w:type="pct"/>
            <w:shd w:val="clear" w:color="auto" w:fill="D8E4BC"/>
          </w:tcPr>
          <w:p w:rsidR="00D061C6" w:rsidRPr="004E7C36" w:rsidRDefault="00D061C6" w:rsidP="00EA4BE1">
            <w:pPr>
              <w:contextualSpacing/>
              <w:jc w:val="center"/>
              <w:rPr>
                <w:rFonts w:eastAsiaTheme="minorHAnsi"/>
                <w:b/>
                <w:sz w:val="20"/>
                <w:szCs w:val="20"/>
                <w:lang w:eastAsia="en-US"/>
              </w:rPr>
            </w:pPr>
            <w:r w:rsidRPr="004E7C36">
              <w:rPr>
                <w:rFonts w:eastAsiaTheme="minorHAnsi"/>
                <w:sz w:val="20"/>
                <w:szCs w:val="20"/>
                <w:lang w:eastAsia="en-US"/>
              </w:rPr>
              <w:t xml:space="preserve">Budget prévu </w:t>
            </w:r>
          </w:p>
        </w:tc>
      </w:tr>
      <w:tr w:rsidR="00D061C6" w:rsidRPr="004E7C36" w:rsidTr="00ED144B">
        <w:trPr>
          <w:trHeight w:val="70"/>
        </w:trPr>
        <w:tc>
          <w:tcPr>
            <w:tcW w:w="5000" w:type="pct"/>
            <w:gridSpan w:val="2"/>
            <w:shd w:val="clear" w:color="auto" w:fill="D8E4BC"/>
          </w:tcPr>
          <w:p w:rsidR="00D061C6" w:rsidRDefault="00D061C6" w:rsidP="00EA4BE1">
            <w:pPr>
              <w:contextualSpacing/>
              <w:rPr>
                <w:rFonts w:eastAsiaTheme="minorHAnsi"/>
                <w:b/>
                <w:sz w:val="20"/>
                <w:szCs w:val="20"/>
                <w:lang w:eastAsia="en-US"/>
              </w:rPr>
            </w:pPr>
            <w:r w:rsidRPr="006A1CFA">
              <w:rPr>
                <w:rFonts w:eastAsiaTheme="minorHAnsi"/>
                <w:b/>
                <w:sz w:val="20"/>
                <w:szCs w:val="20"/>
                <w:lang w:eastAsia="en-US"/>
              </w:rPr>
              <w:t>Effet 1 : Investissements agricoles respectueux de la forêt et améliorant les moyens d’existence des populations rurales, y compris des personnes vulnérables et marginalisées.</w:t>
            </w:r>
          </w:p>
        </w:tc>
      </w:tr>
      <w:tr w:rsidR="00D061C6" w:rsidRPr="004E7C36" w:rsidTr="00ED144B">
        <w:trPr>
          <w:trHeight w:val="70"/>
        </w:trPr>
        <w:tc>
          <w:tcPr>
            <w:tcW w:w="5000" w:type="pct"/>
            <w:gridSpan w:val="2"/>
            <w:shd w:val="clear" w:color="auto" w:fill="D8E4BC"/>
          </w:tcPr>
          <w:p w:rsidR="00D061C6" w:rsidRPr="004E7C36" w:rsidRDefault="00D061C6" w:rsidP="00EA4BE1">
            <w:pPr>
              <w:contextualSpacing/>
              <w:rPr>
                <w:rFonts w:eastAsiaTheme="minorHAnsi"/>
                <w:b/>
                <w:sz w:val="20"/>
                <w:szCs w:val="20"/>
                <w:lang w:eastAsia="en-US"/>
              </w:rPr>
            </w:pPr>
            <w:r>
              <w:rPr>
                <w:rFonts w:eastAsiaTheme="minorHAnsi"/>
                <w:b/>
                <w:sz w:val="20"/>
                <w:szCs w:val="20"/>
                <w:lang w:eastAsia="en-US"/>
              </w:rPr>
              <w:t xml:space="preserve">R1 : </w:t>
            </w:r>
            <w:r w:rsidRPr="00541584">
              <w:rPr>
                <w:rFonts w:eastAsiaTheme="minorHAnsi"/>
                <w:b/>
                <w:sz w:val="20"/>
                <w:szCs w:val="20"/>
                <w:lang w:eastAsia="en-US"/>
              </w:rPr>
              <w:t>Investissements agricoles</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FA76A9">
              <w:rPr>
                <w:rFonts w:eastAsiaTheme="minorHAnsi"/>
                <w:sz w:val="20"/>
                <w:szCs w:val="20"/>
                <w:lang w:eastAsia="en-US"/>
              </w:rPr>
              <w:t>ALE devant être sélectionnée par voie d’appel d’offres</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6 646 463</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FA76A9">
              <w:rPr>
                <w:rFonts w:eastAsiaTheme="minorHAnsi"/>
                <w:sz w:val="20"/>
                <w:szCs w:val="20"/>
                <w:lang w:eastAsia="en-US"/>
              </w:rPr>
              <w:t>UC-PIF</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486 978</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spacing w:after="0"/>
              <w:contextualSpacing/>
              <w:rPr>
                <w:rFonts w:eastAsiaTheme="minorHAnsi"/>
                <w:sz w:val="20"/>
                <w:szCs w:val="20"/>
                <w:lang w:eastAsia="en-US"/>
              </w:rPr>
            </w:pPr>
            <w:r w:rsidRPr="00FA76A9">
              <w:rPr>
                <w:rFonts w:eastAsiaTheme="minorHAnsi"/>
                <w:sz w:val="20"/>
                <w:szCs w:val="20"/>
                <w:lang w:eastAsia="en-US"/>
              </w:rPr>
              <w:t xml:space="preserve">Budget prévu pour </w:t>
            </w:r>
            <w:r>
              <w:rPr>
                <w:rFonts w:eastAsiaTheme="minorHAnsi"/>
                <w:sz w:val="20"/>
                <w:szCs w:val="20"/>
                <w:lang w:eastAsia="en-US"/>
              </w:rPr>
              <w:t>R</w:t>
            </w:r>
            <w:r w:rsidRPr="00FA76A9">
              <w:rPr>
                <w:rFonts w:eastAsiaTheme="minorHAnsi"/>
                <w:sz w:val="20"/>
                <w:szCs w:val="20"/>
                <w:lang w:eastAsia="en-US"/>
              </w:rPr>
              <w:t>1</w:t>
            </w:r>
          </w:p>
        </w:tc>
        <w:tc>
          <w:tcPr>
            <w:tcW w:w="627" w:type="pct"/>
            <w:shd w:val="clear" w:color="auto" w:fill="D9D9D9" w:themeFill="background1" w:themeFillShade="D9"/>
          </w:tcPr>
          <w:p w:rsidR="00D061C6" w:rsidRPr="00AC1526" w:rsidRDefault="00D061C6" w:rsidP="00EA4BE1">
            <w:pPr>
              <w:spacing w:after="0"/>
              <w:contextualSpacing/>
              <w:jc w:val="center"/>
              <w:rPr>
                <w:rFonts w:eastAsiaTheme="minorHAnsi"/>
                <w:b/>
                <w:sz w:val="20"/>
                <w:szCs w:val="20"/>
                <w:lang w:eastAsia="en-US"/>
              </w:rPr>
            </w:pPr>
            <w:r>
              <w:rPr>
                <w:rFonts w:eastAsiaTheme="minorHAnsi"/>
                <w:b/>
                <w:sz w:val="20"/>
                <w:szCs w:val="20"/>
                <w:lang w:eastAsia="en-US"/>
              </w:rPr>
              <w:t>7 133 441</w:t>
            </w:r>
          </w:p>
        </w:tc>
      </w:tr>
      <w:tr w:rsidR="00D061C6" w:rsidRPr="004E7C36" w:rsidTr="00ED144B">
        <w:trPr>
          <w:trHeight w:val="70"/>
        </w:trPr>
        <w:tc>
          <w:tcPr>
            <w:tcW w:w="5000" w:type="pct"/>
            <w:gridSpan w:val="2"/>
            <w:shd w:val="clear" w:color="auto" w:fill="D8E4BC"/>
          </w:tcPr>
          <w:p w:rsidR="00D061C6" w:rsidRPr="00FA76A9" w:rsidRDefault="00D061C6" w:rsidP="00EA4BE1">
            <w:pPr>
              <w:spacing w:after="0"/>
              <w:contextualSpacing/>
              <w:rPr>
                <w:rFonts w:eastAsiaTheme="minorHAnsi"/>
                <w:b/>
                <w:sz w:val="20"/>
                <w:szCs w:val="20"/>
                <w:lang w:eastAsia="en-US"/>
              </w:rPr>
            </w:pPr>
            <w:r w:rsidRPr="006A1CFA">
              <w:rPr>
                <w:rFonts w:eastAsiaTheme="minorHAnsi"/>
                <w:b/>
                <w:sz w:val="20"/>
                <w:szCs w:val="20"/>
                <w:lang w:eastAsia="en-US"/>
              </w:rPr>
              <w:t>Effet 2 : Réduction de la part de bois énergie non-durable</w:t>
            </w:r>
          </w:p>
        </w:tc>
      </w:tr>
      <w:tr w:rsidR="00D061C6" w:rsidRPr="004E7C36" w:rsidTr="00ED144B">
        <w:trPr>
          <w:trHeight w:val="70"/>
        </w:trPr>
        <w:tc>
          <w:tcPr>
            <w:tcW w:w="5000" w:type="pct"/>
            <w:gridSpan w:val="2"/>
            <w:shd w:val="clear" w:color="auto" w:fill="D8E4BC"/>
          </w:tcPr>
          <w:p w:rsidR="00D061C6" w:rsidRPr="00FA76A9" w:rsidRDefault="00D061C6" w:rsidP="00EA4BE1">
            <w:pPr>
              <w:spacing w:after="0"/>
              <w:contextualSpacing/>
              <w:rPr>
                <w:rFonts w:eastAsiaTheme="minorHAnsi"/>
                <w:b/>
                <w:sz w:val="20"/>
                <w:szCs w:val="20"/>
                <w:lang w:eastAsia="en-US"/>
              </w:rPr>
            </w:pPr>
            <w:r w:rsidRPr="00FA76A9">
              <w:rPr>
                <w:rFonts w:eastAsiaTheme="minorHAnsi"/>
                <w:b/>
                <w:sz w:val="20"/>
                <w:szCs w:val="20"/>
                <w:lang w:eastAsia="en-US"/>
              </w:rPr>
              <w:t>R2 : Réduction de la part de bois énergie non-durable</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AC1526">
              <w:rPr>
                <w:rFonts w:eastAsiaTheme="minorHAnsi"/>
                <w:sz w:val="20"/>
                <w:szCs w:val="20"/>
                <w:lang w:eastAsia="en-US"/>
              </w:rPr>
              <w:t>ALE devant être sélectionnée par voie d’appel d’offres</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3 037 997</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AC1526">
              <w:rPr>
                <w:rFonts w:eastAsiaTheme="minorHAnsi"/>
                <w:sz w:val="20"/>
                <w:szCs w:val="20"/>
                <w:lang w:eastAsia="en-US"/>
              </w:rPr>
              <w:t>UC-PIF</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222 590</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spacing w:after="0"/>
              <w:contextualSpacing/>
              <w:rPr>
                <w:rFonts w:eastAsiaTheme="minorHAnsi"/>
                <w:sz w:val="20"/>
                <w:szCs w:val="20"/>
                <w:lang w:eastAsia="en-US"/>
              </w:rPr>
            </w:pPr>
            <w:r>
              <w:rPr>
                <w:rFonts w:eastAsiaTheme="minorHAnsi"/>
                <w:sz w:val="20"/>
                <w:szCs w:val="20"/>
                <w:lang w:eastAsia="en-US"/>
              </w:rPr>
              <w:t xml:space="preserve">Budget prévu pour </w:t>
            </w:r>
            <w:r w:rsidRPr="00AC1526">
              <w:rPr>
                <w:rFonts w:eastAsiaTheme="minorHAnsi"/>
                <w:sz w:val="20"/>
                <w:szCs w:val="20"/>
                <w:lang w:eastAsia="en-US"/>
              </w:rPr>
              <w:t>R2</w:t>
            </w:r>
          </w:p>
        </w:tc>
        <w:tc>
          <w:tcPr>
            <w:tcW w:w="627" w:type="pct"/>
            <w:shd w:val="clear" w:color="auto" w:fill="D9D9D9" w:themeFill="background1" w:themeFillShade="D9"/>
          </w:tcPr>
          <w:p w:rsidR="00D061C6" w:rsidRPr="00AC1526" w:rsidRDefault="00D061C6" w:rsidP="00EA4BE1">
            <w:pPr>
              <w:spacing w:after="0"/>
              <w:contextualSpacing/>
              <w:jc w:val="center"/>
              <w:rPr>
                <w:rFonts w:eastAsiaTheme="minorHAnsi"/>
                <w:b/>
                <w:sz w:val="20"/>
                <w:szCs w:val="20"/>
                <w:lang w:eastAsia="en-US"/>
              </w:rPr>
            </w:pPr>
            <w:r>
              <w:rPr>
                <w:rFonts w:eastAsiaTheme="minorHAnsi"/>
                <w:b/>
                <w:sz w:val="20"/>
                <w:szCs w:val="20"/>
                <w:lang w:eastAsia="en-US"/>
              </w:rPr>
              <w:t>3 260 587</w:t>
            </w:r>
          </w:p>
        </w:tc>
      </w:tr>
      <w:tr w:rsidR="00D061C6" w:rsidRPr="004E7C36" w:rsidTr="00ED144B">
        <w:trPr>
          <w:trHeight w:val="70"/>
        </w:trPr>
        <w:tc>
          <w:tcPr>
            <w:tcW w:w="5000" w:type="pct"/>
            <w:gridSpan w:val="2"/>
            <w:shd w:val="clear" w:color="auto" w:fill="D8E4BC"/>
          </w:tcPr>
          <w:p w:rsidR="00D061C6" w:rsidRPr="00AC1526" w:rsidRDefault="00D061C6" w:rsidP="00EA4BE1">
            <w:pPr>
              <w:spacing w:after="0"/>
              <w:contextualSpacing/>
              <w:rPr>
                <w:rFonts w:eastAsiaTheme="minorHAnsi"/>
                <w:b/>
                <w:sz w:val="20"/>
                <w:szCs w:val="20"/>
                <w:lang w:eastAsia="en-US"/>
              </w:rPr>
            </w:pPr>
            <w:r w:rsidRPr="006A1CFA">
              <w:rPr>
                <w:rFonts w:eastAsiaTheme="minorHAnsi"/>
                <w:b/>
                <w:sz w:val="20"/>
                <w:szCs w:val="20"/>
                <w:lang w:eastAsia="en-US"/>
              </w:rPr>
              <w:t>Effet 3 : La déforestation et la dégradation issues de l’exploitation des forêts est réduite grâce à une gestion plus durable</w:t>
            </w:r>
          </w:p>
        </w:tc>
      </w:tr>
      <w:tr w:rsidR="00D061C6" w:rsidRPr="00E77A84" w:rsidTr="00ED144B">
        <w:trPr>
          <w:trHeight w:val="70"/>
        </w:trPr>
        <w:tc>
          <w:tcPr>
            <w:tcW w:w="5000" w:type="pct"/>
            <w:gridSpan w:val="2"/>
            <w:shd w:val="clear" w:color="auto" w:fill="D8E4BC"/>
          </w:tcPr>
          <w:p w:rsidR="00D061C6" w:rsidRPr="001D2D65" w:rsidRDefault="00D061C6" w:rsidP="00EA4BE1">
            <w:pPr>
              <w:spacing w:after="0"/>
              <w:contextualSpacing/>
              <w:rPr>
                <w:rFonts w:eastAsiaTheme="minorHAnsi"/>
                <w:sz w:val="20"/>
                <w:szCs w:val="20"/>
                <w:lang w:eastAsia="en-US"/>
              </w:rPr>
            </w:pPr>
            <w:r w:rsidRPr="001D2D65">
              <w:rPr>
                <w:rFonts w:eastAsiaTheme="minorHAnsi"/>
                <w:b/>
                <w:sz w:val="20"/>
                <w:szCs w:val="20"/>
                <w:lang w:eastAsia="en-US"/>
              </w:rPr>
              <w:t>R3 : Gestion durable des forêts</w:t>
            </w:r>
          </w:p>
        </w:tc>
      </w:tr>
      <w:tr w:rsidR="00D061C6" w:rsidRPr="00E77A84" w:rsidTr="00EA4BE1">
        <w:trPr>
          <w:trHeight w:val="70"/>
        </w:trPr>
        <w:tc>
          <w:tcPr>
            <w:tcW w:w="4373" w:type="pct"/>
          </w:tcPr>
          <w:p w:rsidR="00D061C6" w:rsidRPr="001D2D65" w:rsidRDefault="00D061C6" w:rsidP="00EA4BE1">
            <w:pPr>
              <w:spacing w:after="0"/>
              <w:contextualSpacing/>
              <w:rPr>
                <w:rFonts w:eastAsiaTheme="minorHAnsi"/>
                <w:sz w:val="20"/>
                <w:szCs w:val="20"/>
                <w:lang w:eastAsia="en-US"/>
              </w:rPr>
            </w:pPr>
            <w:r w:rsidRPr="001D2D65">
              <w:rPr>
                <w:rFonts w:eastAsiaTheme="minorHAnsi"/>
                <w:sz w:val="20"/>
                <w:szCs w:val="20"/>
                <w:lang w:eastAsia="en-US"/>
              </w:rPr>
              <w:t>ALE devant être sélectionnée par voie d’appel d’offres</w:t>
            </w:r>
          </w:p>
        </w:tc>
        <w:tc>
          <w:tcPr>
            <w:tcW w:w="627" w:type="pct"/>
          </w:tcPr>
          <w:p w:rsidR="00D061C6" w:rsidRPr="001D2D65" w:rsidRDefault="00D061C6" w:rsidP="00EA4BE1">
            <w:pPr>
              <w:spacing w:after="0"/>
              <w:contextualSpacing/>
              <w:jc w:val="center"/>
              <w:rPr>
                <w:rFonts w:eastAsiaTheme="minorHAnsi"/>
                <w:sz w:val="20"/>
                <w:szCs w:val="20"/>
                <w:lang w:eastAsia="en-US"/>
              </w:rPr>
            </w:pPr>
            <w:r w:rsidRPr="001D2D65">
              <w:rPr>
                <w:rFonts w:eastAsiaTheme="minorHAnsi"/>
                <w:sz w:val="20"/>
                <w:szCs w:val="20"/>
                <w:lang w:eastAsia="en-US"/>
              </w:rPr>
              <w:t>337 555</w:t>
            </w:r>
          </w:p>
        </w:tc>
      </w:tr>
      <w:tr w:rsidR="00D061C6" w:rsidRPr="004E7C36" w:rsidTr="00EA4BE1">
        <w:trPr>
          <w:trHeight w:val="70"/>
        </w:trPr>
        <w:tc>
          <w:tcPr>
            <w:tcW w:w="4373" w:type="pct"/>
          </w:tcPr>
          <w:p w:rsidR="00D061C6" w:rsidRPr="001D2D65" w:rsidRDefault="00D061C6" w:rsidP="00EA4BE1">
            <w:pPr>
              <w:spacing w:after="0"/>
              <w:contextualSpacing/>
              <w:rPr>
                <w:rFonts w:eastAsiaTheme="minorHAnsi"/>
                <w:sz w:val="20"/>
                <w:szCs w:val="20"/>
                <w:lang w:eastAsia="en-US"/>
              </w:rPr>
            </w:pPr>
            <w:r w:rsidRPr="001D2D65">
              <w:rPr>
                <w:rFonts w:eastAsiaTheme="minorHAnsi"/>
                <w:sz w:val="20"/>
                <w:szCs w:val="20"/>
                <w:lang w:eastAsia="en-US"/>
              </w:rPr>
              <w:t>UC-PIF</w:t>
            </w:r>
          </w:p>
        </w:tc>
        <w:tc>
          <w:tcPr>
            <w:tcW w:w="627" w:type="pct"/>
          </w:tcPr>
          <w:p w:rsidR="00D061C6" w:rsidRPr="001D2D65" w:rsidRDefault="00D061C6" w:rsidP="00EA4BE1">
            <w:pPr>
              <w:spacing w:after="0"/>
              <w:contextualSpacing/>
              <w:jc w:val="center"/>
              <w:rPr>
                <w:rFonts w:eastAsiaTheme="minorHAnsi"/>
                <w:sz w:val="20"/>
                <w:szCs w:val="20"/>
                <w:lang w:eastAsia="en-US"/>
              </w:rPr>
            </w:pPr>
            <w:r w:rsidRPr="001D2D65">
              <w:rPr>
                <w:rFonts w:eastAsiaTheme="minorHAnsi"/>
                <w:sz w:val="20"/>
                <w:szCs w:val="20"/>
                <w:lang w:eastAsia="en-US"/>
              </w:rPr>
              <w:t>24 732</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spacing w:after="0"/>
              <w:contextualSpacing/>
              <w:rPr>
                <w:rFonts w:eastAsiaTheme="minorHAnsi"/>
                <w:sz w:val="20"/>
                <w:szCs w:val="20"/>
                <w:lang w:eastAsia="en-US"/>
              </w:rPr>
            </w:pPr>
            <w:r w:rsidRPr="00AC1526">
              <w:rPr>
                <w:rFonts w:eastAsiaTheme="minorHAnsi"/>
                <w:sz w:val="20"/>
                <w:szCs w:val="20"/>
                <w:lang w:eastAsia="en-US"/>
              </w:rPr>
              <w:t>Budget prévu pour R</w:t>
            </w:r>
            <w:r>
              <w:rPr>
                <w:rFonts w:eastAsiaTheme="minorHAnsi"/>
                <w:sz w:val="20"/>
                <w:szCs w:val="20"/>
                <w:lang w:eastAsia="en-US"/>
              </w:rPr>
              <w:t>3</w:t>
            </w:r>
          </w:p>
        </w:tc>
        <w:tc>
          <w:tcPr>
            <w:tcW w:w="627" w:type="pct"/>
            <w:shd w:val="clear" w:color="auto" w:fill="D9D9D9" w:themeFill="background1" w:themeFillShade="D9"/>
          </w:tcPr>
          <w:p w:rsidR="00D061C6" w:rsidRPr="00AC1526" w:rsidRDefault="00D061C6" w:rsidP="00EA4BE1">
            <w:pPr>
              <w:spacing w:after="0"/>
              <w:contextualSpacing/>
              <w:jc w:val="center"/>
              <w:rPr>
                <w:rFonts w:eastAsiaTheme="minorHAnsi"/>
                <w:b/>
                <w:sz w:val="20"/>
                <w:szCs w:val="20"/>
                <w:lang w:eastAsia="en-US"/>
              </w:rPr>
            </w:pPr>
            <w:r>
              <w:rPr>
                <w:rFonts w:eastAsiaTheme="minorHAnsi"/>
                <w:b/>
                <w:sz w:val="20"/>
                <w:szCs w:val="20"/>
                <w:lang w:eastAsia="en-US"/>
              </w:rPr>
              <w:t>362 287</w:t>
            </w:r>
          </w:p>
        </w:tc>
      </w:tr>
      <w:tr w:rsidR="00D061C6" w:rsidRPr="004E7C36" w:rsidTr="00ED144B">
        <w:trPr>
          <w:trHeight w:val="70"/>
        </w:trPr>
        <w:tc>
          <w:tcPr>
            <w:tcW w:w="5000" w:type="pct"/>
            <w:gridSpan w:val="2"/>
            <w:shd w:val="clear" w:color="auto" w:fill="D8E4BC"/>
          </w:tcPr>
          <w:p w:rsidR="00D061C6" w:rsidRDefault="00D061C6" w:rsidP="00EA4BE1">
            <w:pPr>
              <w:spacing w:after="0"/>
              <w:contextualSpacing/>
              <w:rPr>
                <w:rFonts w:eastAsiaTheme="minorHAnsi"/>
                <w:b/>
                <w:sz w:val="20"/>
                <w:szCs w:val="20"/>
                <w:lang w:eastAsia="en-US"/>
              </w:rPr>
            </w:pPr>
            <w:r w:rsidRPr="006A1CFA">
              <w:rPr>
                <w:rFonts w:eastAsiaTheme="minorHAnsi"/>
                <w:b/>
                <w:sz w:val="20"/>
                <w:szCs w:val="20"/>
                <w:lang w:eastAsia="en-US"/>
              </w:rPr>
              <w:t>Effet 5 : Les activités humaines sont mieux planifiées permettant une optimisation de l’utilisation de l’espace et une diminution de leur impact sur les forêts</w:t>
            </w:r>
          </w:p>
        </w:tc>
      </w:tr>
      <w:tr w:rsidR="00D061C6" w:rsidRPr="004E7C36" w:rsidTr="00ED144B">
        <w:trPr>
          <w:trHeight w:val="70"/>
        </w:trPr>
        <w:tc>
          <w:tcPr>
            <w:tcW w:w="5000" w:type="pct"/>
            <w:gridSpan w:val="2"/>
            <w:shd w:val="clear" w:color="auto" w:fill="D8E4BC"/>
          </w:tcPr>
          <w:p w:rsidR="00D061C6" w:rsidRPr="00C1687E" w:rsidRDefault="00D061C6" w:rsidP="00EA4BE1">
            <w:pPr>
              <w:spacing w:after="0"/>
              <w:contextualSpacing/>
              <w:rPr>
                <w:rFonts w:eastAsiaTheme="minorHAnsi"/>
                <w:b/>
                <w:sz w:val="20"/>
                <w:szCs w:val="20"/>
                <w:lang w:eastAsia="en-US"/>
              </w:rPr>
            </w:pPr>
            <w:r>
              <w:rPr>
                <w:rFonts w:eastAsiaTheme="minorHAnsi"/>
                <w:b/>
                <w:sz w:val="20"/>
                <w:szCs w:val="20"/>
                <w:lang w:eastAsia="en-US"/>
              </w:rPr>
              <w:t>R5</w:t>
            </w:r>
            <w:r w:rsidRPr="00C1687E">
              <w:rPr>
                <w:rFonts w:eastAsiaTheme="minorHAnsi"/>
                <w:b/>
                <w:sz w:val="20"/>
                <w:szCs w:val="20"/>
                <w:lang w:eastAsia="en-US"/>
              </w:rPr>
              <w:t xml:space="preserve"> : Aménagement du Territoire  </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168 098</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12 316</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5</w:t>
            </w:r>
          </w:p>
        </w:tc>
        <w:tc>
          <w:tcPr>
            <w:tcW w:w="627" w:type="pct"/>
            <w:shd w:val="clear" w:color="auto" w:fill="D9D9D9" w:themeFill="background1" w:themeFillShade="D9"/>
          </w:tcPr>
          <w:p w:rsidR="00D061C6" w:rsidRPr="00C1687E" w:rsidRDefault="00D061C6" w:rsidP="00EA4BE1">
            <w:pPr>
              <w:spacing w:after="0"/>
              <w:contextualSpacing/>
              <w:jc w:val="center"/>
              <w:rPr>
                <w:rFonts w:eastAsiaTheme="minorHAnsi"/>
                <w:b/>
                <w:sz w:val="20"/>
                <w:szCs w:val="20"/>
                <w:lang w:eastAsia="en-US"/>
              </w:rPr>
            </w:pPr>
            <w:r>
              <w:rPr>
                <w:rFonts w:eastAsiaTheme="minorHAnsi"/>
                <w:b/>
                <w:sz w:val="20"/>
                <w:szCs w:val="20"/>
                <w:lang w:eastAsia="en-US"/>
              </w:rPr>
              <w:t>180 414</w:t>
            </w:r>
          </w:p>
        </w:tc>
      </w:tr>
      <w:tr w:rsidR="00D061C6" w:rsidRPr="004E7C36" w:rsidTr="00ED144B">
        <w:trPr>
          <w:trHeight w:val="70"/>
        </w:trPr>
        <w:tc>
          <w:tcPr>
            <w:tcW w:w="5000" w:type="pct"/>
            <w:gridSpan w:val="2"/>
            <w:shd w:val="clear" w:color="auto" w:fill="D8E4BC"/>
          </w:tcPr>
          <w:p w:rsidR="00D061C6" w:rsidRPr="00C1687E" w:rsidRDefault="00D061C6" w:rsidP="00EA4BE1">
            <w:pPr>
              <w:spacing w:after="0"/>
              <w:contextualSpacing/>
              <w:rPr>
                <w:rFonts w:eastAsiaTheme="minorHAnsi"/>
                <w:b/>
                <w:sz w:val="20"/>
                <w:szCs w:val="20"/>
                <w:lang w:eastAsia="en-US"/>
              </w:rPr>
            </w:pPr>
            <w:r w:rsidRPr="006A1CFA">
              <w:rPr>
                <w:rFonts w:eastAsiaTheme="minorHAnsi"/>
                <w:b/>
                <w:sz w:val="20"/>
                <w:szCs w:val="20"/>
                <w:lang w:eastAsia="en-US"/>
              </w:rPr>
              <w:t>Effet 6 : Les droits fonciers permettent l’évolution durable de l’exploitation forestière et agricole</w:t>
            </w:r>
          </w:p>
        </w:tc>
      </w:tr>
      <w:tr w:rsidR="00D061C6" w:rsidRPr="004E7C36" w:rsidTr="00ED144B">
        <w:trPr>
          <w:trHeight w:val="70"/>
        </w:trPr>
        <w:tc>
          <w:tcPr>
            <w:tcW w:w="5000" w:type="pct"/>
            <w:gridSpan w:val="2"/>
            <w:shd w:val="clear" w:color="auto" w:fill="D8E4BC"/>
          </w:tcPr>
          <w:p w:rsidR="00D061C6" w:rsidRPr="00FA76A9" w:rsidRDefault="00D061C6" w:rsidP="00EA4BE1">
            <w:pPr>
              <w:spacing w:after="0"/>
              <w:contextualSpacing/>
              <w:rPr>
                <w:rFonts w:eastAsiaTheme="minorHAnsi"/>
                <w:sz w:val="20"/>
                <w:szCs w:val="20"/>
                <w:lang w:eastAsia="en-US"/>
              </w:rPr>
            </w:pPr>
            <w:r w:rsidRPr="00C1687E">
              <w:rPr>
                <w:rFonts w:eastAsiaTheme="minorHAnsi"/>
                <w:b/>
                <w:sz w:val="20"/>
                <w:szCs w:val="20"/>
                <w:lang w:eastAsia="en-US"/>
              </w:rPr>
              <w:t>R6 : Foncier</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D061C6" w:rsidRPr="00FA76A9" w:rsidRDefault="00D061C6" w:rsidP="00EA4BE1">
            <w:pPr>
              <w:spacing w:after="0"/>
              <w:contextualSpacing/>
              <w:jc w:val="center"/>
              <w:rPr>
                <w:rFonts w:eastAsiaTheme="minorHAnsi"/>
                <w:sz w:val="20"/>
                <w:szCs w:val="20"/>
                <w:lang w:eastAsia="en-US"/>
              </w:rPr>
            </w:pPr>
            <w:r w:rsidRPr="00D061C6">
              <w:rPr>
                <w:rFonts w:eastAsiaTheme="minorHAnsi"/>
                <w:sz w:val="20"/>
                <w:szCs w:val="20"/>
                <w:lang w:eastAsia="en-US"/>
              </w:rPr>
              <w:t>168 098</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D061C6" w:rsidRPr="00FA76A9" w:rsidRDefault="00D061C6" w:rsidP="00EA4BE1">
            <w:pPr>
              <w:spacing w:after="0"/>
              <w:contextualSpacing/>
              <w:jc w:val="center"/>
              <w:rPr>
                <w:rFonts w:eastAsiaTheme="minorHAnsi"/>
                <w:sz w:val="20"/>
                <w:szCs w:val="20"/>
                <w:lang w:eastAsia="en-US"/>
              </w:rPr>
            </w:pPr>
            <w:r w:rsidRPr="00D061C6">
              <w:rPr>
                <w:rFonts w:eastAsiaTheme="minorHAnsi"/>
                <w:sz w:val="20"/>
                <w:szCs w:val="20"/>
                <w:lang w:eastAsia="en-US"/>
              </w:rPr>
              <w:t>12 316</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6</w:t>
            </w:r>
          </w:p>
        </w:tc>
        <w:tc>
          <w:tcPr>
            <w:tcW w:w="627" w:type="pct"/>
            <w:shd w:val="clear" w:color="auto" w:fill="D9D9D9" w:themeFill="background1" w:themeFillShade="D9"/>
          </w:tcPr>
          <w:p w:rsidR="00D061C6" w:rsidRPr="00C1687E" w:rsidRDefault="00D061C6" w:rsidP="00EA4BE1">
            <w:pPr>
              <w:spacing w:after="0"/>
              <w:contextualSpacing/>
              <w:jc w:val="center"/>
              <w:rPr>
                <w:rFonts w:eastAsiaTheme="minorHAnsi"/>
                <w:b/>
                <w:sz w:val="20"/>
                <w:szCs w:val="20"/>
                <w:lang w:eastAsia="en-US"/>
              </w:rPr>
            </w:pPr>
            <w:r w:rsidRPr="00D061C6">
              <w:rPr>
                <w:rFonts w:eastAsiaTheme="minorHAnsi"/>
                <w:b/>
                <w:sz w:val="20"/>
                <w:szCs w:val="20"/>
                <w:lang w:eastAsia="en-US"/>
              </w:rPr>
              <w:t>180 414</w:t>
            </w:r>
          </w:p>
        </w:tc>
      </w:tr>
      <w:tr w:rsidR="00D061C6" w:rsidRPr="004E7C36" w:rsidTr="00ED144B">
        <w:trPr>
          <w:trHeight w:val="70"/>
        </w:trPr>
        <w:tc>
          <w:tcPr>
            <w:tcW w:w="5000" w:type="pct"/>
            <w:gridSpan w:val="2"/>
            <w:shd w:val="clear" w:color="auto" w:fill="D8E4BC"/>
          </w:tcPr>
          <w:p w:rsidR="00D061C6" w:rsidRPr="00C1687E" w:rsidRDefault="00D061C6" w:rsidP="00EA4BE1">
            <w:pPr>
              <w:spacing w:after="0"/>
              <w:contextualSpacing/>
              <w:rPr>
                <w:rFonts w:eastAsiaTheme="minorHAnsi"/>
                <w:b/>
                <w:sz w:val="20"/>
                <w:szCs w:val="20"/>
                <w:lang w:eastAsia="en-US"/>
              </w:rPr>
            </w:pPr>
            <w:r w:rsidRPr="006A1CFA">
              <w:rPr>
                <w:rFonts w:eastAsiaTheme="minorHAnsi"/>
                <w:b/>
                <w:sz w:val="20"/>
                <w:szCs w:val="20"/>
                <w:lang w:eastAsia="en-US"/>
              </w:rPr>
              <w:t>Effet 7 : La pression humaine sur les forêts, liée aux phénomènes migratoires et à la dynamique démographique, est réduite</w:t>
            </w:r>
          </w:p>
        </w:tc>
      </w:tr>
      <w:tr w:rsidR="00D061C6" w:rsidRPr="004E7C36" w:rsidTr="00ED144B">
        <w:trPr>
          <w:trHeight w:val="70"/>
        </w:trPr>
        <w:tc>
          <w:tcPr>
            <w:tcW w:w="5000" w:type="pct"/>
            <w:gridSpan w:val="2"/>
            <w:shd w:val="clear" w:color="auto" w:fill="D8E4BC"/>
          </w:tcPr>
          <w:p w:rsidR="00D061C6" w:rsidRPr="00FA76A9" w:rsidRDefault="00D061C6" w:rsidP="00EA4BE1">
            <w:pPr>
              <w:spacing w:after="0"/>
              <w:contextualSpacing/>
              <w:rPr>
                <w:rFonts w:eastAsiaTheme="minorHAnsi"/>
                <w:sz w:val="20"/>
                <w:szCs w:val="20"/>
                <w:lang w:eastAsia="en-US"/>
              </w:rPr>
            </w:pPr>
            <w:r w:rsidRPr="00C1687E">
              <w:rPr>
                <w:rFonts w:eastAsiaTheme="minorHAnsi"/>
                <w:b/>
                <w:sz w:val="20"/>
                <w:szCs w:val="20"/>
                <w:lang w:eastAsia="en-US"/>
              </w:rPr>
              <w:t>R7 : Démographie</w:t>
            </w:r>
          </w:p>
        </w:tc>
      </w:tr>
      <w:tr w:rsidR="00D061C6" w:rsidRPr="004E7C36" w:rsidTr="00EA4BE1">
        <w:trPr>
          <w:trHeight w:val="130"/>
        </w:trPr>
        <w:tc>
          <w:tcPr>
            <w:tcW w:w="4373" w:type="pct"/>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437 375</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32 046</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7</w:t>
            </w:r>
          </w:p>
        </w:tc>
        <w:tc>
          <w:tcPr>
            <w:tcW w:w="627" w:type="pct"/>
            <w:shd w:val="clear" w:color="auto" w:fill="D9D9D9" w:themeFill="background1" w:themeFillShade="D9"/>
          </w:tcPr>
          <w:p w:rsidR="00D061C6" w:rsidRPr="00C1687E" w:rsidRDefault="00D061C6" w:rsidP="00EA4BE1">
            <w:pPr>
              <w:spacing w:after="0"/>
              <w:contextualSpacing/>
              <w:jc w:val="center"/>
              <w:rPr>
                <w:rFonts w:eastAsiaTheme="minorHAnsi"/>
                <w:b/>
                <w:sz w:val="20"/>
                <w:szCs w:val="20"/>
                <w:lang w:eastAsia="en-US"/>
              </w:rPr>
            </w:pPr>
            <w:r>
              <w:rPr>
                <w:rFonts w:eastAsiaTheme="minorHAnsi"/>
                <w:b/>
                <w:sz w:val="20"/>
                <w:szCs w:val="20"/>
                <w:lang w:eastAsia="en-US"/>
              </w:rPr>
              <w:t>469 421</w:t>
            </w:r>
          </w:p>
        </w:tc>
      </w:tr>
      <w:tr w:rsidR="00D061C6" w:rsidRPr="004E7C36" w:rsidTr="00ED144B">
        <w:trPr>
          <w:trHeight w:val="70"/>
        </w:trPr>
        <w:tc>
          <w:tcPr>
            <w:tcW w:w="5000" w:type="pct"/>
            <w:gridSpan w:val="2"/>
            <w:shd w:val="clear" w:color="auto" w:fill="D8E4BC"/>
          </w:tcPr>
          <w:p w:rsidR="00D061C6" w:rsidRPr="00C1687E" w:rsidRDefault="00D061C6" w:rsidP="00EA4BE1">
            <w:pPr>
              <w:spacing w:after="0"/>
              <w:contextualSpacing/>
              <w:rPr>
                <w:rFonts w:eastAsiaTheme="minorHAnsi"/>
                <w:b/>
                <w:sz w:val="20"/>
                <w:szCs w:val="20"/>
                <w:lang w:eastAsia="en-US"/>
              </w:rPr>
            </w:pPr>
            <w:r w:rsidRPr="006A1CFA">
              <w:rPr>
                <w:rFonts w:eastAsiaTheme="minorHAnsi"/>
                <w:b/>
                <w:sz w:val="20"/>
                <w:szCs w:val="20"/>
                <w:lang w:eastAsia="en-US"/>
              </w:rPr>
              <w:t>Effet 8 : La bonne gouvernance est assurée permettant une mise en œuvre effective, transversale et intégrée, transparente, équitable et durable de REDD+, basée sur les résultats, et intégrant l’information, la consultation, la participation et l’appropriation de toutes les parties prenantes, y compris équitablement entre les femmes et les hommes</w:t>
            </w:r>
          </w:p>
        </w:tc>
      </w:tr>
      <w:tr w:rsidR="00D061C6" w:rsidRPr="004E7C36" w:rsidTr="00ED144B">
        <w:trPr>
          <w:trHeight w:val="70"/>
        </w:trPr>
        <w:tc>
          <w:tcPr>
            <w:tcW w:w="5000" w:type="pct"/>
            <w:gridSpan w:val="2"/>
            <w:shd w:val="clear" w:color="auto" w:fill="D8E4BC"/>
          </w:tcPr>
          <w:p w:rsidR="00D061C6" w:rsidRPr="00FA76A9" w:rsidRDefault="00D061C6" w:rsidP="00EA4BE1">
            <w:pPr>
              <w:spacing w:after="0"/>
              <w:contextualSpacing/>
              <w:rPr>
                <w:rFonts w:eastAsiaTheme="minorHAnsi"/>
                <w:sz w:val="20"/>
                <w:szCs w:val="20"/>
                <w:lang w:eastAsia="en-US"/>
              </w:rPr>
            </w:pPr>
            <w:r w:rsidRPr="00C1687E">
              <w:rPr>
                <w:rFonts w:eastAsiaTheme="minorHAnsi"/>
                <w:b/>
                <w:sz w:val="20"/>
                <w:szCs w:val="20"/>
                <w:lang w:eastAsia="en-US"/>
              </w:rPr>
              <w:t>R8 : Gouvernance</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542C30">
              <w:rPr>
                <w:rFonts w:eastAsiaTheme="minorHAnsi"/>
                <w:sz w:val="20"/>
                <w:szCs w:val="20"/>
                <w:lang w:eastAsia="en-US"/>
              </w:rPr>
              <w:t>ALE devant être sélectionnée par voie d’appel d’offres</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304 705</w:t>
            </w:r>
          </w:p>
        </w:tc>
      </w:tr>
      <w:tr w:rsidR="00D061C6" w:rsidRPr="004E7C36" w:rsidTr="00EA4BE1">
        <w:trPr>
          <w:trHeight w:val="70"/>
        </w:trPr>
        <w:tc>
          <w:tcPr>
            <w:tcW w:w="4373" w:type="pct"/>
          </w:tcPr>
          <w:p w:rsidR="00D061C6" w:rsidRPr="00FA76A9" w:rsidRDefault="00D061C6" w:rsidP="00EA4BE1">
            <w:pPr>
              <w:spacing w:after="0"/>
              <w:contextualSpacing/>
              <w:rPr>
                <w:rFonts w:eastAsiaTheme="minorHAnsi"/>
                <w:sz w:val="20"/>
                <w:szCs w:val="20"/>
                <w:lang w:eastAsia="en-US"/>
              </w:rPr>
            </w:pPr>
            <w:r w:rsidRPr="00542C30">
              <w:rPr>
                <w:rFonts w:eastAsiaTheme="minorHAnsi"/>
                <w:sz w:val="20"/>
                <w:szCs w:val="20"/>
                <w:lang w:eastAsia="en-US"/>
              </w:rPr>
              <w:t>UC-PIF</w:t>
            </w:r>
          </w:p>
        </w:tc>
        <w:tc>
          <w:tcPr>
            <w:tcW w:w="627" w:type="pct"/>
          </w:tcPr>
          <w:p w:rsidR="00D061C6" w:rsidRPr="00FA76A9" w:rsidRDefault="00D061C6" w:rsidP="00EA4BE1">
            <w:pPr>
              <w:spacing w:after="0"/>
              <w:contextualSpacing/>
              <w:jc w:val="center"/>
              <w:rPr>
                <w:rFonts w:eastAsiaTheme="minorHAnsi"/>
                <w:sz w:val="20"/>
                <w:szCs w:val="20"/>
                <w:lang w:eastAsia="en-US"/>
              </w:rPr>
            </w:pPr>
            <w:r>
              <w:rPr>
                <w:rFonts w:eastAsiaTheme="minorHAnsi"/>
                <w:sz w:val="20"/>
                <w:szCs w:val="20"/>
                <w:lang w:eastAsia="en-US"/>
              </w:rPr>
              <w:t>22 325</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spacing w:after="0"/>
              <w:contextualSpacing/>
              <w:rPr>
                <w:rFonts w:eastAsiaTheme="minorHAnsi"/>
                <w:sz w:val="20"/>
                <w:szCs w:val="20"/>
                <w:lang w:eastAsia="en-US"/>
              </w:rPr>
            </w:pPr>
            <w:r w:rsidRPr="00542C30">
              <w:rPr>
                <w:rFonts w:eastAsiaTheme="minorHAnsi"/>
                <w:sz w:val="20"/>
                <w:szCs w:val="20"/>
                <w:lang w:eastAsia="en-US"/>
              </w:rPr>
              <w:t>Budget prévu pour R</w:t>
            </w:r>
            <w:r>
              <w:rPr>
                <w:rFonts w:eastAsiaTheme="minorHAnsi"/>
                <w:sz w:val="20"/>
                <w:szCs w:val="20"/>
                <w:lang w:eastAsia="en-US"/>
              </w:rPr>
              <w:t>8</w:t>
            </w:r>
          </w:p>
        </w:tc>
        <w:tc>
          <w:tcPr>
            <w:tcW w:w="627" w:type="pct"/>
            <w:shd w:val="clear" w:color="auto" w:fill="D9D9D9" w:themeFill="background1" w:themeFillShade="D9"/>
          </w:tcPr>
          <w:p w:rsidR="00D061C6" w:rsidRPr="00542C30" w:rsidRDefault="00D061C6" w:rsidP="00EA4BE1">
            <w:pPr>
              <w:spacing w:after="0"/>
              <w:contextualSpacing/>
              <w:jc w:val="center"/>
              <w:rPr>
                <w:rFonts w:eastAsiaTheme="minorHAnsi"/>
                <w:b/>
                <w:sz w:val="20"/>
                <w:szCs w:val="20"/>
                <w:lang w:eastAsia="en-US"/>
              </w:rPr>
            </w:pPr>
            <w:r>
              <w:rPr>
                <w:rFonts w:eastAsiaTheme="minorHAnsi"/>
                <w:b/>
                <w:sz w:val="20"/>
                <w:szCs w:val="20"/>
                <w:lang w:eastAsia="en-US"/>
              </w:rPr>
              <w:t>327 030</w:t>
            </w:r>
          </w:p>
        </w:tc>
      </w:tr>
      <w:tr w:rsidR="00D061C6" w:rsidRPr="004E7C36" w:rsidTr="00ED144B">
        <w:trPr>
          <w:trHeight w:val="70"/>
        </w:trPr>
        <w:tc>
          <w:tcPr>
            <w:tcW w:w="5000" w:type="pct"/>
            <w:gridSpan w:val="2"/>
            <w:shd w:val="clear" w:color="auto" w:fill="D8E4BC"/>
          </w:tcPr>
          <w:p w:rsidR="00D061C6" w:rsidRDefault="00D061C6" w:rsidP="00EA4BE1">
            <w:pPr>
              <w:spacing w:after="0"/>
              <w:contextualSpacing/>
              <w:rPr>
                <w:rFonts w:eastAsiaTheme="minorHAnsi"/>
                <w:b/>
                <w:sz w:val="20"/>
                <w:szCs w:val="20"/>
                <w:lang w:eastAsia="en-US"/>
              </w:rPr>
            </w:pPr>
            <w:r>
              <w:rPr>
                <w:rFonts w:eastAsiaTheme="minorHAnsi"/>
                <w:b/>
                <w:sz w:val="20"/>
                <w:szCs w:val="20"/>
                <w:lang w:eastAsia="en-US"/>
              </w:rPr>
              <w:t>Autres effets</w:t>
            </w:r>
          </w:p>
        </w:tc>
      </w:tr>
      <w:tr w:rsidR="00D061C6" w:rsidRPr="004E7C36" w:rsidTr="00ED144B">
        <w:trPr>
          <w:trHeight w:val="70"/>
        </w:trPr>
        <w:tc>
          <w:tcPr>
            <w:tcW w:w="5000" w:type="pct"/>
            <w:gridSpan w:val="2"/>
            <w:shd w:val="clear" w:color="auto" w:fill="D8E4BC"/>
          </w:tcPr>
          <w:p w:rsidR="00D061C6" w:rsidRPr="00542C30" w:rsidRDefault="00D061C6" w:rsidP="00EA4BE1">
            <w:pPr>
              <w:spacing w:after="0"/>
              <w:contextualSpacing/>
              <w:rPr>
                <w:rFonts w:eastAsiaTheme="minorHAnsi"/>
                <w:b/>
                <w:sz w:val="20"/>
                <w:szCs w:val="20"/>
                <w:lang w:eastAsia="en-US"/>
              </w:rPr>
            </w:pPr>
            <w:r>
              <w:rPr>
                <w:rFonts w:eastAsiaTheme="minorHAnsi"/>
                <w:b/>
                <w:sz w:val="20"/>
                <w:szCs w:val="20"/>
                <w:lang w:eastAsia="en-US"/>
              </w:rPr>
              <w:t>R9</w:t>
            </w:r>
            <w:r w:rsidRPr="00542C30">
              <w:rPr>
                <w:rFonts w:eastAsiaTheme="minorHAnsi"/>
                <w:b/>
                <w:sz w:val="20"/>
                <w:szCs w:val="20"/>
                <w:lang w:eastAsia="en-US"/>
              </w:rPr>
              <w:t xml:space="preserve"> : Peuples Autochtones</w:t>
            </w:r>
          </w:p>
        </w:tc>
      </w:tr>
      <w:tr w:rsidR="00D061C6" w:rsidRPr="004E7C36" w:rsidTr="00EA4BE1">
        <w:trPr>
          <w:trHeight w:val="70"/>
        </w:trPr>
        <w:tc>
          <w:tcPr>
            <w:tcW w:w="4373" w:type="pct"/>
          </w:tcPr>
          <w:p w:rsidR="00D061C6" w:rsidRPr="00FA76A9" w:rsidRDefault="00D061C6" w:rsidP="00EA4BE1">
            <w:pPr>
              <w:contextualSpacing/>
              <w:rPr>
                <w:rFonts w:eastAsiaTheme="minorHAnsi"/>
                <w:sz w:val="20"/>
                <w:szCs w:val="20"/>
                <w:lang w:eastAsia="en-US"/>
              </w:rPr>
            </w:pPr>
            <w:r w:rsidRPr="00542C30">
              <w:rPr>
                <w:rFonts w:eastAsiaTheme="minorHAnsi"/>
                <w:sz w:val="20"/>
                <w:szCs w:val="20"/>
                <w:lang w:eastAsia="en-US"/>
              </w:rPr>
              <w:lastRenderedPageBreak/>
              <w:t>ALE devant être sélectionnée par voie d’appel d’offres</w:t>
            </w:r>
          </w:p>
        </w:tc>
        <w:tc>
          <w:tcPr>
            <w:tcW w:w="627" w:type="pct"/>
          </w:tcPr>
          <w:p w:rsidR="00D061C6" w:rsidRPr="00FA76A9" w:rsidRDefault="00D061C6" w:rsidP="00EA4BE1">
            <w:pPr>
              <w:contextualSpacing/>
              <w:jc w:val="center"/>
              <w:rPr>
                <w:rFonts w:eastAsiaTheme="minorHAnsi"/>
                <w:sz w:val="20"/>
                <w:szCs w:val="20"/>
                <w:lang w:eastAsia="en-US"/>
              </w:rPr>
            </w:pPr>
            <w:r>
              <w:rPr>
                <w:rFonts w:eastAsiaTheme="minorHAnsi"/>
                <w:sz w:val="20"/>
                <w:szCs w:val="20"/>
                <w:lang w:eastAsia="en-US"/>
              </w:rPr>
              <w:t>711 180</w:t>
            </w:r>
          </w:p>
        </w:tc>
      </w:tr>
      <w:tr w:rsidR="00D061C6" w:rsidRPr="004E7C36" w:rsidTr="00EA4BE1">
        <w:trPr>
          <w:trHeight w:val="70"/>
        </w:trPr>
        <w:tc>
          <w:tcPr>
            <w:tcW w:w="4373" w:type="pct"/>
          </w:tcPr>
          <w:p w:rsidR="00D061C6" w:rsidRPr="00542C30" w:rsidRDefault="00D061C6" w:rsidP="00EA4BE1">
            <w:pPr>
              <w:contextualSpacing/>
              <w:rPr>
                <w:rFonts w:eastAsiaTheme="minorHAnsi"/>
                <w:sz w:val="20"/>
                <w:szCs w:val="20"/>
                <w:lang w:eastAsia="en-US"/>
              </w:rPr>
            </w:pPr>
            <w:r>
              <w:rPr>
                <w:rFonts w:eastAsiaTheme="minorHAnsi"/>
                <w:sz w:val="20"/>
                <w:szCs w:val="20"/>
                <w:lang w:eastAsia="en-US"/>
              </w:rPr>
              <w:t>UC-PIF</w:t>
            </w:r>
          </w:p>
        </w:tc>
        <w:tc>
          <w:tcPr>
            <w:tcW w:w="627" w:type="pct"/>
          </w:tcPr>
          <w:p w:rsidR="00D061C6" w:rsidRPr="00FA76A9" w:rsidRDefault="00D061C6" w:rsidP="00EA4BE1">
            <w:pPr>
              <w:contextualSpacing/>
              <w:jc w:val="center"/>
              <w:rPr>
                <w:rFonts w:eastAsiaTheme="minorHAnsi"/>
                <w:sz w:val="20"/>
                <w:szCs w:val="20"/>
                <w:lang w:eastAsia="en-US"/>
              </w:rPr>
            </w:pPr>
            <w:r>
              <w:rPr>
                <w:rFonts w:eastAsiaTheme="minorHAnsi"/>
                <w:sz w:val="20"/>
                <w:szCs w:val="20"/>
                <w:lang w:eastAsia="en-US"/>
              </w:rPr>
              <w:t>71 188</w:t>
            </w:r>
          </w:p>
        </w:tc>
      </w:tr>
      <w:tr w:rsidR="00D061C6" w:rsidRPr="004E7C36" w:rsidTr="00EA4BE1">
        <w:trPr>
          <w:trHeight w:val="70"/>
        </w:trPr>
        <w:tc>
          <w:tcPr>
            <w:tcW w:w="4373" w:type="pct"/>
            <w:shd w:val="clear" w:color="auto" w:fill="D9D9D9" w:themeFill="background1" w:themeFillShade="D9"/>
          </w:tcPr>
          <w:p w:rsidR="00D061C6" w:rsidRPr="00542C30" w:rsidRDefault="00D061C6" w:rsidP="00EA4BE1">
            <w:pPr>
              <w:contextualSpacing/>
              <w:rPr>
                <w:rFonts w:eastAsiaTheme="minorHAnsi"/>
                <w:sz w:val="20"/>
                <w:szCs w:val="20"/>
                <w:lang w:eastAsia="en-US"/>
              </w:rPr>
            </w:pPr>
            <w:r w:rsidRPr="00542C30">
              <w:rPr>
                <w:rFonts w:eastAsiaTheme="minorHAnsi"/>
                <w:sz w:val="20"/>
                <w:szCs w:val="20"/>
                <w:lang w:eastAsia="en-US"/>
              </w:rPr>
              <w:t>Budget prévu pour R</w:t>
            </w:r>
            <w:r>
              <w:rPr>
                <w:rFonts w:eastAsiaTheme="minorHAnsi"/>
                <w:sz w:val="20"/>
                <w:szCs w:val="20"/>
                <w:lang w:eastAsia="en-US"/>
              </w:rPr>
              <w:t>9</w:t>
            </w:r>
          </w:p>
        </w:tc>
        <w:tc>
          <w:tcPr>
            <w:tcW w:w="627" w:type="pct"/>
            <w:shd w:val="clear" w:color="auto" w:fill="D9D9D9" w:themeFill="background1" w:themeFillShade="D9"/>
          </w:tcPr>
          <w:p w:rsidR="00D061C6" w:rsidRPr="00257132" w:rsidRDefault="00D061C6" w:rsidP="00EA4BE1">
            <w:pPr>
              <w:contextualSpacing/>
              <w:rPr>
                <w:rFonts w:eastAsiaTheme="minorHAnsi"/>
                <w:b/>
                <w:sz w:val="20"/>
                <w:szCs w:val="20"/>
                <w:lang w:eastAsia="en-US"/>
              </w:rPr>
            </w:pPr>
            <w:r>
              <w:rPr>
                <w:rFonts w:eastAsiaTheme="minorHAnsi"/>
                <w:b/>
                <w:sz w:val="20"/>
                <w:szCs w:val="20"/>
                <w:lang w:eastAsia="en-US"/>
              </w:rPr>
              <w:t>782 369</w:t>
            </w:r>
          </w:p>
        </w:tc>
      </w:tr>
      <w:tr w:rsidR="00D061C6" w:rsidRPr="004E7C36" w:rsidTr="00ED144B">
        <w:trPr>
          <w:trHeight w:val="76"/>
        </w:trPr>
        <w:tc>
          <w:tcPr>
            <w:tcW w:w="5000" w:type="pct"/>
            <w:gridSpan w:val="2"/>
            <w:shd w:val="clear" w:color="auto" w:fill="D8E4BC"/>
          </w:tcPr>
          <w:p w:rsidR="00D061C6" w:rsidRPr="008F115B" w:rsidRDefault="00D061C6" w:rsidP="00EA4BE1">
            <w:pPr>
              <w:contextualSpacing/>
              <w:rPr>
                <w:rFonts w:eastAsiaTheme="minorHAnsi"/>
                <w:b/>
                <w:sz w:val="20"/>
                <w:szCs w:val="20"/>
                <w:lang w:eastAsia="en-US"/>
              </w:rPr>
            </w:pPr>
            <w:r w:rsidRPr="008F115B">
              <w:rPr>
                <w:rFonts w:eastAsiaTheme="minorHAnsi"/>
                <w:b/>
                <w:sz w:val="20"/>
                <w:szCs w:val="20"/>
                <w:lang w:eastAsia="en-US"/>
              </w:rPr>
              <w:t>R10 Soutien au développement de filières (café, cacao, hévéa, huile de palme)</w:t>
            </w:r>
          </w:p>
        </w:tc>
      </w:tr>
      <w:tr w:rsidR="00D061C6" w:rsidRPr="004E7C36" w:rsidTr="00EA4BE1">
        <w:trPr>
          <w:trHeight w:val="70"/>
        </w:trPr>
        <w:tc>
          <w:tcPr>
            <w:tcW w:w="4373" w:type="pct"/>
          </w:tcPr>
          <w:p w:rsidR="00D061C6" w:rsidRPr="00542C30" w:rsidRDefault="00D061C6"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061C6" w:rsidRPr="00FA76A9" w:rsidRDefault="00D061C6" w:rsidP="00EA4BE1">
            <w:pPr>
              <w:contextualSpacing/>
              <w:jc w:val="center"/>
              <w:rPr>
                <w:rFonts w:eastAsiaTheme="minorHAnsi"/>
                <w:sz w:val="20"/>
                <w:szCs w:val="20"/>
                <w:lang w:eastAsia="en-US"/>
              </w:rPr>
            </w:pPr>
            <w:r>
              <w:rPr>
                <w:rFonts w:eastAsiaTheme="minorHAnsi"/>
                <w:sz w:val="20"/>
                <w:szCs w:val="20"/>
                <w:lang w:eastAsia="en-US"/>
              </w:rPr>
              <w:t>426 708</w:t>
            </w:r>
          </w:p>
        </w:tc>
      </w:tr>
      <w:tr w:rsidR="00D061C6" w:rsidRPr="004E7C36" w:rsidTr="00EA4BE1">
        <w:trPr>
          <w:trHeight w:val="70"/>
        </w:trPr>
        <w:tc>
          <w:tcPr>
            <w:tcW w:w="4373" w:type="pct"/>
          </w:tcPr>
          <w:p w:rsidR="00D061C6" w:rsidRPr="00542C30" w:rsidRDefault="00D061C6"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061C6" w:rsidRPr="00FA76A9" w:rsidRDefault="00D061C6" w:rsidP="00EA4BE1">
            <w:pPr>
              <w:contextualSpacing/>
              <w:jc w:val="center"/>
              <w:rPr>
                <w:rFonts w:eastAsiaTheme="minorHAnsi"/>
                <w:sz w:val="20"/>
                <w:szCs w:val="20"/>
                <w:lang w:eastAsia="en-US"/>
              </w:rPr>
            </w:pPr>
            <w:r>
              <w:rPr>
                <w:rFonts w:eastAsiaTheme="minorHAnsi"/>
                <w:sz w:val="20"/>
                <w:szCs w:val="20"/>
                <w:lang w:eastAsia="en-US"/>
              </w:rPr>
              <w:t>42 713</w:t>
            </w:r>
          </w:p>
        </w:tc>
      </w:tr>
      <w:tr w:rsidR="00D061C6" w:rsidRPr="004E7C36" w:rsidTr="00EA4BE1">
        <w:trPr>
          <w:trHeight w:val="70"/>
        </w:trPr>
        <w:tc>
          <w:tcPr>
            <w:tcW w:w="4373" w:type="pct"/>
            <w:shd w:val="clear" w:color="auto" w:fill="D9D9D9" w:themeFill="background1" w:themeFillShade="D9"/>
          </w:tcPr>
          <w:p w:rsidR="00D061C6" w:rsidRPr="00542C30" w:rsidRDefault="00D061C6" w:rsidP="00EA4BE1">
            <w:pPr>
              <w:contextualSpacing/>
              <w:rPr>
                <w:rFonts w:eastAsiaTheme="minorHAnsi"/>
                <w:sz w:val="20"/>
                <w:szCs w:val="20"/>
                <w:lang w:eastAsia="en-US"/>
              </w:rPr>
            </w:pPr>
            <w:r w:rsidRPr="008F115B">
              <w:rPr>
                <w:rFonts w:eastAsiaTheme="minorHAnsi"/>
                <w:sz w:val="20"/>
                <w:szCs w:val="20"/>
                <w:lang w:eastAsia="en-US"/>
              </w:rPr>
              <w:t>Budget prévu pour R</w:t>
            </w:r>
            <w:r>
              <w:rPr>
                <w:rFonts w:eastAsiaTheme="minorHAnsi"/>
                <w:sz w:val="20"/>
                <w:szCs w:val="20"/>
                <w:lang w:eastAsia="en-US"/>
              </w:rPr>
              <w:t>10</w:t>
            </w:r>
          </w:p>
        </w:tc>
        <w:tc>
          <w:tcPr>
            <w:tcW w:w="627" w:type="pct"/>
            <w:shd w:val="clear" w:color="auto" w:fill="D9D9D9" w:themeFill="background1" w:themeFillShade="D9"/>
          </w:tcPr>
          <w:p w:rsidR="00D061C6" w:rsidRPr="008F115B" w:rsidRDefault="00D061C6" w:rsidP="00EA4BE1">
            <w:pPr>
              <w:contextualSpacing/>
              <w:jc w:val="center"/>
              <w:rPr>
                <w:rFonts w:eastAsiaTheme="minorHAnsi"/>
                <w:b/>
                <w:sz w:val="20"/>
                <w:szCs w:val="20"/>
                <w:lang w:eastAsia="en-US"/>
              </w:rPr>
            </w:pPr>
            <w:r>
              <w:rPr>
                <w:rFonts w:eastAsiaTheme="minorHAnsi"/>
                <w:b/>
                <w:sz w:val="20"/>
                <w:szCs w:val="20"/>
                <w:lang w:eastAsia="en-US"/>
              </w:rPr>
              <w:t>469 421</w:t>
            </w:r>
          </w:p>
        </w:tc>
      </w:tr>
      <w:tr w:rsidR="00D061C6" w:rsidRPr="004E7C36" w:rsidTr="00ED144B">
        <w:trPr>
          <w:trHeight w:val="468"/>
        </w:trPr>
        <w:tc>
          <w:tcPr>
            <w:tcW w:w="5000" w:type="pct"/>
            <w:gridSpan w:val="2"/>
            <w:shd w:val="clear" w:color="auto" w:fill="D8E4BC"/>
          </w:tcPr>
          <w:p w:rsidR="00D061C6" w:rsidRPr="008F115B" w:rsidRDefault="00D061C6" w:rsidP="00EA4BE1">
            <w:pPr>
              <w:contextualSpacing/>
              <w:rPr>
                <w:rFonts w:eastAsiaTheme="minorHAnsi"/>
                <w:b/>
                <w:sz w:val="20"/>
                <w:szCs w:val="20"/>
                <w:lang w:eastAsia="en-US"/>
              </w:rPr>
            </w:pPr>
            <w:r w:rsidRPr="008F115B">
              <w:rPr>
                <w:rFonts w:eastAsiaTheme="minorHAnsi"/>
                <w:b/>
                <w:sz w:val="20"/>
                <w:szCs w:val="20"/>
                <w:lang w:eastAsia="en-US"/>
              </w:rPr>
              <w:t>R11 : Soutien au développement d'une pêche responsable et autres investissements pour soutenir la mise en œuvre des PDD (Création d’étangs piscicoles, etc.)</w:t>
            </w:r>
          </w:p>
        </w:tc>
      </w:tr>
      <w:tr w:rsidR="00D061C6" w:rsidRPr="004E7C36" w:rsidTr="00EA4BE1">
        <w:trPr>
          <w:trHeight w:val="70"/>
        </w:trPr>
        <w:tc>
          <w:tcPr>
            <w:tcW w:w="4373" w:type="pct"/>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061C6" w:rsidRPr="00FA76A9" w:rsidRDefault="00D061C6" w:rsidP="00EA4BE1">
            <w:pPr>
              <w:contextualSpacing/>
              <w:jc w:val="center"/>
              <w:rPr>
                <w:rFonts w:eastAsiaTheme="minorHAnsi"/>
                <w:sz w:val="20"/>
                <w:szCs w:val="20"/>
                <w:lang w:eastAsia="en-US"/>
              </w:rPr>
            </w:pPr>
            <w:r>
              <w:rPr>
                <w:rFonts w:eastAsiaTheme="minorHAnsi"/>
                <w:sz w:val="20"/>
                <w:szCs w:val="20"/>
                <w:lang w:eastAsia="en-US"/>
              </w:rPr>
              <w:t>312 919</w:t>
            </w:r>
          </w:p>
        </w:tc>
      </w:tr>
      <w:tr w:rsidR="00D061C6" w:rsidRPr="004E7C36" w:rsidTr="00EA4BE1">
        <w:trPr>
          <w:trHeight w:val="70"/>
        </w:trPr>
        <w:tc>
          <w:tcPr>
            <w:tcW w:w="4373" w:type="pct"/>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061C6" w:rsidRPr="00FA76A9" w:rsidRDefault="00D061C6" w:rsidP="00EA4BE1">
            <w:pPr>
              <w:contextualSpacing/>
              <w:jc w:val="center"/>
              <w:rPr>
                <w:rFonts w:eastAsiaTheme="minorHAnsi"/>
                <w:sz w:val="20"/>
                <w:szCs w:val="20"/>
                <w:lang w:eastAsia="en-US"/>
              </w:rPr>
            </w:pPr>
            <w:r>
              <w:rPr>
                <w:rFonts w:eastAsiaTheme="minorHAnsi"/>
                <w:sz w:val="20"/>
                <w:szCs w:val="20"/>
                <w:lang w:eastAsia="en-US"/>
              </w:rPr>
              <w:t>31 323</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Budget prévu pour R1</w:t>
            </w:r>
            <w:r>
              <w:rPr>
                <w:rFonts w:eastAsiaTheme="minorHAnsi"/>
                <w:sz w:val="20"/>
                <w:szCs w:val="20"/>
                <w:lang w:eastAsia="en-US"/>
              </w:rPr>
              <w:t>1</w:t>
            </w:r>
          </w:p>
        </w:tc>
        <w:tc>
          <w:tcPr>
            <w:tcW w:w="627" w:type="pct"/>
            <w:shd w:val="clear" w:color="auto" w:fill="D9D9D9" w:themeFill="background1" w:themeFillShade="D9"/>
          </w:tcPr>
          <w:p w:rsidR="00D061C6" w:rsidRPr="008F115B" w:rsidRDefault="00AE6A96" w:rsidP="00EA4BE1">
            <w:pPr>
              <w:contextualSpacing/>
              <w:jc w:val="center"/>
              <w:rPr>
                <w:rFonts w:eastAsiaTheme="minorHAnsi"/>
                <w:b/>
                <w:sz w:val="20"/>
                <w:szCs w:val="20"/>
                <w:lang w:eastAsia="en-US"/>
              </w:rPr>
            </w:pPr>
            <w:r>
              <w:rPr>
                <w:rFonts w:eastAsiaTheme="minorHAnsi"/>
                <w:b/>
                <w:sz w:val="20"/>
                <w:szCs w:val="20"/>
                <w:lang w:eastAsia="en-US"/>
              </w:rPr>
              <w:t>344 242</w:t>
            </w:r>
          </w:p>
        </w:tc>
      </w:tr>
      <w:tr w:rsidR="00D061C6" w:rsidRPr="004E7C36" w:rsidTr="00ED144B">
        <w:trPr>
          <w:trHeight w:val="70"/>
        </w:trPr>
        <w:tc>
          <w:tcPr>
            <w:tcW w:w="5000" w:type="pct"/>
            <w:gridSpan w:val="2"/>
            <w:shd w:val="clear" w:color="auto" w:fill="D8E4BC"/>
          </w:tcPr>
          <w:p w:rsidR="00D061C6" w:rsidRPr="008F115B" w:rsidRDefault="00D061C6" w:rsidP="00EA4BE1">
            <w:pPr>
              <w:contextualSpacing/>
              <w:rPr>
                <w:rFonts w:eastAsiaTheme="minorHAnsi"/>
                <w:b/>
                <w:sz w:val="20"/>
                <w:szCs w:val="20"/>
                <w:lang w:eastAsia="en-US"/>
              </w:rPr>
            </w:pPr>
            <w:r w:rsidRPr="008F115B">
              <w:rPr>
                <w:rFonts w:eastAsiaTheme="minorHAnsi"/>
                <w:b/>
                <w:sz w:val="20"/>
                <w:szCs w:val="20"/>
                <w:lang w:eastAsia="en-US"/>
              </w:rPr>
              <w:t>R12 : Investissements structurants</w:t>
            </w:r>
          </w:p>
        </w:tc>
      </w:tr>
      <w:tr w:rsidR="00D061C6" w:rsidRPr="004E7C36" w:rsidTr="00EA4BE1">
        <w:trPr>
          <w:trHeight w:val="70"/>
        </w:trPr>
        <w:tc>
          <w:tcPr>
            <w:tcW w:w="4373" w:type="pct"/>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061C6" w:rsidRPr="00FA76A9" w:rsidRDefault="00D061C6" w:rsidP="000F26C9">
            <w:pPr>
              <w:contextualSpacing/>
              <w:jc w:val="center"/>
              <w:rPr>
                <w:rFonts w:eastAsiaTheme="minorHAnsi"/>
                <w:sz w:val="20"/>
                <w:szCs w:val="20"/>
                <w:lang w:eastAsia="en-US"/>
              </w:rPr>
            </w:pPr>
            <w:r>
              <w:rPr>
                <w:rFonts w:eastAsiaTheme="minorHAnsi"/>
                <w:sz w:val="20"/>
                <w:szCs w:val="20"/>
                <w:lang w:eastAsia="en-US"/>
              </w:rPr>
              <w:t xml:space="preserve">4 </w:t>
            </w:r>
            <w:r w:rsidR="00AE6A96">
              <w:rPr>
                <w:rFonts w:eastAsiaTheme="minorHAnsi"/>
                <w:sz w:val="20"/>
                <w:szCs w:val="20"/>
                <w:lang w:eastAsia="en-US"/>
              </w:rPr>
              <w:t>279 581</w:t>
            </w:r>
          </w:p>
        </w:tc>
      </w:tr>
      <w:tr w:rsidR="00D061C6" w:rsidRPr="004E7C36" w:rsidTr="00EA4BE1">
        <w:trPr>
          <w:trHeight w:val="70"/>
        </w:trPr>
        <w:tc>
          <w:tcPr>
            <w:tcW w:w="4373" w:type="pct"/>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061C6" w:rsidRPr="00FA76A9" w:rsidRDefault="00AE6A96" w:rsidP="00EA4BE1">
            <w:pPr>
              <w:contextualSpacing/>
              <w:jc w:val="center"/>
              <w:rPr>
                <w:rFonts w:eastAsiaTheme="minorHAnsi"/>
                <w:sz w:val="20"/>
                <w:szCs w:val="20"/>
                <w:lang w:eastAsia="en-US"/>
              </w:rPr>
            </w:pPr>
            <w:r>
              <w:rPr>
                <w:rFonts w:eastAsiaTheme="minorHAnsi"/>
                <w:sz w:val="20"/>
                <w:szCs w:val="20"/>
                <w:lang w:eastAsia="en-US"/>
              </w:rPr>
              <w:t>428 381</w:t>
            </w:r>
          </w:p>
        </w:tc>
      </w:tr>
      <w:tr w:rsidR="00D061C6" w:rsidRPr="004E7C36" w:rsidTr="00EA4BE1">
        <w:trPr>
          <w:trHeight w:val="70"/>
        </w:trPr>
        <w:tc>
          <w:tcPr>
            <w:tcW w:w="4373" w:type="pct"/>
            <w:shd w:val="clear" w:color="auto" w:fill="D9D9D9" w:themeFill="background1" w:themeFillShade="D9"/>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Budget prévu pour R1</w:t>
            </w:r>
            <w:r>
              <w:rPr>
                <w:rFonts w:eastAsiaTheme="minorHAnsi"/>
                <w:sz w:val="20"/>
                <w:szCs w:val="20"/>
                <w:lang w:eastAsia="en-US"/>
              </w:rPr>
              <w:t>2</w:t>
            </w:r>
          </w:p>
        </w:tc>
        <w:tc>
          <w:tcPr>
            <w:tcW w:w="627" w:type="pct"/>
            <w:shd w:val="clear" w:color="auto" w:fill="D9D9D9" w:themeFill="background1" w:themeFillShade="D9"/>
          </w:tcPr>
          <w:p w:rsidR="00D061C6" w:rsidRPr="008F115B" w:rsidRDefault="00AE6A96" w:rsidP="00EA4BE1">
            <w:pPr>
              <w:contextualSpacing/>
              <w:jc w:val="center"/>
              <w:rPr>
                <w:rFonts w:eastAsiaTheme="minorHAnsi"/>
                <w:b/>
                <w:sz w:val="20"/>
                <w:szCs w:val="20"/>
                <w:lang w:eastAsia="en-US"/>
              </w:rPr>
            </w:pPr>
            <w:r>
              <w:rPr>
                <w:rFonts w:eastAsiaTheme="minorHAnsi"/>
                <w:b/>
                <w:sz w:val="20"/>
                <w:szCs w:val="20"/>
                <w:lang w:eastAsia="en-US"/>
              </w:rPr>
              <w:t>4 707 962</w:t>
            </w:r>
          </w:p>
        </w:tc>
      </w:tr>
      <w:tr w:rsidR="00D061C6" w:rsidRPr="004E7C36" w:rsidTr="00ED144B">
        <w:trPr>
          <w:trHeight w:val="70"/>
        </w:trPr>
        <w:tc>
          <w:tcPr>
            <w:tcW w:w="5000" w:type="pct"/>
            <w:gridSpan w:val="2"/>
            <w:shd w:val="clear" w:color="auto" w:fill="D8E4BC"/>
          </w:tcPr>
          <w:p w:rsidR="00D061C6" w:rsidRPr="008F115B" w:rsidRDefault="00D061C6" w:rsidP="00EA4BE1">
            <w:pPr>
              <w:contextualSpacing/>
              <w:rPr>
                <w:rFonts w:eastAsiaTheme="minorHAnsi"/>
                <w:b/>
                <w:sz w:val="20"/>
                <w:szCs w:val="20"/>
                <w:lang w:eastAsia="en-US"/>
              </w:rPr>
            </w:pPr>
            <w:r w:rsidRPr="008F115B">
              <w:rPr>
                <w:rFonts w:eastAsiaTheme="minorHAnsi"/>
                <w:b/>
                <w:sz w:val="20"/>
                <w:szCs w:val="20"/>
                <w:lang w:eastAsia="en-US"/>
              </w:rPr>
              <w:t>Total budget (hors rémunération Banque mondiale)</w:t>
            </w:r>
          </w:p>
        </w:tc>
      </w:tr>
      <w:tr w:rsidR="00D061C6" w:rsidRPr="004E7C36" w:rsidTr="00EA4BE1">
        <w:trPr>
          <w:trHeight w:val="70"/>
        </w:trPr>
        <w:tc>
          <w:tcPr>
            <w:tcW w:w="4373" w:type="pct"/>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061C6" w:rsidRPr="00FA76A9" w:rsidRDefault="00AE6A96" w:rsidP="00EA4BE1">
            <w:pPr>
              <w:contextualSpacing/>
              <w:jc w:val="center"/>
              <w:rPr>
                <w:rFonts w:eastAsiaTheme="minorHAnsi"/>
                <w:sz w:val="20"/>
                <w:szCs w:val="20"/>
                <w:lang w:eastAsia="en-US"/>
              </w:rPr>
            </w:pPr>
            <w:r>
              <w:rPr>
                <w:rFonts w:eastAsiaTheme="minorHAnsi"/>
                <w:sz w:val="20"/>
                <w:szCs w:val="20"/>
                <w:lang w:eastAsia="en-US"/>
              </w:rPr>
              <w:t>16 830 679</w:t>
            </w:r>
          </w:p>
        </w:tc>
      </w:tr>
      <w:tr w:rsidR="00D061C6" w:rsidRPr="004E7C36" w:rsidTr="00EA4BE1">
        <w:trPr>
          <w:trHeight w:val="70"/>
        </w:trPr>
        <w:tc>
          <w:tcPr>
            <w:tcW w:w="4373" w:type="pct"/>
          </w:tcPr>
          <w:p w:rsidR="00D061C6" w:rsidRPr="00FA76A9" w:rsidRDefault="00D061C6"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061C6" w:rsidRPr="00FA76A9" w:rsidRDefault="00AE6A96" w:rsidP="00EA4BE1">
            <w:pPr>
              <w:contextualSpacing/>
              <w:jc w:val="center"/>
              <w:rPr>
                <w:rFonts w:eastAsiaTheme="minorHAnsi"/>
                <w:sz w:val="20"/>
                <w:szCs w:val="20"/>
                <w:lang w:eastAsia="en-US"/>
              </w:rPr>
            </w:pPr>
            <w:r>
              <w:rPr>
                <w:rFonts w:eastAsiaTheme="minorHAnsi"/>
                <w:sz w:val="20"/>
                <w:szCs w:val="20"/>
                <w:lang w:eastAsia="en-US"/>
              </w:rPr>
              <w:t>1 386 910</w:t>
            </w:r>
          </w:p>
        </w:tc>
      </w:tr>
      <w:tr w:rsidR="00D061C6" w:rsidRPr="004E7C36" w:rsidTr="00EA4BE1">
        <w:trPr>
          <w:trHeight w:val="70"/>
        </w:trPr>
        <w:tc>
          <w:tcPr>
            <w:tcW w:w="4373" w:type="pct"/>
            <w:shd w:val="clear" w:color="auto" w:fill="D9D9D9" w:themeFill="background1" w:themeFillShade="D9"/>
          </w:tcPr>
          <w:p w:rsidR="00D061C6" w:rsidRPr="004E7C36" w:rsidRDefault="00D061C6" w:rsidP="00EA4BE1">
            <w:pPr>
              <w:contextualSpacing/>
              <w:rPr>
                <w:rFonts w:eastAsiaTheme="minorHAnsi"/>
                <w:b/>
                <w:sz w:val="20"/>
                <w:szCs w:val="20"/>
                <w:lang w:eastAsia="en-US"/>
              </w:rPr>
            </w:pPr>
            <w:r>
              <w:rPr>
                <w:rFonts w:eastAsiaTheme="minorHAnsi"/>
                <w:b/>
                <w:sz w:val="20"/>
                <w:szCs w:val="20"/>
                <w:lang w:eastAsia="en-US"/>
              </w:rPr>
              <w:t>Total</w:t>
            </w:r>
          </w:p>
        </w:tc>
        <w:tc>
          <w:tcPr>
            <w:tcW w:w="627" w:type="pct"/>
            <w:shd w:val="clear" w:color="auto" w:fill="D9D9D9" w:themeFill="background1" w:themeFillShade="D9"/>
          </w:tcPr>
          <w:p w:rsidR="00D061C6" w:rsidRPr="004E7C36" w:rsidRDefault="00AE6A96" w:rsidP="00EA4BE1">
            <w:pPr>
              <w:contextualSpacing/>
              <w:rPr>
                <w:rFonts w:eastAsiaTheme="minorHAnsi"/>
                <w:b/>
                <w:sz w:val="20"/>
                <w:szCs w:val="20"/>
                <w:lang w:eastAsia="en-US"/>
              </w:rPr>
            </w:pPr>
            <w:r>
              <w:rPr>
                <w:rFonts w:eastAsiaTheme="minorHAnsi"/>
                <w:b/>
                <w:sz w:val="20"/>
                <w:szCs w:val="20"/>
                <w:lang w:eastAsia="en-US"/>
              </w:rPr>
              <w:t>18 217 589</w:t>
            </w:r>
          </w:p>
        </w:tc>
      </w:tr>
    </w:tbl>
    <w:p w:rsidR="000F26C9" w:rsidRDefault="000F26C9" w:rsidP="00ED144B">
      <w:pPr>
        <w:tabs>
          <w:tab w:val="left" w:pos="2136"/>
        </w:tabs>
        <w:spacing w:after="120"/>
        <w:contextualSpacing/>
        <w:jc w:val="both"/>
        <w:rPr>
          <w:rFonts w:eastAsiaTheme="minorHAnsi"/>
          <w:b/>
          <w:sz w:val="20"/>
          <w:szCs w:val="20"/>
          <w:lang w:eastAsia="en-US"/>
        </w:rPr>
      </w:pPr>
    </w:p>
    <w:p w:rsidR="000F26C9" w:rsidRDefault="000F26C9" w:rsidP="00ED144B">
      <w:pPr>
        <w:tabs>
          <w:tab w:val="left" w:pos="2136"/>
        </w:tabs>
        <w:spacing w:after="120"/>
        <w:contextualSpacing/>
        <w:jc w:val="both"/>
        <w:rPr>
          <w:rFonts w:eastAsiaTheme="minorHAnsi"/>
          <w:b/>
          <w:sz w:val="20"/>
          <w:szCs w:val="20"/>
          <w:lang w:eastAsia="en-US"/>
        </w:rPr>
      </w:pPr>
    </w:p>
    <w:p w:rsidR="00D307A2" w:rsidRDefault="00D307A2" w:rsidP="00D307A2">
      <w:pPr>
        <w:spacing w:after="120"/>
        <w:contextualSpacing/>
        <w:jc w:val="both"/>
        <w:rPr>
          <w:rFonts w:eastAsiaTheme="minorHAnsi"/>
          <w:sz w:val="20"/>
          <w:szCs w:val="20"/>
          <w:lang w:eastAsia="en-U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D307A2" w:rsidRPr="00A53E33" w:rsidTr="00EA4BE1">
        <w:trPr>
          <w:trHeight w:val="240"/>
          <w:jc w:val="center"/>
        </w:trPr>
        <w:tc>
          <w:tcPr>
            <w:tcW w:w="9600" w:type="dxa"/>
            <w:tcBorders>
              <w:top w:val="nil"/>
              <w:left w:val="nil"/>
              <w:bottom w:val="nil"/>
              <w:right w:val="nil"/>
            </w:tcBorders>
            <w:shd w:val="clear" w:color="auto" w:fill="DEEAF6" w:themeFill="accent1" w:themeFillTint="33"/>
            <w:vAlign w:val="center"/>
            <w:hideMark/>
          </w:tcPr>
          <w:p w:rsidR="00D307A2" w:rsidRPr="00A53E33" w:rsidRDefault="00D307A2" w:rsidP="00EA4BE1">
            <w:pPr>
              <w:spacing w:after="0" w:line="240" w:lineRule="auto"/>
              <w:jc w:val="center"/>
              <w:rPr>
                <w:rFonts w:ascii="Calibri" w:eastAsia="Times New Roman" w:hAnsi="Calibri" w:cs="Times New Roman"/>
                <w:b/>
                <w:bCs/>
                <w:color w:val="000000"/>
                <w:sz w:val="18"/>
                <w:szCs w:val="18"/>
                <w:lang w:eastAsia="en-US"/>
              </w:rPr>
            </w:pPr>
            <w:r w:rsidRPr="00E95215">
              <w:rPr>
                <w:rFonts w:ascii="Calibri" w:eastAsia="Times New Roman" w:hAnsi="Calibri" w:cs="Times New Roman"/>
                <w:b/>
                <w:bCs/>
                <w:color w:val="000000"/>
                <w:sz w:val="18"/>
                <w:szCs w:val="18"/>
                <w:lang w:eastAsia="en-US"/>
              </w:rPr>
              <w:t>Budget PIREDD Mai-</w:t>
            </w:r>
            <w:r>
              <w:rPr>
                <w:rFonts w:ascii="Calibri" w:eastAsia="Times New Roman" w:hAnsi="Calibri" w:cs="Times New Roman"/>
                <w:b/>
                <w:bCs/>
                <w:color w:val="000000"/>
                <w:sz w:val="18"/>
                <w:szCs w:val="18"/>
                <w:lang w:eastAsia="en-US"/>
              </w:rPr>
              <w:t>Ndombe sur 2 ans (2020</w:t>
            </w:r>
            <w:r w:rsidRPr="00A53E33">
              <w:rPr>
                <w:rFonts w:ascii="Calibri" w:eastAsia="Times New Roman" w:hAnsi="Calibri" w:cs="Times New Roman"/>
                <w:b/>
                <w:bCs/>
                <w:color w:val="000000"/>
                <w:sz w:val="18"/>
                <w:szCs w:val="18"/>
                <w:lang w:eastAsia="en-US"/>
              </w:rPr>
              <w:t xml:space="preserve"> -2021)</w:t>
            </w:r>
          </w:p>
        </w:tc>
      </w:tr>
    </w:tbl>
    <w:p w:rsidR="00D307A2" w:rsidRPr="006A1CFA" w:rsidRDefault="00D307A2" w:rsidP="00D307A2">
      <w:pPr>
        <w:spacing w:after="120"/>
        <w:contextualSpacing/>
        <w:jc w:val="both"/>
        <w:rPr>
          <w:rFonts w:eastAsiaTheme="minorHAnsi"/>
          <w:sz w:val="20"/>
          <w:szCs w:val="20"/>
          <w:lang w:eastAsia="en-US"/>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7"/>
        <w:gridCol w:w="1259"/>
      </w:tblGrid>
      <w:tr w:rsidR="00D307A2" w:rsidRPr="004E7C36" w:rsidTr="00EA4BE1">
        <w:trPr>
          <w:trHeight w:val="675"/>
        </w:trPr>
        <w:tc>
          <w:tcPr>
            <w:tcW w:w="4373" w:type="pct"/>
            <w:shd w:val="clear" w:color="auto" w:fill="DEEAF6" w:themeFill="accent1" w:themeFillTint="33"/>
          </w:tcPr>
          <w:p w:rsidR="00D307A2" w:rsidRPr="004E7C36" w:rsidRDefault="00D307A2" w:rsidP="00EA4BE1">
            <w:pPr>
              <w:contextualSpacing/>
              <w:rPr>
                <w:rFonts w:eastAsiaTheme="minorHAnsi"/>
                <w:b/>
                <w:sz w:val="20"/>
                <w:szCs w:val="20"/>
                <w:lang w:eastAsia="en-US"/>
              </w:rPr>
            </w:pPr>
            <w:r w:rsidRPr="006A1CFA">
              <w:rPr>
                <w:rFonts w:eastAsiaTheme="minorHAnsi"/>
                <w:b/>
                <w:sz w:val="20"/>
                <w:szCs w:val="20"/>
                <w:lang w:eastAsia="en-US"/>
              </w:rPr>
              <w:t>Effet</w:t>
            </w:r>
            <w:r>
              <w:rPr>
                <w:rFonts w:eastAsiaTheme="minorHAnsi"/>
                <w:b/>
                <w:sz w:val="20"/>
                <w:szCs w:val="20"/>
                <w:lang w:eastAsia="en-US"/>
              </w:rPr>
              <w:t>s</w:t>
            </w:r>
            <w:r w:rsidRPr="006A1CFA">
              <w:rPr>
                <w:rFonts w:eastAsiaTheme="minorHAnsi"/>
                <w:b/>
                <w:sz w:val="20"/>
                <w:szCs w:val="20"/>
                <w:lang w:eastAsia="en-US"/>
              </w:rPr>
              <w:t xml:space="preserve"> Attendu du Fonds auquel le programme contribue :</w:t>
            </w:r>
          </w:p>
        </w:tc>
        <w:tc>
          <w:tcPr>
            <w:tcW w:w="627" w:type="pct"/>
            <w:shd w:val="clear" w:color="auto" w:fill="DEEAF6" w:themeFill="accent1" w:themeFillTint="33"/>
          </w:tcPr>
          <w:p w:rsidR="00D307A2" w:rsidRPr="004E7C36" w:rsidRDefault="00D307A2" w:rsidP="00EA4BE1">
            <w:pPr>
              <w:contextualSpacing/>
              <w:jc w:val="center"/>
              <w:rPr>
                <w:rFonts w:eastAsiaTheme="minorHAnsi"/>
                <w:b/>
                <w:sz w:val="20"/>
                <w:szCs w:val="20"/>
                <w:lang w:eastAsia="en-US"/>
              </w:rPr>
            </w:pPr>
            <w:r w:rsidRPr="004E7C36">
              <w:rPr>
                <w:rFonts w:eastAsiaTheme="minorHAnsi"/>
                <w:sz w:val="20"/>
                <w:szCs w:val="20"/>
                <w:lang w:eastAsia="en-US"/>
              </w:rPr>
              <w:t xml:space="preserve">Budget prévu </w:t>
            </w:r>
          </w:p>
        </w:tc>
      </w:tr>
      <w:tr w:rsidR="00D307A2" w:rsidRPr="004E7C36" w:rsidTr="00EA4BE1">
        <w:trPr>
          <w:trHeight w:val="70"/>
        </w:trPr>
        <w:tc>
          <w:tcPr>
            <w:tcW w:w="5000" w:type="pct"/>
            <w:gridSpan w:val="2"/>
            <w:shd w:val="clear" w:color="auto" w:fill="DEEAF6" w:themeFill="accent1" w:themeFillTint="33"/>
          </w:tcPr>
          <w:p w:rsidR="00D307A2" w:rsidRDefault="00D307A2" w:rsidP="00EA4BE1">
            <w:pPr>
              <w:contextualSpacing/>
              <w:rPr>
                <w:rFonts w:eastAsiaTheme="minorHAnsi"/>
                <w:b/>
                <w:sz w:val="20"/>
                <w:szCs w:val="20"/>
                <w:lang w:eastAsia="en-US"/>
              </w:rPr>
            </w:pPr>
            <w:r w:rsidRPr="006A1CFA">
              <w:rPr>
                <w:rFonts w:eastAsiaTheme="minorHAnsi"/>
                <w:b/>
                <w:sz w:val="20"/>
                <w:szCs w:val="20"/>
                <w:lang w:eastAsia="en-US"/>
              </w:rPr>
              <w:t>Effet 1 : Investissements agricoles respectueux de la forêt et améliorant les moyens d’existence des populations rurales, y compris des personnes vulnérables et marginalisées.</w:t>
            </w:r>
          </w:p>
        </w:tc>
      </w:tr>
      <w:tr w:rsidR="00D307A2" w:rsidRPr="004E7C36" w:rsidTr="00EA4BE1">
        <w:trPr>
          <w:trHeight w:val="70"/>
        </w:trPr>
        <w:tc>
          <w:tcPr>
            <w:tcW w:w="5000" w:type="pct"/>
            <w:gridSpan w:val="2"/>
            <w:shd w:val="clear" w:color="auto" w:fill="DEEAF6" w:themeFill="accent1" w:themeFillTint="33"/>
          </w:tcPr>
          <w:p w:rsidR="00D307A2" w:rsidRPr="004E7C36" w:rsidRDefault="00D307A2" w:rsidP="00EA4BE1">
            <w:pPr>
              <w:contextualSpacing/>
              <w:rPr>
                <w:rFonts w:eastAsiaTheme="minorHAnsi"/>
                <w:b/>
                <w:sz w:val="20"/>
                <w:szCs w:val="20"/>
                <w:lang w:eastAsia="en-US"/>
              </w:rPr>
            </w:pPr>
            <w:r>
              <w:rPr>
                <w:rFonts w:eastAsiaTheme="minorHAnsi"/>
                <w:b/>
                <w:sz w:val="20"/>
                <w:szCs w:val="20"/>
                <w:lang w:eastAsia="en-US"/>
              </w:rPr>
              <w:t xml:space="preserve">R1 : </w:t>
            </w:r>
            <w:r w:rsidRPr="00541584">
              <w:rPr>
                <w:rFonts w:eastAsiaTheme="minorHAnsi"/>
                <w:b/>
                <w:sz w:val="20"/>
                <w:szCs w:val="20"/>
                <w:lang w:eastAsia="en-US"/>
              </w:rPr>
              <w:t>Investissements agricoles</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FA76A9">
              <w:rPr>
                <w:rFonts w:eastAsiaTheme="minorHAnsi"/>
                <w:sz w:val="20"/>
                <w:szCs w:val="20"/>
                <w:lang w:eastAsia="en-US"/>
              </w:rPr>
              <w:t>ALE devant être sélectionnée par voie d’appel d’offres</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3 599 267</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FA76A9">
              <w:rPr>
                <w:rFonts w:eastAsiaTheme="minorHAnsi"/>
                <w:sz w:val="20"/>
                <w:szCs w:val="20"/>
                <w:lang w:eastAsia="en-US"/>
              </w:rPr>
              <w:t>UC-PIF</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570 587</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spacing w:after="0"/>
              <w:contextualSpacing/>
              <w:rPr>
                <w:rFonts w:eastAsiaTheme="minorHAnsi"/>
                <w:sz w:val="20"/>
                <w:szCs w:val="20"/>
                <w:lang w:eastAsia="en-US"/>
              </w:rPr>
            </w:pPr>
            <w:r w:rsidRPr="00FA76A9">
              <w:rPr>
                <w:rFonts w:eastAsiaTheme="minorHAnsi"/>
                <w:sz w:val="20"/>
                <w:szCs w:val="20"/>
                <w:lang w:eastAsia="en-US"/>
              </w:rPr>
              <w:t xml:space="preserve">Budget prévu pour </w:t>
            </w:r>
            <w:r>
              <w:rPr>
                <w:rFonts w:eastAsiaTheme="minorHAnsi"/>
                <w:sz w:val="20"/>
                <w:szCs w:val="20"/>
                <w:lang w:eastAsia="en-US"/>
              </w:rPr>
              <w:t>R</w:t>
            </w:r>
            <w:r w:rsidRPr="00FA76A9">
              <w:rPr>
                <w:rFonts w:eastAsiaTheme="minorHAnsi"/>
                <w:sz w:val="20"/>
                <w:szCs w:val="20"/>
                <w:lang w:eastAsia="en-US"/>
              </w:rPr>
              <w:t>1</w:t>
            </w:r>
          </w:p>
        </w:tc>
        <w:tc>
          <w:tcPr>
            <w:tcW w:w="627" w:type="pct"/>
            <w:shd w:val="clear" w:color="auto" w:fill="D9D9D9" w:themeFill="background1" w:themeFillShade="D9"/>
          </w:tcPr>
          <w:p w:rsidR="00D307A2" w:rsidRPr="00AC1526" w:rsidRDefault="00D307A2" w:rsidP="00EA4BE1">
            <w:pPr>
              <w:spacing w:after="0"/>
              <w:contextualSpacing/>
              <w:jc w:val="center"/>
              <w:rPr>
                <w:rFonts w:eastAsiaTheme="minorHAnsi"/>
                <w:b/>
                <w:sz w:val="20"/>
                <w:szCs w:val="20"/>
                <w:lang w:eastAsia="en-US"/>
              </w:rPr>
            </w:pPr>
            <w:r>
              <w:rPr>
                <w:rFonts w:eastAsiaTheme="minorHAnsi"/>
                <w:b/>
                <w:sz w:val="20"/>
                <w:szCs w:val="20"/>
                <w:lang w:eastAsia="en-US"/>
              </w:rPr>
              <w:t>4 169 854</w:t>
            </w:r>
          </w:p>
        </w:tc>
      </w:tr>
      <w:tr w:rsidR="00D307A2" w:rsidRPr="004E7C36" w:rsidTr="00EA4BE1">
        <w:trPr>
          <w:trHeight w:val="70"/>
        </w:trPr>
        <w:tc>
          <w:tcPr>
            <w:tcW w:w="5000" w:type="pct"/>
            <w:gridSpan w:val="2"/>
            <w:shd w:val="clear" w:color="auto" w:fill="DEEAF6" w:themeFill="accent1" w:themeFillTint="33"/>
          </w:tcPr>
          <w:p w:rsidR="00D307A2" w:rsidRPr="00FA76A9" w:rsidRDefault="00D307A2" w:rsidP="00EA4BE1">
            <w:pPr>
              <w:spacing w:after="0"/>
              <w:contextualSpacing/>
              <w:rPr>
                <w:rFonts w:eastAsiaTheme="minorHAnsi"/>
                <w:b/>
                <w:sz w:val="20"/>
                <w:szCs w:val="20"/>
                <w:lang w:eastAsia="en-US"/>
              </w:rPr>
            </w:pPr>
            <w:r w:rsidRPr="006A1CFA">
              <w:rPr>
                <w:rFonts w:eastAsiaTheme="minorHAnsi"/>
                <w:b/>
                <w:sz w:val="20"/>
                <w:szCs w:val="20"/>
                <w:lang w:eastAsia="en-US"/>
              </w:rPr>
              <w:t>Effet 2 : Réduction de la part de bois énergie non-durable</w:t>
            </w:r>
          </w:p>
        </w:tc>
      </w:tr>
      <w:tr w:rsidR="00D307A2" w:rsidRPr="004E7C36" w:rsidTr="00EA4BE1">
        <w:trPr>
          <w:trHeight w:val="70"/>
        </w:trPr>
        <w:tc>
          <w:tcPr>
            <w:tcW w:w="5000" w:type="pct"/>
            <w:gridSpan w:val="2"/>
            <w:shd w:val="clear" w:color="auto" w:fill="DEEAF6" w:themeFill="accent1" w:themeFillTint="33"/>
          </w:tcPr>
          <w:p w:rsidR="00D307A2" w:rsidRPr="00FA76A9" w:rsidRDefault="00D307A2" w:rsidP="00EA4BE1">
            <w:pPr>
              <w:spacing w:after="0"/>
              <w:contextualSpacing/>
              <w:rPr>
                <w:rFonts w:eastAsiaTheme="minorHAnsi"/>
                <w:b/>
                <w:sz w:val="20"/>
                <w:szCs w:val="20"/>
                <w:lang w:eastAsia="en-US"/>
              </w:rPr>
            </w:pPr>
            <w:r w:rsidRPr="00FA76A9">
              <w:rPr>
                <w:rFonts w:eastAsiaTheme="minorHAnsi"/>
                <w:b/>
                <w:sz w:val="20"/>
                <w:szCs w:val="20"/>
                <w:lang w:eastAsia="en-US"/>
              </w:rPr>
              <w:t>R2 : Réduction de la part de bois énergie non-durable</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AC1526">
              <w:rPr>
                <w:rFonts w:eastAsiaTheme="minorHAnsi"/>
                <w:sz w:val="20"/>
                <w:szCs w:val="20"/>
                <w:lang w:eastAsia="en-US"/>
              </w:rPr>
              <w:t>ALE devant être sélectionnée par voie d’appel d’offres</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1 831 170</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AC1526">
              <w:rPr>
                <w:rFonts w:eastAsiaTheme="minorHAnsi"/>
                <w:sz w:val="20"/>
                <w:szCs w:val="20"/>
                <w:lang w:eastAsia="en-US"/>
              </w:rPr>
              <w:t>UC-PIF</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290 293</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spacing w:after="0"/>
              <w:contextualSpacing/>
              <w:rPr>
                <w:rFonts w:eastAsiaTheme="minorHAnsi"/>
                <w:sz w:val="20"/>
                <w:szCs w:val="20"/>
                <w:lang w:eastAsia="en-US"/>
              </w:rPr>
            </w:pPr>
            <w:r>
              <w:rPr>
                <w:rFonts w:eastAsiaTheme="minorHAnsi"/>
                <w:sz w:val="20"/>
                <w:szCs w:val="20"/>
                <w:lang w:eastAsia="en-US"/>
              </w:rPr>
              <w:t xml:space="preserve">Budget prévu pour </w:t>
            </w:r>
            <w:r w:rsidRPr="00AC1526">
              <w:rPr>
                <w:rFonts w:eastAsiaTheme="minorHAnsi"/>
                <w:sz w:val="20"/>
                <w:szCs w:val="20"/>
                <w:lang w:eastAsia="en-US"/>
              </w:rPr>
              <w:t>R2</w:t>
            </w:r>
          </w:p>
        </w:tc>
        <w:tc>
          <w:tcPr>
            <w:tcW w:w="627" w:type="pct"/>
            <w:shd w:val="clear" w:color="auto" w:fill="D9D9D9" w:themeFill="background1" w:themeFillShade="D9"/>
          </w:tcPr>
          <w:p w:rsidR="00D307A2" w:rsidRPr="00AC1526" w:rsidRDefault="00D307A2" w:rsidP="00EA4BE1">
            <w:pPr>
              <w:spacing w:after="0"/>
              <w:contextualSpacing/>
              <w:jc w:val="center"/>
              <w:rPr>
                <w:rFonts w:eastAsiaTheme="minorHAnsi"/>
                <w:b/>
                <w:sz w:val="20"/>
                <w:szCs w:val="20"/>
                <w:lang w:eastAsia="en-US"/>
              </w:rPr>
            </w:pPr>
            <w:r>
              <w:rPr>
                <w:rFonts w:eastAsiaTheme="minorHAnsi"/>
                <w:b/>
                <w:sz w:val="20"/>
                <w:szCs w:val="20"/>
                <w:lang w:eastAsia="en-US"/>
              </w:rPr>
              <w:t>2 121 463</w:t>
            </w:r>
          </w:p>
        </w:tc>
      </w:tr>
      <w:tr w:rsidR="00D307A2" w:rsidRPr="004E7C36" w:rsidTr="00EA4BE1">
        <w:trPr>
          <w:trHeight w:val="70"/>
        </w:trPr>
        <w:tc>
          <w:tcPr>
            <w:tcW w:w="5000" w:type="pct"/>
            <w:gridSpan w:val="2"/>
            <w:shd w:val="clear" w:color="auto" w:fill="DEEAF6" w:themeFill="accent1" w:themeFillTint="33"/>
          </w:tcPr>
          <w:p w:rsidR="00D307A2" w:rsidRPr="00AC1526" w:rsidRDefault="00D307A2" w:rsidP="00EA4BE1">
            <w:pPr>
              <w:spacing w:after="0"/>
              <w:contextualSpacing/>
              <w:rPr>
                <w:rFonts w:eastAsiaTheme="minorHAnsi"/>
                <w:b/>
                <w:sz w:val="20"/>
                <w:szCs w:val="20"/>
                <w:lang w:eastAsia="en-US"/>
              </w:rPr>
            </w:pPr>
            <w:r w:rsidRPr="006A1CFA">
              <w:rPr>
                <w:rFonts w:eastAsiaTheme="minorHAnsi"/>
                <w:b/>
                <w:sz w:val="20"/>
                <w:szCs w:val="20"/>
                <w:lang w:eastAsia="en-US"/>
              </w:rPr>
              <w:t>Effet 3 : La déforestation et la dégradation issues de l’exploitation des forêts est réduite grâce à une gestion plus durable</w:t>
            </w:r>
          </w:p>
        </w:tc>
      </w:tr>
      <w:tr w:rsidR="00D307A2" w:rsidRPr="004E7C36" w:rsidTr="00EA4BE1">
        <w:trPr>
          <w:trHeight w:val="70"/>
        </w:trPr>
        <w:tc>
          <w:tcPr>
            <w:tcW w:w="5000" w:type="pct"/>
            <w:gridSpan w:val="2"/>
            <w:shd w:val="clear" w:color="auto" w:fill="DEEAF6" w:themeFill="accent1" w:themeFillTint="33"/>
          </w:tcPr>
          <w:p w:rsidR="00D307A2" w:rsidRPr="00FA76A9" w:rsidRDefault="00D307A2" w:rsidP="00EA4BE1">
            <w:pPr>
              <w:spacing w:after="0"/>
              <w:contextualSpacing/>
              <w:rPr>
                <w:rFonts w:eastAsiaTheme="minorHAnsi"/>
                <w:sz w:val="20"/>
                <w:szCs w:val="20"/>
                <w:lang w:eastAsia="en-US"/>
              </w:rPr>
            </w:pPr>
            <w:r w:rsidRPr="00AC1526">
              <w:rPr>
                <w:rFonts w:eastAsiaTheme="minorHAnsi"/>
                <w:b/>
                <w:sz w:val="20"/>
                <w:szCs w:val="20"/>
                <w:lang w:eastAsia="en-US"/>
              </w:rPr>
              <w:t>R3 : Gestion durable des forêts</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AC1526">
              <w:rPr>
                <w:rFonts w:eastAsiaTheme="minorHAnsi"/>
                <w:sz w:val="20"/>
                <w:szCs w:val="20"/>
                <w:lang w:eastAsia="en-US"/>
              </w:rPr>
              <w:t>ALE devant être sélectionnée par voie d’appel d’offres</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203 463</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AC1526">
              <w:rPr>
                <w:rFonts w:eastAsiaTheme="minorHAnsi"/>
                <w:sz w:val="20"/>
                <w:szCs w:val="20"/>
                <w:lang w:eastAsia="en-US"/>
              </w:rPr>
              <w:t>UC-PIF</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32 255</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spacing w:after="0"/>
              <w:contextualSpacing/>
              <w:rPr>
                <w:rFonts w:eastAsiaTheme="minorHAnsi"/>
                <w:sz w:val="20"/>
                <w:szCs w:val="20"/>
                <w:lang w:eastAsia="en-US"/>
              </w:rPr>
            </w:pPr>
            <w:r w:rsidRPr="00AC1526">
              <w:rPr>
                <w:rFonts w:eastAsiaTheme="minorHAnsi"/>
                <w:sz w:val="20"/>
                <w:szCs w:val="20"/>
                <w:lang w:eastAsia="en-US"/>
              </w:rPr>
              <w:t>Budget prévu pour R</w:t>
            </w:r>
            <w:r>
              <w:rPr>
                <w:rFonts w:eastAsiaTheme="minorHAnsi"/>
                <w:sz w:val="20"/>
                <w:szCs w:val="20"/>
                <w:lang w:eastAsia="en-US"/>
              </w:rPr>
              <w:t>3</w:t>
            </w:r>
          </w:p>
        </w:tc>
        <w:tc>
          <w:tcPr>
            <w:tcW w:w="627" w:type="pct"/>
            <w:shd w:val="clear" w:color="auto" w:fill="D9D9D9" w:themeFill="background1" w:themeFillShade="D9"/>
          </w:tcPr>
          <w:p w:rsidR="00D307A2" w:rsidRPr="00AC1526" w:rsidRDefault="00D307A2" w:rsidP="00EA4BE1">
            <w:pPr>
              <w:spacing w:after="0"/>
              <w:contextualSpacing/>
              <w:jc w:val="center"/>
              <w:rPr>
                <w:rFonts w:eastAsiaTheme="minorHAnsi"/>
                <w:b/>
                <w:sz w:val="20"/>
                <w:szCs w:val="20"/>
                <w:lang w:eastAsia="en-US"/>
              </w:rPr>
            </w:pPr>
            <w:r>
              <w:rPr>
                <w:rFonts w:eastAsiaTheme="minorHAnsi"/>
                <w:b/>
                <w:sz w:val="20"/>
                <w:szCs w:val="20"/>
                <w:lang w:eastAsia="en-US"/>
              </w:rPr>
              <w:t>235 718</w:t>
            </w:r>
          </w:p>
        </w:tc>
      </w:tr>
      <w:tr w:rsidR="00D307A2" w:rsidRPr="004E7C36" w:rsidTr="00EA4BE1">
        <w:trPr>
          <w:trHeight w:val="70"/>
        </w:trPr>
        <w:tc>
          <w:tcPr>
            <w:tcW w:w="5000" w:type="pct"/>
            <w:gridSpan w:val="2"/>
            <w:shd w:val="clear" w:color="auto" w:fill="DEEAF6" w:themeFill="accent1" w:themeFillTint="33"/>
          </w:tcPr>
          <w:p w:rsidR="00D307A2" w:rsidRDefault="00D307A2" w:rsidP="00EA4BE1">
            <w:pPr>
              <w:spacing w:after="0"/>
              <w:contextualSpacing/>
              <w:rPr>
                <w:rFonts w:eastAsiaTheme="minorHAnsi"/>
                <w:b/>
                <w:sz w:val="20"/>
                <w:szCs w:val="20"/>
                <w:lang w:eastAsia="en-US"/>
              </w:rPr>
            </w:pPr>
            <w:r w:rsidRPr="006A1CFA">
              <w:rPr>
                <w:rFonts w:eastAsiaTheme="minorHAnsi"/>
                <w:b/>
                <w:sz w:val="20"/>
                <w:szCs w:val="20"/>
                <w:lang w:eastAsia="en-US"/>
              </w:rPr>
              <w:t>Effet 5 : Les activités humaines sont mieux planifiées permettant une optimisation de l’utilisation de l’espace et une diminution de leur impact sur les forêts</w:t>
            </w:r>
          </w:p>
        </w:tc>
      </w:tr>
      <w:tr w:rsidR="00D307A2" w:rsidRPr="004E7C36" w:rsidTr="00EA4BE1">
        <w:trPr>
          <w:trHeight w:val="70"/>
        </w:trPr>
        <w:tc>
          <w:tcPr>
            <w:tcW w:w="5000" w:type="pct"/>
            <w:gridSpan w:val="2"/>
            <w:shd w:val="clear" w:color="auto" w:fill="DEEAF6" w:themeFill="accent1" w:themeFillTint="33"/>
          </w:tcPr>
          <w:p w:rsidR="00D307A2" w:rsidRPr="00C1687E" w:rsidRDefault="00D307A2" w:rsidP="00EA4BE1">
            <w:pPr>
              <w:spacing w:after="0"/>
              <w:contextualSpacing/>
              <w:rPr>
                <w:rFonts w:eastAsiaTheme="minorHAnsi"/>
                <w:b/>
                <w:sz w:val="20"/>
                <w:szCs w:val="20"/>
                <w:lang w:eastAsia="en-US"/>
              </w:rPr>
            </w:pPr>
            <w:r>
              <w:rPr>
                <w:rFonts w:eastAsiaTheme="minorHAnsi"/>
                <w:b/>
                <w:sz w:val="20"/>
                <w:szCs w:val="20"/>
                <w:lang w:eastAsia="en-US"/>
              </w:rPr>
              <w:t>R5</w:t>
            </w:r>
            <w:r w:rsidRPr="00C1687E">
              <w:rPr>
                <w:rFonts w:eastAsiaTheme="minorHAnsi"/>
                <w:b/>
                <w:sz w:val="20"/>
                <w:szCs w:val="20"/>
                <w:lang w:eastAsia="en-US"/>
              </w:rPr>
              <w:t xml:space="preserve"> : Aménagement du Territoire  </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123 783</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19 623</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lastRenderedPageBreak/>
              <w:t>Budget prévu pour R</w:t>
            </w:r>
            <w:r>
              <w:rPr>
                <w:rFonts w:eastAsiaTheme="minorHAnsi"/>
                <w:sz w:val="20"/>
                <w:szCs w:val="20"/>
                <w:lang w:eastAsia="en-US"/>
              </w:rPr>
              <w:t>5</w:t>
            </w:r>
          </w:p>
        </w:tc>
        <w:tc>
          <w:tcPr>
            <w:tcW w:w="627" w:type="pct"/>
            <w:shd w:val="clear" w:color="auto" w:fill="D9D9D9" w:themeFill="background1" w:themeFillShade="D9"/>
          </w:tcPr>
          <w:p w:rsidR="00D307A2" w:rsidRPr="00C1687E" w:rsidRDefault="00D307A2" w:rsidP="00EA4BE1">
            <w:pPr>
              <w:spacing w:after="0"/>
              <w:contextualSpacing/>
              <w:jc w:val="center"/>
              <w:rPr>
                <w:rFonts w:eastAsiaTheme="minorHAnsi"/>
                <w:b/>
                <w:sz w:val="20"/>
                <w:szCs w:val="20"/>
                <w:lang w:eastAsia="en-US"/>
              </w:rPr>
            </w:pPr>
            <w:r>
              <w:rPr>
                <w:rFonts w:eastAsiaTheme="minorHAnsi"/>
                <w:b/>
                <w:sz w:val="20"/>
                <w:szCs w:val="20"/>
                <w:lang w:eastAsia="en-US"/>
              </w:rPr>
              <w:t>143 407</w:t>
            </w:r>
          </w:p>
        </w:tc>
      </w:tr>
      <w:tr w:rsidR="00D307A2" w:rsidRPr="004E7C36" w:rsidTr="00EA4BE1">
        <w:trPr>
          <w:trHeight w:val="70"/>
        </w:trPr>
        <w:tc>
          <w:tcPr>
            <w:tcW w:w="5000" w:type="pct"/>
            <w:gridSpan w:val="2"/>
            <w:shd w:val="clear" w:color="auto" w:fill="DEEAF6" w:themeFill="accent1" w:themeFillTint="33"/>
          </w:tcPr>
          <w:p w:rsidR="00D307A2" w:rsidRPr="00C1687E" w:rsidRDefault="00D307A2" w:rsidP="00EA4BE1">
            <w:pPr>
              <w:spacing w:after="0"/>
              <w:contextualSpacing/>
              <w:rPr>
                <w:rFonts w:eastAsiaTheme="minorHAnsi"/>
                <w:b/>
                <w:sz w:val="20"/>
                <w:szCs w:val="20"/>
                <w:lang w:eastAsia="en-US"/>
              </w:rPr>
            </w:pPr>
            <w:r w:rsidRPr="006A1CFA">
              <w:rPr>
                <w:rFonts w:eastAsiaTheme="minorHAnsi"/>
                <w:b/>
                <w:sz w:val="20"/>
                <w:szCs w:val="20"/>
                <w:lang w:eastAsia="en-US"/>
              </w:rPr>
              <w:t>Effet 6 : Les droits fonciers permettent l’évolution durable de l’exploitation forestière et agricole</w:t>
            </w:r>
          </w:p>
        </w:tc>
      </w:tr>
      <w:tr w:rsidR="00D307A2" w:rsidRPr="004E7C36" w:rsidTr="00EA4BE1">
        <w:trPr>
          <w:trHeight w:val="70"/>
        </w:trPr>
        <w:tc>
          <w:tcPr>
            <w:tcW w:w="5000" w:type="pct"/>
            <w:gridSpan w:val="2"/>
            <w:shd w:val="clear" w:color="auto" w:fill="DEEAF6" w:themeFill="accent1" w:themeFillTint="33"/>
          </w:tcPr>
          <w:p w:rsidR="00D307A2" w:rsidRPr="00FA76A9" w:rsidRDefault="00D307A2" w:rsidP="00EA4BE1">
            <w:pPr>
              <w:spacing w:after="0"/>
              <w:contextualSpacing/>
              <w:rPr>
                <w:rFonts w:eastAsiaTheme="minorHAnsi"/>
                <w:sz w:val="20"/>
                <w:szCs w:val="20"/>
                <w:lang w:eastAsia="en-US"/>
              </w:rPr>
            </w:pPr>
            <w:r w:rsidRPr="00C1687E">
              <w:rPr>
                <w:rFonts w:eastAsiaTheme="minorHAnsi"/>
                <w:b/>
                <w:sz w:val="20"/>
                <w:szCs w:val="20"/>
                <w:lang w:eastAsia="en-US"/>
              </w:rPr>
              <w:t>R6 : Foncier</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D307A2" w:rsidRPr="00FA76A9" w:rsidRDefault="00D307A2" w:rsidP="00EA4BE1">
            <w:pPr>
              <w:spacing w:after="0"/>
              <w:contextualSpacing/>
              <w:jc w:val="center"/>
              <w:rPr>
                <w:rFonts w:eastAsiaTheme="minorHAnsi"/>
                <w:sz w:val="20"/>
                <w:szCs w:val="20"/>
                <w:lang w:eastAsia="en-US"/>
              </w:rPr>
            </w:pPr>
            <w:r w:rsidRPr="00D307A2">
              <w:rPr>
                <w:rFonts w:eastAsiaTheme="minorHAnsi"/>
                <w:sz w:val="20"/>
                <w:szCs w:val="20"/>
                <w:lang w:eastAsia="en-US"/>
              </w:rPr>
              <w:t>123 783</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D307A2" w:rsidRPr="00FA76A9" w:rsidRDefault="00D307A2" w:rsidP="00EA4BE1">
            <w:pPr>
              <w:spacing w:after="0"/>
              <w:contextualSpacing/>
              <w:jc w:val="center"/>
              <w:rPr>
                <w:rFonts w:eastAsiaTheme="minorHAnsi"/>
                <w:sz w:val="20"/>
                <w:szCs w:val="20"/>
                <w:lang w:eastAsia="en-US"/>
              </w:rPr>
            </w:pPr>
            <w:r w:rsidRPr="00D307A2">
              <w:rPr>
                <w:rFonts w:eastAsiaTheme="minorHAnsi"/>
                <w:sz w:val="20"/>
                <w:szCs w:val="20"/>
                <w:lang w:eastAsia="en-US"/>
              </w:rPr>
              <w:t>19 623</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6</w:t>
            </w:r>
          </w:p>
        </w:tc>
        <w:tc>
          <w:tcPr>
            <w:tcW w:w="627" w:type="pct"/>
            <w:shd w:val="clear" w:color="auto" w:fill="D9D9D9" w:themeFill="background1" w:themeFillShade="D9"/>
          </w:tcPr>
          <w:p w:rsidR="00D307A2" w:rsidRPr="00C1687E" w:rsidRDefault="00D307A2" w:rsidP="00EA4BE1">
            <w:pPr>
              <w:spacing w:after="0"/>
              <w:contextualSpacing/>
              <w:jc w:val="center"/>
              <w:rPr>
                <w:rFonts w:eastAsiaTheme="minorHAnsi"/>
                <w:b/>
                <w:sz w:val="20"/>
                <w:szCs w:val="20"/>
                <w:lang w:eastAsia="en-US"/>
              </w:rPr>
            </w:pPr>
            <w:r w:rsidRPr="00D307A2">
              <w:rPr>
                <w:rFonts w:eastAsiaTheme="minorHAnsi"/>
                <w:b/>
                <w:sz w:val="20"/>
                <w:szCs w:val="20"/>
                <w:lang w:eastAsia="en-US"/>
              </w:rPr>
              <w:t>143 407</w:t>
            </w:r>
          </w:p>
        </w:tc>
      </w:tr>
      <w:tr w:rsidR="00D307A2" w:rsidRPr="004E7C36" w:rsidTr="00EA4BE1">
        <w:trPr>
          <w:trHeight w:val="70"/>
        </w:trPr>
        <w:tc>
          <w:tcPr>
            <w:tcW w:w="5000" w:type="pct"/>
            <w:gridSpan w:val="2"/>
            <w:shd w:val="clear" w:color="auto" w:fill="DEEAF6" w:themeFill="accent1" w:themeFillTint="33"/>
          </w:tcPr>
          <w:p w:rsidR="00D307A2" w:rsidRPr="00C1687E" w:rsidRDefault="00D307A2" w:rsidP="00EA4BE1">
            <w:pPr>
              <w:spacing w:after="0"/>
              <w:contextualSpacing/>
              <w:rPr>
                <w:rFonts w:eastAsiaTheme="minorHAnsi"/>
                <w:b/>
                <w:sz w:val="20"/>
                <w:szCs w:val="20"/>
                <w:lang w:eastAsia="en-US"/>
              </w:rPr>
            </w:pPr>
            <w:r w:rsidRPr="006A1CFA">
              <w:rPr>
                <w:rFonts w:eastAsiaTheme="minorHAnsi"/>
                <w:b/>
                <w:sz w:val="20"/>
                <w:szCs w:val="20"/>
                <w:lang w:eastAsia="en-US"/>
              </w:rPr>
              <w:t>Effet 7 : La pression humaine sur les forêts, liée aux phénomènes migratoires et à la dynamique démographique, est réduite</w:t>
            </w:r>
          </w:p>
        </w:tc>
      </w:tr>
      <w:tr w:rsidR="00D307A2" w:rsidRPr="004E7C36" w:rsidTr="00EA4BE1">
        <w:trPr>
          <w:trHeight w:val="70"/>
        </w:trPr>
        <w:tc>
          <w:tcPr>
            <w:tcW w:w="5000" w:type="pct"/>
            <w:gridSpan w:val="2"/>
            <w:shd w:val="clear" w:color="auto" w:fill="DEEAF6" w:themeFill="accent1" w:themeFillTint="33"/>
          </w:tcPr>
          <w:p w:rsidR="00D307A2" w:rsidRPr="00FA76A9" w:rsidRDefault="00D307A2" w:rsidP="00EA4BE1">
            <w:pPr>
              <w:spacing w:after="0"/>
              <w:contextualSpacing/>
              <w:rPr>
                <w:rFonts w:eastAsiaTheme="minorHAnsi"/>
                <w:sz w:val="20"/>
                <w:szCs w:val="20"/>
                <w:lang w:eastAsia="en-US"/>
              </w:rPr>
            </w:pPr>
            <w:r w:rsidRPr="00C1687E">
              <w:rPr>
                <w:rFonts w:eastAsiaTheme="minorHAnsi"/>
                <w:b/>
                <w:sz w:val="20"/>
                <w:szCs w:val="20"/>
                <w:lang w:eastAsia="en-US"/>
              </w:rPr>
              <w:t>R7 : Démographie</w:t>
            </w:r>
          </w:p>
        </w:tc>
      </w:tr>
      <w:tr w:rsidR="00D307A2" w:rsidRPr="004E7C36" w:rsidTr="00EA4BE1">
        <w:trPr>
          <w:trHeight w:val="130"/>
        </w:trPr>
        <w:tc>
          <w:tcPr>
            <w:tcW w:w="4373" w:type="pct"/>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ALE devant être sélectionnée par voie d’appel d’offres</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159 927</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UC-PIF</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25 353</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spacing w:after="0"/>
              <w:contextualSpacing/>
              <w:rPr>
                <w:rFonts w:eastAsiaTheme="minorHAnsi"/>
                <w:sz w:val="20"/>
                <w:szCs w:val="20"/>
                <w:lang w:eastAsia="en-US"/>
              </w:rPr>
            </w:pPr>
            <w:r w:rsidRPr="00C1687E">
              <w:rPr>
                <w:rFonts w:eastAsiaTheme="minorHAnsi"/>
                <w:sz w:val="20"/>
                <w:szCs w:val="20"/>
                <w:lang w:eastAsia="en-US"/>
              </w:rPr>
              <w:t>Budget prévu pour R</w:t>
            </w:r>
            <w:r>
              <w:rPr>
                <w:rFonts w:eastAsiaTheme="minorHAnsi"/>
                <w:sz w:val="20"/>
                <w:szCs w:val="20"/>
                <w:lang w:eastAsia="en-US"/>
              </w:rPr>
              <w:t>7</w:t>
            </w:r>
          </w:p>
        </w:tc>
        <w:tc>
          <w:tcPr>
            <w:tcW w:w="627" w:type="pct"/>
            <w:shd w:val="clear" w:color="auto" w:fill="D9D9D9" w:themeFill="background1" w:themeFillShade="D9"/>
          </w:tcPr>
          <w:p w:rsidR="00D307A2" w:rsidRPr="00C1687E" w:rsidRDefault="00D307A2" w:rsidP="00EA4BE1">
            <w:pPr>
              <w:spacing w:after="0"/>
              <w:contextualSpacing/>
              <w:jc w:val="center"/>
              <w:rPr>
                <w:rFonts w:eastAsiaTheme="minorHAnsi"/>
                <w:b/>
                <w:sz w:val="20"/>
                <w:szCs w:val="20"/>
                <w:lang w:eastAsia="en-US"/>
              </w:rPr>
            </w:pPr>
            <w:r>
              <w:rPr>
                <w:rFonts w:eastAsiaTheme="minorHAnsi"/>
                <w:b/>
                <w:sz w:val="20"/>
                <w:szCs w:val="20"/>
                <w:lang w:eastAsia="en-US"/>
              </w:rPr>
              <w:t>185 280</w:t>
            </w:r>
          </w:p>
        </w:tc>
      </w:tr>
      <w:tr w:rsidR="00D307A2" w:rsidRPr="004E7C36" w:rsidTr="00EA4BE1">
        <w:trPr>
          <w:trHeight w:val="70"/>
        </w:trPr>
        <w:tc>
          <w:tcPr>
            <w:tcW w:w="5000" w:type="pct"/>
            <w:gridSpan w:val="2"/>
            <w:shd w:val="clear" w:color="auto" w:fill="DEEAF6" w:themeFill="accent1" w:themeFillTint="33"/>
          </w:tcPr>
          <w:p w:rsidR="00D307A2" w:rsidRPr="00C1687E" w:rsidRDefault="00D307A2" w:rsidP="00EA4BE1">
            <w:pPr>
              <w:spacing w:after="0"/>
              <w:contextualSpacing/>
              <w:rPr>
                <w:rFonts w:eastAsiaTheme="minorHAnsi"/>
                <w:b/>
                <w:sz w:val="20"/>
                <w:szCs w:val="20"/>
                <w:lang w:eastAsia="en-US"/>
              </w:rPr>
            </w:pPr>
            <w:r w:rsidRPr="006A1CFA">
              <w:rPr>
                <w:rFonts w:eastAsiaTheme="minorHAnsi"/>
                <w:b/>
                <w:sz w:val="20"/>
                <w:szCs w:val="20"/>
                <w:lang w:eastAsia="en-US"/>
              </w:rPr>
              <w:t>Effet 8 : La bonne gouvernance est assurée permettant une mise en œuvre effective, transversale et intégrée, transparente, équitable et durable de REDD+, basée sur les résultats, et intégrant l’information, la consultation, la participation et l’appropriation de toutes les parties prenantes, y compris équitablement entre les femmes et les hommes</w:t>
            </w:r>
          </w:p>
        </w:tc>
      </w:tr>
      <w:tr w:rsidR="00D307A2" w:rsidRPr="004E7C36" w:rsidTr="00EA4BE1">
        <w:trPr>
          <w:trHeight w:val="70"/>
        </w:trPr>
        <w:tc>
          <w:tcPr>
            <w:tcW w:w="5000" w:type="pct"/>
            <w:gridSpan w:val="2"/>
            <w:shd w:val="clear" w:color="auto" w:fill="DEEAF6" w:themeFill="accent1" w:themeFillTint="33"/>
          </w:tcPr>
          <w:p w:rsidR="00D307A2" w:rsidRPr="00FA76A9" w:rsidRDefault="00D307A2" w:rsidP="00EA4BE1">
            <w:pPr>
              <w:spacing w:after="0"/>
              <w:contextualSpacing/>
              <w:rPr>
                <w:rFonts w:eastAsiaTheme="minorHAnsi"/>
                <w:sz w:val="20"/>
                <w:szCs w:val="20"/>
                <w:lang w:eastAsia="en-US"/>
              </w:rPr>
            </w:pPr>
            <w:r w:rsidRPr="00C1687E">
              <w:rPr>
                <w:rFonts w:eastAsiaTheme="minorHAnsi"/>
                <w:b/>
                <w:sz w:val="20"/>
                <w:szCs w:val="20"/>
                <w:lang w:eastAsia="en-US"/>
              </w:rPr>
              <w:t>R8 : Gouvernance</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542C30">
              <w:rPr>
                <w:rFonts w:eastAsiaTheme="minorHAnsi"/>
                <w:sz w:val="20"/>
                <w:szCs w:val="20"/>
                <w:lang w:eastAsia="en-US"/>
              </w:rPr>
              <w:t>ALE devant être sélectionnée par voie d’appel d’offres</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185 515</w:t>
            </w:r>
          </w:p>
        </w:tc>
      </w:tr>
      <w:tr w:rsidR="00D307A2" w:rsidRPr="004E7C36" w:rsidTr="00EA4BE1">
        <w:trPr>
          <w:trHeight w:val="70"/>
        </w:trPr>
        <w:tc>
          <w:tcPr>
            <w:tcW w:w="4373" w:type="pct"/>
          </w:tcPr>
          <w:p w:rsidR="00D307A2" w:rsidRPr="00FA76A9" w:rsidRDefault="00D307A2" w:rsidP="00EA4BE1">
            <w:pPr>
              <w:spacing w:after="0"/>
              <w:contextualSpacing/>
              <w:rPr>
                <w:rFonts w:eastAsiaTheme="minorHAnsi"/>
                <w:sz w:val="20"/>
                <w:szCs w:val="20"/>
                <w:lang w:eastAsia="en-US"/>
              </w:rPr>
            </w:pPr>
            <w:r w:rsidRPr="00542C30">
              <w:rPr>
                <w:rFonts w:eastAsiaTheme="minorHAnsi"/>
                <w:sz w:val="20"/>
                <w:szCs w:val="20"/>
                <w:lang w:eastAsia="en-US"/>
              </w:rPr>
              <w:t>UC-PIF</w:t>
            </w:r>
          </w:p>
        </w:tc>
        <w:tc>
          <w:tcPr>
            <w:tcW w:w="627" w:type="pct"/>
          </w:tcPr>
          <w:p w:rsidR="00D307A2" w:rsidRPr="00FA76A9" w:rsidRDefault="00D307A2" w:rsidP="00EA4BE1">
            <w:pPr>
              <w:spacing w:after="0"/>
              <w:contextualSpacing/>
              <w:jc w:val="center"/>
              <w:rPr>
                <w:rFonts w:eastAsiaTheme="minorHAnsi"/>
                <w:sz w:val="20"/>
                <w:szCs w:val="20"/>
                <w:lang w:eastAsia="en-US"/>
              </w:rPr>
            </w:pPr>
            <w:r>
              <w:rPr>
                <w:rFonts w:eastAsiaTheme="minorHAnsi"/>
                <w:sz w:val="20"/>
                <w:szCs w:val="20"/>
                <w:lang w:eastAsia="en-US"/>
              </w:rPr>
              <w:t>29 409</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spacing w:after="0"/>
              <w:contextualSpacing/>
              <w:rPr>
                <w:rFonts w:eastAsiaTheme="minorHAnsi"/>
                <w:sz w:val="20"/>
                <w:szCs w:val="20"/>
                <w:lang w:eastAsia="en-US"/>
              </w:rPr>
            </w:pPr>
            <w:r w:rsidRPr="00542C30">
              <w:rPr>
                <w:rFonts w:eastAsiaTheme="minorHAnsi"/>
                <w:sz w:val="20"/>
                <w:szCs w:val="20"/>
                <w:lang w:eastAsia="en-US"/>
              </w:rPr>
              <w:t>Budget prévu pour R</w:t>
            </w:r>
            <w:r>
              <w:rPr>
                <w:rFonts w:eastAsiaTheme="minorHAnsi"/>
                <w:sz w:val="20"/>
                <w:szCs w:val="20"/>
                <w:lang w:eastAsia="en-US"/>
              </w:rPr>
              <w:t>8</w:t>
            </w:r>
          </w:p>
        </w:tc>
        <w:tc>
          <w:tcPr>
            <w:tcW w:w="627" w:type="pct"/>
            <w:shd w:val="clear" w:color="auto" w:fill="D9D9D9" w:themeFill="background1" w:themeFillShade="D9"/>
          </w:tcPr>
          <w:p w:rsidR="00D307A2" w:rsidRPr="00542C30" w:rsidRDefault="00D307A2" w:rsidP="00EA4BE1">
            <w:pPr>
              <w:spacing w:after="0"/>
              <w:contextualSpacing/>
              <w:jc w:val="center"/>
              <w:rPr>
                <w:rFonts w:eastAsiaTheme="minorHAnsi"/>
                <w:b/>
                <w:sz w:val="20"/>
                <w:szCs w:val="20"/>
                <w:lang w:eastAsia="en-US"/>
              </w:rPr>
            </w:pPr>
            <w:r>
              <w:rPr>
                <w:rFonts w:eastAsiaTheme="minorHAnsi"/>
                <w:b/>
                <w:sz w:val="20"/>
                <w:szCs w:val="20"/>
                <w:lang w:eastAsia="en-US"/>
              </w:rPr>
              <w:t>214 925</w:t>
            </w:r>
          </w:p>
        </w:tc>
      </w:tr>
      <w:tr w:rsidR="00D307A2" w:rsidRPr="004E7C36" w:rsidTr="00EA4BE1">
        <w:trPr>
          <w:trHeight w:val="70"/>
        </w:trPr>
        <w:tc>
          <w:tcPr>
            <w:tcW w:w="5000" w:type="pct"/>
            <w:gridSpan w:val="2"/>
            <w:shd w:val="clear" w:color="auto" w:fill="DEEAF6" w:themeFill="accent1" w:themeFillTint="33"/>
          </w:tcPr>
          <w:p w:rsidR="00D307A2" w:rsidRDefault="00D307A2" w:rsidP="00EA4BE1">
            <w:pPr>
              <w:spacing w:after="0"/>
              <w:contextualSpacing/>
              <w:rPr>
                <w:rFonts w:eastAsiaTheme="minorHAnsi"/>
                <w:b/>
                <w:sz w:val="20"/>
                <w:szCs w:val="20"/>
                <w:lang w:eastAsia="en-US"/>
              </w:rPr>
            </w:pPr>
            <w:r>
              <w:rPr>
                <w:rFonts w:eastAsiaTheme="minorHAnsi"/>
                <w:b/>
                <w:sz w:val="20"/>
                <w:szCs w:val="20"/>
                <w:lang w:eastAsia="en-US"/>
              </w:rPr>
              <w:t>Autres effets</w:t>
            </w:r>
          </w:p>
        </w:tc>
      </w:tr>
      <w:tr w:rsidR="00D307A2" w:rsidRPr="004E7C36" w:rsidTr="00EA4BE1">
        <w:trPr>
          <w:trHeight w:val="70"/>
        </w:trPr>
        <w:tc>
          <w:tcPr>
            <w:tcW w:w="5000" w:type="pct"/>
            <w:gridSpan w:val="2"/>
            <w:shd w:val="clear" w:color="auto" w:fill="DEEAF6" w:themeFill="accent1" w:themeFillTint="33"/>
          </w:tcPr>
          <w:p w:rsidR="00D307A2" w:rsidRPr="00542C30" w:rsidRDefault="00D307A2" w:rsidP="00EA4BE1">
            <w:pPr>
              <w:spacing w:after="0"/>
              <w:contextualSpacing/>
              <w:rPr>
                <w:rFonts w:eastAsiaTheme="minorHAnsi"/>
                <w:b/>
                <w:sz w:val="20"/>
                <w:szCs w:val="20"/>
                <w:lang w:eastAsia="en-US"/>
              </w:rPr>
            </w:pPr>
            <w:r>
              <w:rPr>
                <w:rFonts w:eastAsiaTheme="minorHAnsi"/>
                <w:b/>
                <w:sz w:val="20"/>
                <w:szCs w:val="20"/>
                <w:lang w:eastAsia="en-US"/>
              </w:rPr>
              <w:t>R9</w:t>
            </w:r>
            <w:r w:rsidRPr="00542C30">
              <w:rPr>
                <w:rFonts w:eastAsiaTheme="minorHAnsi"/>
                <w:b/>
                <w:sz w:val="20"/>
                <w:szCs w:val="20"/>
                <w:lang w:eastAsia="en-US"/>
              </w:rPr>
              <w:t xml:space="preserve"> : Peuples Autochtones</w:t>
            </w:r>
          </w:p>
        </w:tc>
      </w:tr>
      <w:tr w:rsidR="00D307A2" w:rsidRPr="004E7C36" w:rsidTr="00EA4BE1">
        <w:trPr>
          <w:trHeight w:val="70"/>
        </w:trPr>
        <w:tc>
          <w:tcPr>
            <w:tcW w:w="4373" w:type="pct"/>
          </w:tcPr>
          <w:p w:rsidR="00D307A2" w:rsidRPr="00FA76A9" w:rsidRDefault="00D307A2" w:rsidP="00EA4BE1">
            <w:pPr>
              <w:contextualSpacing/>
              <w:rPr>
                <w:rFonts w:eastAsiaTheme="minorHAnsi"/>
                <w:sz w:val="20"/>
                <w:szCs w:val="20"/>
                <w:lang w:eastAsia="en-US"/>
              </w:rPr>
            </w:pPr>
            <w:r w:rsidRPr="00542C30">
              <w:rPr>
                <w:rFonts w:eastAsiaTheme="minorHAnsi"/>
                <w:sz w:val="20"/>
                <w:szCs w:val="20"/>
                <w:lang w:eastAsia="en-US"/>
              </w:rPr>
              <w:t>ALE devant être sélectionnée par voie d’appel d’offres</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471 579</w:t>
            </w:r>
          </w:p>
        </w:tc>
      </w:tr>
      <w:tr w:rsidR="00D307A2" w:rsidRPr="004E7C36" w:rsidTr="00EA4BE1">
        <w:trPr>
          <w:trHeight w:val="70"/>
        </w:trPr>
        <w:tc>
          <w:tcPr>
            <w:tcW w:w="4373" w:type="pct"/>
          </w:tcPr>
          <w:p w:rsidR="00D307A2" w:rsidRPr="00542C30" w:rsidRDefault="00D307A2" w:rsidP="00EA4BE1">
            <w:pPr>
              <w:contextualSpacing/>
              <w:rPr>
                <w:rFonts w:eastAsiaTheme="minorHAnsi"/>
                <w:sz w:val="20"/>
                <w:szCs w:val="20"/>
                <w:lang w:eastAsia="en-US"/>
              </w:rPr>
            </w:pPr>
            <w:r>
              <w:rPr>
                <w:rFonts w:eastAsiaTheme="minorHAnsi"/>
                <w:sz w:val="20"/>
                <w:szCs w:val="20"/>
                <w:lang w:eastAsia="en-US"/>
              </w:rPr>
              <w:t>UC-PIF</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47 204</w:t>
            </w:r>
          </w:p>
        </w:tc>
      </w:tr>
      <w:tr w:rsidR="00D307A2" w:rsidRPr="004E7C36" w:rsidTr="00EA4BE1">
        <w:trPr>
          <w:trHeight w:val="70"/>
        </w:trPr>
        <w:tc>
          <w:tcPr>
            <w:tcW w:w="4373" w:type="pct"/>
            <w:shd w:val="clear" w:color="auto" w:fill="D9D9D9" w:themeFill="background1" w:themeFillShade="D9"/>
          </w:tcPr>
          <w:p w:rsidR="00D307A2" w:rsidRPr="00542C30" w:rsidRDefault="00D307A2" w:rsidP="00EA4BE1">
            <w:pPr>
              <w:contextualSpacing/>
              <w:rPr>
                <w:rFonts w:eastAsiaTheme="minorHAnsi"/>
                <w:sz w:val="20"/>
                <w:szCs w:val="20"/>
                <w:lang w:eastAsia="en-US"/>
              </w:rPr>
            </w:pPr>
            <w:r w:rsidRPr="00542C30">
              <w:rPr>
                <w:rFonts w:eastAsiaTheme="minorHAnsi"/>
                <w:sz w:val="20"/>
                <w:szCs w:val="20"/>
                <w:lang w:eastAsia="en-US"/>
              </w:rPr>
              <w:t>Budget prévu pour R</w:t>
            </w:r>
            <w:r>
              <w:rPr>
                <w:rFonts w:eastAsiaTheme="minorHAnsi"/>
                <w:sz w:val="20"/>
                <w:szCs w:val="20"/>
                <w:lang w:eastAsia="en-US"/>
              </w:rPr>
              <w:t>9</w:t>
            </w:r>
          </w:p>
        </w:tc>
        <w:tc>
          <w:tcPr>
            <w:tcW w:w="627" w:type="pct"/>
            <w:shd w:val="clear" w:color="auto" w:fill="D9D9D9" w:themeFill="background1" w:themeFillShade="D9"/>
          </w:tcPr>
          <w:p w:rsidR="00D307A2" w:rsidRPr="00257132" w:rsidRDefault="00D307A2" w:rsidP="00ED144B">
            <w:pPr>
              <w:contextualSpacing/>
              <w:jc w:val="center"/>
              <w:rPr>
                <w:rFonts w:eastAsiaTheme="minorHAnsi"/>
                <w:b/>
                <w:sz w:val="20"/>
                <w:szCs w:val="20"/>
                <w:lang w:eastAsia="en-US"/>
              </w:rPr>
            </w:pPr>
            <w:r>
              <w:rPr>
                <w:rFonts w:eastAsiaTheme="minorHAnsi"/>
                <w:b/>
                <w:sz w:val="20"/>
                <w:szCs w:val="20"/>
                <w:lang w:eastAsia="en-US"/>
              </w:rPr>
              <w:t>518 783</w:t>
            </w:r>
          </w:p>
        </w:tc>
      </w:tr>
      <w:tr w:rsidR="00D307A2" w:rsidRPr="004E7C36" w:rsidTr="00EA4BE1">
        <w:trPr>
          <w:trHeight w:val="76"/>
        </w:trPr>
        <w:tc>
          <w:tcPr>
            <w:tcW w:w="5000" w:type="pct"/>
            <w:gridSpan w:val="2"/>
            <w:shd w:val="clear" w:color="auto" w:fill="DEEAF6" w:themeFill="accent1" w:themeFillTint="33"/>
          </w:tcPr>
          <w:p w:rsidR="00D307A2" w:rsidRPr="008F115B" w:rsidRDefault="00D307A2" w:rsidP="00EA4BE1">
            <w:pPr>
              <w:contextualSpacing/>
              <w:rPr>
                <w:rFonts w:eastAsiaTheme="minorHAnsi"/>
                <w:b/>
                <w:sz w:val="20"/>
                <w:szCs w:val="20"/>
                <w:lang w:eastAsia="en-US"/>
              </w:rPr>
            </w:pPr>
            <w:r w:rsidRPr="008F115B">
              <w:rPr>
                <w:rFonts w:eastAsiaTheme="minorHAnsi"/>
                <w:b/>
                <w:sz w:val="20"/>
                <w:szCs w:val="20"/>
                <w:lang w:eastAsia="en-US"/>
              </w:rPr>
              <w:t>R10 Soutien au développement de filières (café, cacao, hévéa, huile de palme)</w:t>
            </w:r>
          </w:p>
        </w:tc>
      </w:tr>
      <w:tr w:rsidR="00D307A2" w:rsidRPr="004E7C36" w:rsidTr="00EA4BE1">
        <w:trPr>
          <w:trHeight w:val="70"/>
        </w:trPr>
        <w:tc>
          <w:tcPr>
            <w:tcW w:w="4373" w:type="pct"/>
          </w:tcPr>
          <w:p w:rsidR="00D307A2" w:rsidRPr="00542C30" w:rsidRDefault="00D307A2"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336 842</w:t>
            </w:r>
          </w:p>
        </w:tc>
      </w:tr>
      <w:tr w:rsidR="00D307A2" w:rsidRPr="004E7C36" w:rsidTr="00EA4BE1">
        <w:trPr>
          <w:trHeight w:val="70"/>
        </w:trPr>
        <w:tc>
          <w:tcPr>
            <w:tcW w:w="4373" w:type="pct"/>
          </w:tcPr>
          <w:p w:rsidR="00D307A2" w:rsidRPr="00542C30" w:rsidRDefault="00D307A2"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33 717</w:t>
            </w:r>
          </w:p>
        </w:tc>
      </w:tr>
      <w:tr w:rsidR="00D307A2" w:rsidRPr="004E7C36" w:rsidTr="00EA4BE1">
        <w:trPr>
          <w:trHeight w:val="70"/>
        </w:trPr>
        <w:tc>
          <w:tcPr>
            <w:tcW w:w="4373" w:type="pct"/>
            <w:shd w:val="clear" w:color="auto" w:fill="D9D9D9" w:themeFill="background1" w:themeFillShade="D9"/>
          </w:tcPr>
          <w:p w:rsidR="00D307A2" w:rsidRPr="00542C30" w:rsidRDefault="00D307A2" w:rsidP="00EA4BE1">
            <w:pPr>
              <w:contextualSpacing/>
              <w:rPr>
                <w:rFonts w:eastAsiaTheme="minorHAnsi"/>
                <w:sz w:val="20"/>
                <w:szCs w:val="20"/>
                <w:lang w:eastAsia="en-US"/>
              </w:rPr>
            </w:pPr>
            <w:r w:rsidRPr="008F115B">
              <w:rPr>
                <w:rFonts w:eastAsiaTheme="minorHAnsi"/>
                <w:sz w:val="20"/>
                <w:szCs w:val="20"/>
                <w:lang w:eastAsia="en-US"/>
              </w:rPr>
              <w:t>Budget prévu pour R</w:t>
            </w:r>
            <w:r>
              <w:rPr>
                <w:rFonts w:eastAsiaTheme="minorHAnsi"/>
                <w:sz w:val="20"/>
                <w:szCs w:val="20"/>
                <w:lang w:eastAsia="en-US"/>
              </w:rPr>
              <w:t>10</w:t>
            </w:r>
          </w:p>
        </w:tc>
        <w:tc>
          <w:tcPr>
            <w:tcW w:w="627" w:type="pct"/>
            <w:shd w:val="clear" w:color="auto" w:fill="D9D9D9" w:themeFill="background1" w:themeFillShade="D9"/>
          </w:tcPr>
          <w:p w:rsidR="00D307A2" w:rsidRPr="008F115B" w:rsidRDefault="00D307A2" w:rsidP="00EA4BE1">
            <w:pPr>
              <w:contextualSpacing/>
              <w:jc w:val="center"/>
              <w:rPr>
                <w:rFonts w:eastAsiaTheme="minorHAnsi"/>
                <w:b/>
                <w:sz w:val="20"/>
                <w:szCs w:val="20"/>
                <w:lang w:eastAsia="en-US"/>
              </w:rPr>
            </w:pPr>
            <w:r>
              <w:rPr>
                <w:rFonts w:eastAsiaTheme="minorHAnsi"/>
                <w:b/>
                <w:sz w:val="20"/>
                <w:szCs w:val="20"/>
                <w:lang w:eastAsia="en-US"/>
              </w:rPr>
              <w:t>370 560</w:t>
            </w:r>
          </w:p>
        </w:tc>
      </w:tr>
      <w:tr w:rsidR="00D307A2" w:rsidRPr="004E7C36" w:rsidTr="00EA4BE1">
        <w:trPr>
          <w:trHeight w:val="468"/>
        </w:trPr>
        <w:tc>
          <w:tcPr>
            <w:tcW w:w="5000" w:type="pct"/>
            <w:gridSpan w:val="2"/>
            <w:shd w:val="clear" w:color="auto" w:fill="DEEAF6" w:themeFill="accent1" w:themeFillTint="33"/>
          </w:tcPr>
          <w:p w:rsidR="00D307A2" w:rsidRPr="008F115B" w:rsidRDefault="00D307A2" w:rsidP="00EA4BE1">
            <w:pPr>
              <w:contextualSpacing/>
              <w:rPr>
                <w:rFonts w:eastAsiaTheme="minorHAnsi"/>
                <w:b/>
                <w:sz w:val="20"/>
                <w:szCs w:val="20"/>
                <w:lang w:eastAsia="en-US"/>
              </w:rPr>
            </w:pPr>
            <w:r w:rsidRPr="008F115B">
              <w:rPr>
                <w:rFonts w:eastAsiaTheme="minorHAnsi"/>
                <w:b/>
                <w:sz w:val="20"/>
                <w:szCs w:val="20"/>
                <w:lang w:eastAsia="en-US"/>
              </w:rPr>
              <w:t>R11 : Soutien au développement d'une pêche responsable et autres investissements pour soutenir la mise en œuvre des PDD (Création d’étangs piscicoles, etc.)</w:t>
            </w:r>
          </w:p>
        </w:tc>
      </w:tr>
      <w:tr w:rsidR="00D307A2" w:rsidRPr="004E7C36" w:rsidTr="00EA4BE1">
        <w:trPr>
          <w:trHeight w:val="70"/>
        </w:trPr>
        <w:tc>
          <w:tcPr>
            <w:tcW w:w="4373" w:type="pct"/>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370 526</w:t>
            </w:r>
          </w:p>
        </w:tc>
      </w:tr>
      <w:tr w:rsidR="00D307A2" w:rsidRPr="004E7C36" w:rsidTr="00EA4BE1">
        <w:trPr>
          <w:trHeight w:val="70"/>
        </w:trPr>
        <w:tc>
          <w:tcPr>
            <w:tcW w:w="4373" w:type="pct"/>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37 089</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Budget prévu pour R1</w:t>
            </w:r>
            <w:r>
              <w:rPr>
                <w:rFonts w:eastAsiaTheme="minorHAnsi"/>
                <w:sz w:val="20"/>
                <w:szCs w:val="20"/>
                <w:lang w:eastAsia="en-US"/>
              </w:rPr>
              <w:t>1</w:t>
            </w:r>
          </w:p>
        </w:tc>
        <w:tc>
          <w:tcPr>
            <w:tcW w:w="627" w:type="pct"/>
            <w:shd w:val="clear" w:color="auto" w:fill="D9D9D9" w:themeFill="background1" w:themeFillShade="D9"/>
          </w:tcPr>
          <w:p w:rsidR="00D307A2" w:rsidRPr="008F115B" w:rsidRDefault="00D307A2" w:rsidP="00EA4BE1">
            <w:pPr>
              <w:contextualSpacing/>
              <w:jc w:val="center"/>
              <w:rPr>
                <w:rFonts w:eastAsiaTheme="minorHAnsi"/>
                <w:b/>
                <w:sz w:val="20"/>
                <w:szCs w:val="20"/>
                <w:lang w:eastAsia="en-US"/>
              </w:rPr>
            </w:pPr>
            <w:r>
              <w:rPr>
                <w:rFonts w:eastAsiaTheme="minorHAnsi"/>
                <w:b/>
                <w:sz w:val="20"/>
                <w:szCs w:val="20"/>
                <w:lang w:eastAsia="en-US"/>
              </w:rPr>
              <w:t>407 615</w:t>
            </w:r>
          </w:p>
        </w:tc>
      </w:tr>
      <w:tr w:rsidR="00D307A2" w:rsidRPr="004E7C36" w:rsidTr="00EA4BE1">
        <w:trPr>
          <w:trHeight w:val="70"/>
        </w:trPr>
        <w:tc>
          <w:tcPr>
            <w:tcW w:w="5000" w:type="pct"/>
            <w:gridSpan w:val="2"/>
            <w:shd w:val="clear" w:color="auto" w:fill="DEEAF6" w:themeFill="accent1" w:themeFillTint="33"/>
          </w:tcPr>
          <w:p w:rsidR="00D307A2" w:rsidRPr="008F115B" w:rsidRDefault="00D307A2" w:rsidP="00EA4BE1">
            <w:pPr>
              <w:contextualSpacing/>
              <w:rPr>
                <w:rFonts w:eastAsiaTheme="minorHAnsi"/>
                <w:b/>
                <w:sz w:val="20"/>
                <w:szCs w:val="20"/>
                <w:lang w:eastAsia="en-US"/>
              </w:rPr>
            </w:pPr>
            <w:r w:rsidRPr="008F115B">
              <w:rPr>
                <w:rFonts w:eastAsiaTheme="minorHAnsi"/>
                <w:b/>
                <w:sz w:val="20"/>
                <w:szCs w:val="20"/>
                <w:lang w:eastAsia="en-US"/>
              </w:rPr>
              <w:t>R12 : Investissements structurants</w:t>
            </w:r>
          </w:p>
        </w:tc>
      </w:tr>
      <w:tr w:rsidR="00D307A2" w:rsidRPr="004E7C36" w:rsidTr="00EA4BE1">
        <w:trPr>
          <w:trHeight w:val="70"/>
        </w:trPr>
        <w:tc>
          <w:tcPr>
            <w:tcW w:w="4373" w:type="pct"/>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471 579</w:t>
            </w:r>
          </w:p>
        </w:tc>
      </w:tr>
      <w:tr w:rsidR="00D307A2" w:rsidRPr="004E7C36" w:rsidTr="00EA4BE1">
        <w:trPr>
          <w:trHeight w:val="70"/>
        </w:trPr>
        <w:tc>
          <w:tcPr>
            <w:tcW w:w="4373" w:type="pct"/>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47 204</w:t>
            </w:r>
          </w:p>
        </w:tc>
      </w:tr>
      <w:tr w:rsidR="00D307A2" w:rsidRPr="004E7C36" w:rsidTr="00EA4BE1">
        <w:trPr>
          <w:trHeight w:val="70"/>
        </w:trPr>
        <w:tc>
          <w:tcPr>
            <w:tcW w:w="4373" w:type="pct"/>
            <w:shd w:val="clear" w:color="auto" w:fill="D9D9D9" w:themeFill="background1" w:themeFillShade="D9"/>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Budget prévu pour R1</w:t>
            </w:r>
            <w:r>
              <w:rPr>
                <w:rFonts w:eastAsiaTheme="minorHAnsi"/>
                <w:sz w:val="20"/>
                <w:szCs w:val="20"/>
                <w:lang w:eastAsia="en-US"/>
              </w:rPr>
              <w:t>2</w:t>
            </w:r>
          </w:p>
        </w:tc>
        <w:tc>
          <w:tcPr>
            <w:tcW w:w="627" w:type="pct"/>
            <w:shd w:val="clear" w:color="auto" w:fill="D9D9D9" w:themeFill="background1" w:themeFillShade="D9"/>
          </w:tcPr>
          <w:p w:rsidR="00D307A2" w:rsidRPr="008F115B" w:rsidRDefault="00D307A2" w:rsidP="00EA4BE1">
            <w:pPr>
              <w:contextualSpacing/>
              <w:jc w:val="center"/>
              <w:rPr>
                <w:rFonts w:eastAsiaTheme="minorHAnsi"/>
                <w:b/>
                <w:sz w:val="20"/>
                <w:szCs w:val="20"/>
                <w:lang w:eastAsia="en-US"/>
              </w:rPr>
            </w:pPr>
            <w:r>
              <w:rPr>
                <w:rFonts w:eastAsiaTheme="minorHAnsi"/>
                <w:b/>
                <w:sz w:val="20"/>
                <w:szCs w:val="20"/>
                <w:lang w:eastAsia="en-US"/>
              </w:rPr>
              <w:t>518 783</w:t>
            </w:r>
          </w:p>
        </w:tc>
      </w:tr>
      <w:tr w:rsidR="00D307A2" w:rsidRPr="004E7C36" w:rsidTr="00EA4BE1">
        <w:trPr>
          <w:trHeight w:val="70"/>
        </w:trPr>
        <w:tc>
          <w:tcPr>
            <w:tcW w:w="5000" w:type="pct"/>
            <w:gridSpan w:val="2"/>
            <w:shd w:val="clear" w:color="auto" w:fill="DEEAF6" w:themeFill="accent1" w:themeFillTint="33"/>
          </w:tcPr>
          <w:p w:rsidR="00D307A2" w:rsidRPr="008F115B" w:rsidRDefault="00D307A2" w:rsidP="00EA4BE1">
            <w:pPr>
              <w:contextualSpacing/>
              <w:rPr>
                <w:rFonts w:eastAsiaTheme="minorHAnsi"/>
                <w:b/>
                <w:sz w:val="20"/>
                <w:szCs w:val="20"/>
                <w:lang w:eastAsia="en-US"/>
              </w:rPr>
            </w:pPr>
            <w:r w:rsidRPr="008F115B">
              <w:rPr>
                <w:rFonts w:eastAsiaTheme="minorHAnsi"/>
                <w:b/>
                <w:sz w:val="20"/>
                <w:szCs w:val="20"/>
                <w:lang w:eastAsia="en-US"/>
              </w:rPr>
              <w:t>Total budget (hors rémunération Banque mondiale)</w:t>
            </w:r>
          </w:p>
        </w:tc>
      </w:tr>
      <w:tr w:rsidR="00D307A2" w:rsidRPr="004E7C36" w:rsidTr="00EA4BE1">
        <w:trPr>
          <w:trHeight w:val="70"/>
        </w:trPr>
        <w:tc>
          <w:tcPr>
            <w:tcW w:w="4373" w:type="pct"/>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ALE devant être sélectionnée par voie d’appel d’offres</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7 877 435</w:t>
            </w:r>
          </w:p>
        </w:tc>
      </w:tr>
      <w:tr w:rsidR="00D307A2" w:rsidRPr="004E7C36" w:rsidTr="00EA4BE1">
        <w:trPr>
          <w:trHeight w:val="70"/>
        </w:trPr>
        <w:tc>
          <w:tcPr>
            <w:tcW w:w="4373" w:type="pct"/>
          </w:tcPr>
          <w:p w:rsidR="00D307A2" w:rsidRPr="00FA76A9" w:rsidRDefault="00D307A2" w:rsidP="00EA4BE1">
            <w:pPr>
              <w:contextualSpacing/>
              <w:rPr>
                <w:rFonts w:eastAsiaTheme="minorHAnsi"/>
                <w:sz w:val="20"/>
                <w:szCs w:val="20"/>
                <w:lang w:eastAsia="en-US"/>
              </w:rPr>
            </w:pPr>
            <w:r w:rsidRPr="008F115B">
              <w:rPr>
                <w:rFonts w:eastAsiaTheme="minorHAnsi"/>
                <w:sz w:val="20"/>
                <w:szCs w:val="20"/>
                <w:lang w:eastAsia="en-US"/>
              </w:rPr>
              <w:t>UC-PIF</w:t>
            </w:r>
          </w:p>
        </w:tc>
        <w:tc>
          <w:tcPr>
            <w:tcW w:w="627" w:type="pct"/>
          </w:tcPr>
          <w:p w:rsidR="00D307A2" w:rsidRPr="00FA76A9" w:rsidRDefault="00D307A2" w:rsidP="00EA4BE1">
            <w:pPr>
              <w:contextualSpacing/>
              <w:jc w:val="center"/>
              <w:rPr>
                <w:rFonts w:eastAsiaTheme="minorHAnsi"/>
                <w:sz w:val="20"/>
                <w:szCs w:val="20"/>
                <w:lang w:eastAsia="en-US"/>
              </w:rPr>
            </w:pPr>
            <w:r>
              <w:rPr>
                <w:rFonts w:eastAsiaTheme="minorHAnsi"/>
                <w:sz w:val="20"/>
                <w:szCs w:val="20"/>
                <w:lang w:eastAsia="en-US"/>
              </w:rPr>
              <w:t>1 152 359</w:t>
            </w:r>
          </w:p>
        </w:tc>
      </w:tr>
      <w:tr w:rsidR="00D307A2" w:rsidRPr="004E7C36" w:rsidTr="00EA4BE1">
        <w:trPr>
          <w:trHeight w:val="70"/>
        </w:trPr>
        <w:tc>
          <w:tcPr>
            <w:tcW w:w="4373" w:type="pct"/>
            <w:shd w:val="clear" w:color="auto" w:fill="D9D9D9" w:themeFill="background1" w:themeFillShade="D9"/>
          </w:tcPr>
          <w:p w:rsidR="00D307A2" w:rsidRPr="004E7C36" w:rsidRDefault="00D307A2" w:rsidP="00EA4BE1">
            <w:pPr>
              <w:contextualSpacing/>
              <w:rPr>
                <w:rFonts w:eastAsiaTheme="minorHAnsi"/>
                <w:b/>
                <w:sz w:val="20"/>
                <w:szCs w:val="20"/>
                <w:lang w:eastAsia="en-US"/>
              </w:rPr>
            </w:pPr>
            <w:r>
              <w:rPr>
                <w:rFonts w:eastAsiaTheme="minorHAnsi"/>
                <w:b/>
                <w:sz w:val="20"/>
                <w:szCs w:val="20"/>
                <w:lang w:eastAsia="en-US"/>
              </w:rPr>
              <w:t>Total</w:t>
            </w:r>
          </w:p>
        </w:tc>
        <w:tc>
          <w:tcPr>
            <w:tcW w:w="627" w:type="pct"/>
            <w:shd w:val="clear" w:color="auto" w:fill="D9D9D9" w:themeFill="background1" w:themeFillShade="D9"/>
          </w:tcPr>
          <w:p w:rsidR="00D307A2" w:rsidRPr="004E7C36" w:rsidRDefault="00D307A2" w:rsidP="00EA4BE1">
            <w:pPr>
              <w:contextualSpacing/>
              <w:rPr>
                <w:rFonts w:eastAsiaTheme="minorHAnsi"/>
                <w:b/>
                <w:sz w:val="20"/>
                <w:szCs w:val="20"/>
                <w:lang w:eastAsia="en-US"/>
              </w:rPr>
            </w:pPr>
            <w:r>
              <w:rPr>
                <w:rFonts w:eastAsiaTheme="minorHAnsi"/>
                <w:b/>
                <w:sz w:val="20"/>
                <w:szCs w:val="20"/>
                <w:lang w:eastAsia="en-US"/>
              </w:rPr>
              <w:t>9 029 794</w:t>
            </w:r>
          </w:p>
        </w:tc>
      </w:tr>
    </w:tbl>
    <w:p w:rsidR="00D307A2" w:rsidRPr="004E7C36" w:rsidRDefault="00D307A2" w:rsidP="00D307A2">
      <w:pPr>
        <w:spacing w:after="120"/>
        <w:contextualSpacing/>
        <w:jc w:val="both"/>
        <w:rPr>
          <w:rFonts w:eastAsiaTheme="minorHAnsi"/>
          <w:b/>
          <w:sz w:val="20"/>
          <w:szCs w:val="20"/>
          <w:lang w:eastAsia="en-US"/>
        </w:rPr>
      </w:pPr>
    </w:p>
    <w:p w:rsidR="00554D4F" w:rsidRDefault="00554D4F" w:rsidP="00554D4F">
      <w:pPr>
        <w:spacing w:after="120"/>
        <w:contextualSpacing/>
        <w:jc w:val="both"/>
        <w:rPr>
          <w:rFonts w:eastAsiaTheme="minorHAnsi"/>
          <w:b/>
          <w:sz w:val="20"/>
          <w:szCs w:val="20"/>
          <w:lang w:eastAsia="en-US"/>
        </w:rPr>
      </w:pPr>
    </w:p>
    <w:p w:rsidR="00D061C6" w:rsidRPr="004E7C36" w:rsidRDefault="00D061C6" w:rsidP="00554D4F">
      <w:pPr>
        <w:spacing w:after="120"/>
        <w:contextualSpacing/>
        <w:jc w:val="both"/>
        <w:rPr>
          <w:rFonts w:eastAsiaTheme="minorHAnsi"/>
          <w:b/>
          <w:sz w:val="20"/>
          <w:szCs w:val="20"/>
          <w:lang w:eastAsia="en-US"/>
        </w:rPr>
      </w:pPr>
    </w:p>
    <w:p w:rsidR="00986D23" w:rsidRDefault="00986D23">
      <w:pPr>
        <w:spacing w:after="160" w:line="259" w:lineRule="auto"/>
        <w:rPr>
          <w:rFonts w:eastAsiaTheme="minorHAnsi"/>
          <w:b/>
          <w:color w:val="2E74B5" w:themeColor="accent1" w:themeShade="BF"/>
          <w:sz w:val="20"/>
          <w:szCs w:val="20"/>
          <w:lang w:eastAsia="en-US"/>
        </w:rPr>
      </w:pPr>
      <w:r>
        <w:rPr>
          <w:rFonts w:eastAsiaTheme="minorHAnsi"/>
          <w:b/>
          <w:color w:val="2E74B5" w:themeColor="accent1" w:themeShade="BF"/>
          <w:sz w:val="20"/>
          <w:szCs w:val="20"/>
          <w:lang w:eastAsia="en-US"/>
        </w:rPr>
        <w:br w:type="page"/>
      </w:r>
    </w:p>
    <w:p w:rsidR="006A19CF" w:rsidRDefault="00554D4F" w:rsidP="00554D4F">
      <w:pPr>
        <w:contextualSpacing/>
        <w:rPr>
          <w:rFonts w:eastAsiaTheme="minorHAnsi"/>
          <w:b/>
          <w:color w:val="2F5496" w:themeColor="accent5" w:themeShade="BF"/>
          <w:sz w:val="20"/>
          <w:szCs w:val="20"/>
          <w:lang w:eastAsia="en-US"/>
        </w:rPr>
      </w:pPr>
      <w:r w:rsidRPr="006A19CF">
        <w:rPr>
          <w:rFonts w:eastAsiaTheme="minorHAnsi"/>
          <w:b/>
          <w:color w:val="2E74B5" w:themeColor="accent1" w:themeShade="BF"/>
          <w:sz w:val="20"/>
          <w:szCs w:val="20"/>
          <w:lang w:eastAsia="en-US"/>
        </w:rPr>
        <w:lastRenderedPageBreak/>
        <w:t>Budget</w:t>
      </w:r>
    </w:p>
    <w:p w:rsidR="00843B3A" w:rsidRDefault="006A19CF" w:rsidP="003B67E5">
      <w:pPr>
        <w:contextualSpacing/>
        <w:jc w:val="both"/>
        <w:rPr>
          <w:rFonts w:eastAsiaTheme="minorHAnsi"/>
          <w:color w:val="000000" w:themeColor="text1"/>
          <w:sz w:val="20"/>
          <w:szCs w:val="20"/>
          <w:lang w:eastAsia="en-US"/>
        </w:rPr>
      </w:pPr>
      <w:r>
        <w:rPr>
          <w:rFonts w:eastAsiaTheme="minorHAnsi"/>
          <w:color w:val="000000" w:themeColor="text1"/>
          <w:sz w:val="20"/>
          <w:szCs w:val="20"/>
          <w:lang w:eastAsia="en-US"/>
        </w:rPr>
        <w:t>Les 30</w:t>
      </w:r>
      <w:r w:rsidR="005730B9">
        <w:rPr>
          <w:rFonts w:eastAsiaTheme="minorHAnsi"/>
          <w:color w:val="000000" w:themeColor="text1"/>
          <w:sz w:val="20"/>
          <w:szCs w:val="20"/>
          <w:lang w:eastAsia="en-US"/>
        </w:rPr>
        <w:t xml:space="preserve"> (20+10)</w:t>
      </w:r>
      <w:r>
        <w:rPr>
          <w:rFonts w:eastAsiaTheme="minorHAnsi"/>
          <w:color w:val="000000" w:themeColor="text1"/>
          <w:sz w:val="20"/>
          <w:szCs w:val="20"/>
          <w:lang w:eastAsia="en-US"/>
        </w:rPr>
        <w:t xml:space="preserve"> millions de dollars US alloués à la mise en œuvre du PIREDD Mai-Ndombe seront transférés du Fonds National REDD+</w:t>
      </w:r>
      <w:r w:rsidR="00FD2C96">
        <w:rPr>
          <w:rFonts w:eastAsiaTheme="minorHAnsi"/>
          <w:color w:val="000000" w:themeColor="text1"/>
          <w:sz w:val="20"/>
          <w:szCs w:val="20"/>
          <w:lang w:eastAsia="en-US"/>
        </w:rPr>
        <w:t xml:space="preserve">, via le </w:t>
      </w:r>
      <w:r w:rsidR="00D33E12">
        <w:rPr>
          <w:rFonts w:eastAsiaTheme="minorHAnsi"/>
          <w:color w:val="000000" w:themeColor="text1"/>
          <w:sz w:val="20"/>
          <w:szCs w:val="20"/>
          <w:lang w:eastAsia="en-US"/>
        </w:rPr>
        <w:t>Bureau MPTF</w:t>
      </w:r>
      <w:r w:rsidR="00FD2C96">
        <w:rPr>
          <w:rFonts w:eastAsiaTheme="minorHAnsi"/>
          <w:color w:val="000000" w:themeColor="text1"/>
          <w:sz w:val="20"/>
          <w:szCs w:val="20"/>
          <w:lang w:eastAsia="en-US"/>
        </w:rPr>
        <w:t>,</w:t>
      </w:r>
      <w:r>
        <w:rPr>
          <w:rFonts w:eastAsiaTheme="minorHAnsi"/>
          <w:color w:val="000000" w:themeColor="text1"/>
          <w:sz w:val="20"/>
          <w:szCs w:val="20"/>
          <w:lang w:eastAsia="en-US"/>
        </w:rPr>
        <w:t xml:space="preserve"> vers la Banque mondiale par tranches successives </w:t>
      </w:r>
      <w:r w:rsidR="00602D52">
        <w:rPr>
          <w:rFonts w:eastAsiaTheme="minorHAnsi"/>
          <w:color w:val="000000" w:themeColor="text1"/>
          <w:sz w:val="20"/>
          <w:szCs w:val="20"/>
          <w:lang w:eastAsia="en-US"/>
        </w:rPr>
        <w:t>selon un échéancier prévisionnel établi au préalable</w:t>
      </w:r>
      <w:r w:rsidR="00843B3A">
        <w:rPr>
          <w:rFonts w:eastAsiaTheme="minorHAnsi"/>
          <w:color w:val="000000" w:themeColor="text1"/>
          <w:sz w:val="20"/>
          <w:szCs w:val="20"/>
          <w:lang w:eastAsia="en-US"/>
        </w:rPr>
        <w:t xml:space="preserve"> et spécifié dans l’Accord Administratif </w:t>
      </w:r>
      <w:r w:rsidR="00732E44">
        <w:rPr>
          <w:rFonts w:eastAsiaTheme="minorHAnsi"/>
          <w:color w:val="000000" w:themeColor="text1"/>
          <w:sz w:val="20"/>
          <w:szCs w:val="20"/>
          <w:lang w:eastAsia="en-US"/>
        </w:rPr>
        <w:t>à</w:t>
      </w:r>
      <w:r w:rsidR="00843B3A">
        <w:rPr>
          <w:rFonts w:eastAsiaTheme="minorHAnsi"/>
          <w:color w:val="000000" w:themeColor="text1"/>
          <w:sz w:val="20"/>
          <w:szCs w:val="20"/>
          <w:lang w:eastAsia="en-US"/>
        </w:rPr>
        <w:t xml:space="preserve"> intervenir entre la Banque mondiale et le PNUD (Cf. Paragraphe 13</w:t>
      </w:r>
      <w:r w:rsidR="00732E44" w:rsidRPr="00732E44">
        <w:rPr>
          <w:rFonts w:eastAsiaTheme="minorHAnsi"/>
          <w:color w:val="000000" w:themeColor="text1"/>
          <w:sz w:val="20"/>
          <w:szCs w:val="20"/>
          <w:lang w:eastAsia="en-US"/>
        </w:rPr>
        <w:t>:</w:t>
      </w:r>
      <w:r w:rsidR="00843B3A">
        <w:rPr>
          <w:rFonts w:eastAsiaTheme="minorHAnsi"/>
          <w:color w:val="000000" w:themeColor="text1"/>
          <w:sz w:val="20"/>
          <w:szCs w:val="20"/>
          <w:lang w:eastAsia="en-US"/>
        </w:rPr>
        <w:t xml:space="preserve"> Cadre Juridique)</w:t>
      </w:r>
    </w:p>
    <w:p w:rsidR="00843B3A" w:rsidRDefault="00843B3A" w:rsidP="003B67E5">
      <w:pPr>
        <w:contextualSpacing/>
        <w:jc w:val="both"/>
        <w:rPr>
          <w:rFonts w:eastAsiaTheme="minorHAnsi"/>
          <w:color w:val="000000" w:themeColor="text1"/>
          <w:sz w:val="20"/>
          <w:szCs w:val="20"/>
          <w:lang w:eastAsia="en-US"/>
        </w:rPr>
      </w:pPr>
    </w:p>
    <w:tbl>
      <w:tblPr>
        <w:tblW w:w="9360" w:type="dxa"/>
        <w:jc w:val="center"/>
        <w:tblLook w:val="04A0" w:firstRow="1" w:lastRow="0" w:firstColumn="1" w:lastColumn="0" w:noHBand="0" w:noVBand="1"/>
      </w:tblPr>
      <w:tblGrid>
        <w:gridCol w:w="9360"/>
      </w:tblGrid>
      <w:tr w:rsidR="001B26CE" w:rsidRPr="00A53E33" w:rsidTr="00ED144B">
        <w:trPr>
          <w:trHeight w:val="240"/>
          <w:jc w:val="center"/>
        </w:trPr>
        <w:tc>
          <w:tcPr>
            <w:tcW w:w="9360" w:type="dxa"/>
            <w:tcBorders>
              <w:top w:val="nil"/>
              <w:left w:val="nil"/>
              <w:bottom w:val="nil"/>
              <w:right w:val="nil"/>
            </w:tcBorders>
            <w:shd w:val="clear" w:color="000000" w:fill="D8E4BC"/>
            <w:vAlign w:val="center"/>
            <w:hideMark/>
          </w:tcPr>
          <w:p w:rsidR="001B26CE" w:rsidRPr="00A53E33" w:rsidRDefault="001B26CE" w:rsidP="00EA4BE1">
            <w:pPr>
              <w:spacing w:after="0" w:line="240" w:lineRule="auto"/>
              <w:jc w:val="center"/>
              <w:rPr>
                <w:rFonts w:ascii="Calibri" w:eastAsia="Times New Roman" w:hAnsi="Calibri" w:cs="Times New Roman"/>
                <w:b/>
                <w:bCs/>
                <w:color w:val="000000"/>
                <w:sz w:val="18"/>
                <w:szCs w:val="18"/>
                <w:lang w:eastAsia="en-US"/>
              </w:rPr>
            </w:pPr>
            <w:r w:rsidRPr="00A53E33">
              <w:rPr>
                <w:rFonts w:ascii="Calibri" w:eastAsia="Times New Roman" w:hAnsi="Calibri" w:cs="Times New Roman"/>
                <w:b/>
                <w:bCs/>
                <w:color w:val="000000"/>
                <w:sz w:val="18"/>
                <w:szCs w:val="18"/>
                <w:lang w:eastAsia="en-US"/>
              </w:rPr>
              <w:t xml:space="preserve">Budget </w:t>
            </w:r>
            <w:r w:rsidRPr="00E95215">
              <w:rPr>
                <w:rFonts w:ascii="Calibri" w:eastAsia="Times New Roman" w:hAnsi="Calibri" w:cs="Times New Roman"/>
                <w:b/>
                <w:bCs/>
                <w:color w:val="000000"/>
                <w:sz w:val="18"/>
                <w:szCs w:val="18"/>
                <w:lang w:eastAsia="en-US"/>
              </w:rPr>
              <w:t>PIREDD Mai-</w:t>
            </w:r>
            <w:r w:rsidRPr="00A53E33">
              <w:rPr>
                <w:rFonts w:ascii="Calibri" w:eastAsia="Times New Roman" w:hAnsi="Calibri" w:cs="Times New Roman"/>
                <w:b/>
                <w:bCs/>
                <w:color w:val="000000"/>
                <w:sz w:val="18"/>
                <w:szCs w:val="18"/>
                <w:lang w:eastAsia="en-US"/>
              </w:rPr>
              <w:t xml:space="preserve">Ndombe sur </w:t>
            </w:r>
            <w:r w:rsidR="00EA4BE1">
              <w:rPr>
                <w:rFonts w:ascii="Calibri" w:eastAsia="Times New Roman" w:hAnsi="Calibri" w:cs="Times New Roman"/>
                <w:b/>
                <w:bCs/>
                <w:color w:val="000000"/>
                <w:sz w:val="18"/>
                <w:szCs w:val="18"/>
                <w:lang w:eastAsia="en-US"/>
              </w:rPr>
              <w:t xml:space="preserve">les </w:t>
            </w:r>
            <w:r w:rsidRPr="00A53E33">
              <w:rPr>
                <w:rFonts w:ascii="Calibri" w:eastAsia="Times New Roman" w:hAnsi="Calibri" w:cs="Times New Roman"/>
                <w:b/>
                <w:bCs/>
                <w:color w:val="000000"/>
                <w:sz w:val="18"/>
                <w:szCs w:val="18"/>
                <w:lang w:eastAsia="en-US"/>
              </w:rPr>
              <w:t>3</w:t>
            </w:r>
            <w:r w:rsidR="00EA4BE1">
              <w:rPr>
                <w:rFonts w:ascii="Calibri" w:eastAsia="Times New Roman" w:hAnsi="Calibri" w:cs="Times New Roman"/>
                <w:b/>
                <w:bCs/>
                <w:color w:val="000000"/>
                <w:sz w:val="18"/>
                <w:szCs w:val="18"/>
                <w:lang w:eastAsia="en-US"/>
              </w:rPr>
              <w:t xml:space="preserve"> premières</w:t>
            </w:r>
            <w:r w:rsidRPr="00A53E33">
              <w:rPr>
                <w:rFonts w:ascii="Calibri" w:eastAsia="Times New Roman" w:hAnsi="Calibri" w:cs="Times New Roman"/>
                <w:b/>
                <w:bCs/>
                <w:color w:val="000000"/>
                <w:sz w:val="18"/>
                <w:szCs w:val="18"/>
                <w:lang w:eastAsia="en-US"/>
              </w:rPr>
              <w:t xml:space="preserve"> an</w:t>
            </w:r>
            <w:r w:rsidR="00EA4BE1">
              <w:rPr>
                <w:rFonts w:ascii="Calibri" w:eastAsia="Times New Roman" w:hAnsi="Calibri" w:cs="Times New Roman"/>
                <w:b/>
                <w:bCs/>
                <w:color w:val="000000"/>
                <w:sz w:val="18"/>
                <w:szCs w:val="18"/>
                <w:lang w:eastAsia="en-US"/>
              </w:rPr>
              <w:t>née</w:t>
            </w:r>
            <w:r w:rsidRPr="00A53E33">
              <w:rPr>
                <w:rFonts w:ascii="Calibri" w:eastAsia="Times New Roman" w:hAnsi="Calibri" w:cs="Times New Roman"/>
                <w:b/>
                <w:bCs/>
                <w:color w:val="000000"/>
                <w:sz w:val="18"/>
                <w:szCs w:val="18"/>
                <w:lang w:eastAsia="en-US"/>
              </w:rPr>
              <w:t>s (2017 -2019)</w:t>
            </w:r>
            <w:r>
              <w:rPr>
                <w:rFonts w:ascii="Calibri" w:eastAsia="Times New Roman" w:hAnsi="Calibri" w:cs="Times New Roman"/>
                <w:b/>
                <w:bCs/>
                <w:color w:val="000000"/>
                <w:sz w:val="18"/>
                <w:szCs w:val="18"/>
                <w:lang w:eastAsia="en-US"/>
              </w:rPr>
              <w:t xml:space="preserve"> - $20M</w:t>
            </w:r>
          </w:p>
        </w:tc>
      </w:tr>
    </w:tbl>
    <w:p w:rsidR="001B26CE" w:rsidRDefault="001B26CE" w:rsidP="003B67E5">
      <w:pPr>
        <w:contextualSpacing/>
        <w:jc w:val="both"/>
        <w:rPr>
          <w:rFonts w:eastAsiaTheme="minorHAnsi"/>
          <w:color w:val="000000" w:themeColor="text1"/>
          <w:sz w:val="20"/>
          <w:szCs w:val="20"/>
          <w:lang w:eastAsia="en-US"/>
        </w:rPr>
      </w:pPr>
    </w:p>
    <w:tbl>
      <w:tblPr>
        <w:tblStyle w:val="TableGrid"/>
        <w:tblW w:w="0" w:type="auto"/>
        <w:jc w:val="center"/>
        <w:tblLook w:val="04A0" w:firstRow="1" w:lastRow="0" w:firstColumn="1" w:lastColumn="0" w:noHBand="0" w:noVBand="1"/>
      </w:tblPr>
      <w:tblGrid>
        <w:gridCol w:w="4697"/>
        <w:gridCol w:w="4697"/>
      </w:tblGrid>
      <w:tr w:rsidR="00843B3A" w:rsidTr="00ED144B">
        <w:trPr>
          <w:jc w:val="center"/>
        </w:trPr>
        <w:tc>
          <w:tcPr>
            <w:tcW w:w="4697" w:type="dxa"/>
            <w:shd w:val="clear" w:color="auto" w:fill="D8E4BC"/>
          </w:tcPr>
          <w:p w:rsidR="00843B3A" w:rsidRPr="00843B3A" w:rsidRDefault="00843B3A" w:rsidP="00843B3A">
            <w:pPr>
              <w:contextualSpacing/>
              <w:jc w:val="center"/>
              <w:rPr>
                <w:rFonts w:eastAsiaTheme="minorHAnsi"/>
                <w:b/>
                <w:color w:val="000000" w:themeColor="text1"/>
                <w:sz w:val="20"/>
                <w:szCs w:val="20"/>
                <w:lang w:eastAsia="en-US"/>
              </w:rPr>
            </w:pPr>
            <w:r w:rsidRPr="00843B3A">
              <w:rPr>
                <w:rFonts w:eastAsiaTheme="minorHAnsi"/>
                <w:b/>
                <w:color w:val="000000" w:themeColor="text1"/>
                <w:sz w:val="20"/>
                <w:szCs w:val="20"/>
                <w:lang w:eastAsia="en-US"/>
              </w:rPr>
              <w:t>Date</w:t>
            </w:r>
          </w:p>
        </w:tc>
        <w:tc>
          <w:tcPr>
            <w:tcW w:w="4697" w:type="dxa"/>
            <w:shd w:val="clear" w:color="auto" w:fill="D8E4BC"/>
          </w:tcPr>
          <w:p w:rsidR="00843B3A" w:rsidRPr="00843B3A" w:rsidRDefault="00843B3A" w:rsidP="00843B3A">
            <w:pPr>
              <w:contextualSpacing/>
              <w:jc w:val="center"/>
              <w:rPr>
                <w:rFonts w:eastAsiaTheme="minorHAnsi"/>
                <w:b/>
                <w:color w:val="000000" w:themeColor="text1"/>
                <w:sz w:val="20"/>
                <w:szCs w:val="20"/>
                <w:lang w:eastAsia="en-US"/>
              </w:rPr>
            </w:pPr>
            <w:r>
              <w:rPr>
                <w:rFonts w:eastAsiaTheme="minorHAnsi"/>
                <w:b/>
                <w:color w:val="000000" w:themeColor="text1"/>
                <w:sz w:val="20"/>
                <w:szCs w:val="20"/>
                <w:lang w:eastAsia="en-US"/>
              </w:rPr>
              <w:t>%</w:t>
            </w:r>
            <w:r w:rsidR="001B26CE">
              <w:rPr>
                <w:rFonts w:eastAsiaTheme="minorHAnsi"/>
                <w:b/>
                <w:color w:val="000000" w:themeColor="text1"/>
                <w:sz w:val="20"/>
                <w:szCs w:val="20"/>
                <w:lang w:eastAsia="en-US"/>
              </w:rPr>
              <w:t xml:space="preserve"> ($million)</w:t>
            </w:r>
          </w:p>
        </w:tc>
      </w:tr>
      <w:tr w:rsidR="00843B3A" w:rsidTr="00ED144B">
        <w:trPr>
          <w:jc w:val="center"/>
        </w:trPr>
        <w:tc>
          <w:tcPr>
            <w:tcW w:w="4697" w:type="dxa"/>
            <w:vAlign w:val="center"/>
          </w:tcPr>
          <w:p w:rsidR="00843B3A" w:rsidRDefault="00843B3A" w:rsidP="00843B3A">
            <w:pPr>
              <w:contextualSpacing/>
              <w:rPr>
                <w:rFonts w:eastAsiaTheme="minorHAnsi"/>
                <w:color w:val="000000" w:themeColor="text1"/>
                <w:sz w:val="20"/>
                <w:szCs w:val="20"/>
                <w:lang w:eastAsia="en-US"/>
              </w:rPr>
            </w:pPr>
            <w:r>
              <w:rPr>
                <w:rFonts w:eastAsiaTheme="minorHAnsi"/>
                <w:color w:val="000000" w:themeColor="text1"/>
                <w:sz w:val="20"/>
                <w:szCs w:val="20"/>
                <w:lang w:eastAsia="en-US"/>
              </w:rPr>
              <w:t>A la signature / approbation du document de programme</w:t>
            </w:r>
          </w:p>
        </w:tc>
        <w:tc>
          <w:tcPr>
            <w:tcW w:w="4697" w:type="dxa"/>
            <w:vAlign w:val="center"/>
          </w:tcPr>
          <w:p w:rsidR="00843B3A" w:rsidRDefault="00843B3A" w:rsidP="00843B3A">
            <w:pPr>
              <w:contextualSpacing/>
              <w:jc w:val="center"/>
              <w:rPr>
                <w:rFonts w:eastAsiaTheme="minorHAnsi"/>
                <w:color w:val="000000" w:themeColor="text1"/>
                <w:sz w:val="20"/>
                <w:szCs w:val="20"/>
                <w:lang w:eastAsia="en-US"/>
              </w:rPr>
            </w:pPr>
            <w:r>
              <w:rPr>
                <w:rFonts w:eastAsiaTheme="minorHAnsi"/>
                <w:color w:val="000000" w:themeColor="text1"/>
                <w:sz w:val="20"/>
                <w:szCs w:val="20"/>
                <w:lang w:eastAsia="en-US"/>
              </w:rPr>
              <w:t>40</w:t>
            </w:r>
            <w:r w:rsidR="001B26CE">
              <w:rPr>
                <w:rFonts w:eastAsiaTheme="minorHAnsi"/>
                <w:color w:val="000000" w:themeColor="text1"/>
                <w:sz w:val="20"/>
                <w:szCs w:val="20"/>
                <w:lang w:eastAsia="en-US"/>
              </w:rPr>
              <w:t xml:space="preserve"> ($8M)</w:t>
            </w:r>
          </w:p>
        </w:tc>
      </w:tr>
      <w:tr w:rsidR="00843B3A" w:rsidTr="00ED144B">
        <w:trPr>
          <w:jc w:val="center"/>
        </w:trPr>
        <w:tc>
          <w:tcPr>
            <w:tcW w:w="4697" w:type="dxa"/>
            <w:vAlign w:val="center"/>
          </w:tcPr>
          <w:p w:rsidR="00843B3A" w:rsidRDefault="00843B3A" w:rsidP="00843B3A">
            <w:pPr>
              <w:contextualSpacing/>
              <w:rPr>
                <w:rFonts w:eastAsiaTheme="minorHAnsi"/>
                <w:color w:val="000000" w:themeColor="text1"/>
                <w:sz w:val="20"/>
                <w:szCs w:val="20"/>
                <w:lang w:eastAsia="en-US"/>
              </w:rPr>
            </w:pPr>
            <w:r>
              <w:rPr>
                <w:rFonts w:eastAsiaTheme="minorHAnsi"/>
                <w:color w:val="000000" w:themeColor="text1"/>
                <w:sz w:val="20"/>
                <w:szCs w:val="20"/>
                <w:lang w:eastAsia="en-US"/>
              </w:rPr>
              <w:t>31 décembre 2017</w:t>
            </w:r>
          </w:p>
        </w:tc>
        <w:tc>
          <w:tcPr>
            <w:tcW w:w="4697" w:type="dxa"/>
            <w:vAlign w:val="center"/>
          </w:tcPr>
          <w:p w:rsidR="00843B3A" w:rsidRDefault="001B26CE" w:rsidP="00843B3A">
            <w:pPr>
              <w:contextualSpacing/>
              <w:jc w:val="center"/>
              <w:rPr>
                <w:rFonts w:eastAsiaTheme="minorHAnsi"/>
                <w:color w:val="000000" w:themeColor="text1"/>
                <w:sz w:val="20"/>
                <w:szCs w:val="20"/>
                <w:lang w:eastAsia="en-US"/>
              </w:rPr>
            </w:pPr>
            <w:r>
              <w:rPr>
                <w:rFonts w:eastAsiaTheme="minorHAnsi"/>
                <w:color w:val="000000" w:themeColor="text1"/>
                <w:sz w:val="20"/>
                <w:szCs w:val="20"/>
                <w:lang w:eastAsia="en-US"/>
              </w:rPr>
              <w:t>3</w:t>
            </w:r>
            <w:r w:rsidR="00843B3A">
              <w:rPr>
                <w:rFonts w:eastAsiaTheme="minorHAnsi"/>
                <w:color w:val="000000" w:themeColor="text1"/>
                <w:sz w:val="20"/>
                <w:szCs w:val="20"/>
                <w:lang w:eastAsia="en-US"/>
              </w:rPr>
              <w:t>0</w:t>
            </w:r>
            <w:r>
              <w:rPr>
                <w:rFonts w:eastAsiaTheme="minorHAnsi"/>
                <w:color w:val="000000" w:themeColor="text1"/>
                <w:sz w:val="20"/>
                <w:szCs w:val="20"/>
                <w:lang w:eastAsia="en-US"/>
              </w:rPr>
              <w:t xml:space="preserve"> ($6M)</w:t>
            </w:r>
          </w:p>
        </w:tc>
      </w:tr>
      <w:tr w:rsidR="00843B3A" w:rsidTr="00ED144B">
        <w:trPr>
          <w:jc w:val="center"/>
        </w:trPr>
        <w:tc>
          <w:tcPr>
            <w:tcW w:w="4697" w:type="dxa"/>
            <w:vAlign w:val="center"/>
          </w:tcPr>
          <w:p w:rsidR="00843B3A" w:rsidRDefault="00843B3A" w:rsidP="00843B3A">
            <w:pPr>
              <w:contextualSpacing/>
              <w:rPr>
                <w:rFonts w:eastAsiaTheme="minorHAnsi"/>
                <w:color w:val="000000" w:themeColor="text1"/>
                <w:sz w:val="20"/>
                <w:szCs w:val="20"/>
                <w:lang w:eastAsia="en-US"/>
              </w:rPr>
            </w:pPr>
            <w:r>
              <w:rPr>
                <w:rFonts w:eastAsiaTheme="minorHAnsi"/>
                <w:color w:val="000000" w:themeColor="text1"/>
                <w:sz w:val="20"/>
                <w:szCs w:val="20"/>
                <w:lang w:eastAsia="en-US"/>
              </w:rPr>
              <w:t>31 décembre 2018</w:t>
            </w:r>
          </w:p>
        </w:tc>
        <w:tc>
          <w:tcPr>
            <w:tcW w:w="4697" w:type="dxa"/>
            <w:vAlign w:val="center"/>
          </w:tcPr>
          <w:p w:rsidR="00843B3A" w:rsidRDefault="001B26CE" w:rsidP="00843B3A">
            <w:pPr>
              <w:contextualSpacing/>
              <w:jc w:val="center"/>
              <w:rPr>
                <w:rFonts w:eastAsiaTheme="minorHAnsi"/>
                <w:color w:val="000000" w:themeColor="text1"/>
                <w:sz w:val="20"/>
                <w:szCs w:val="20"/>
                <w:lang w:eastAsia="en-US"/>
              </w:rPr>
            </w:pPr>
            <w:r>
              <w:rPr>
                <w:rFonts w:eastAsiaTheme="minorHAnsi"/>
                <w:color w:val="000000" w:themeColor="text1"/>
                <w:sz w:val="20"/>
                <w:szCs w:val="20"/>
                <w:lang w:eastAsia="en-US"/>
              </w:rPr>
              <w:t>3</w:t>
            </w:r>
            <w:r w:rsidR="00843B3A">
              <w:rPr>
                <w:rFonts w:eastAsiaTheme="minorHAnsi"/>
                <w:color w:val="000000" w:themeColor="text1"/>
                <w:sz w:val="20"/>
                <w:szCs w:val="20"/>
                <w:lang w:eastAsia="en-US"/>
              </w:rPr>
              <w:t>0</w:t>
            </w:r>
            <w:r>
              <w:rPr>
                <w:rFonts w:eastAsiaTheme="minorHAnsi"/>
                <w:color w:val="000000" w:themeColor="text1"/>
                <w:sz w:val="20"/>
                <w:szCs w:val="20"/>
                <w:lang w:eastAsia="en-US"/>
              </w:rPr>
              <w:t xml:space="preserve"> ($6M)</w:t>
            </w:r>
          </w:p>
        </w:tc>
      </w:tr>
    </w:tbl>
    <w:p w:rsidR="00843B3A" w:rsidRDefault="00843B3A" w:rsidP="003B67E5">
      <w:pPr>
        <w:contextualSpacing/>
        <w:jc w:val="both"/>
        <w:rPr>
          <w:rFonts w:eastAsiaTheme="minorHAnsi"/>
          <w:color w:val="000000" w:themeColor="text1"/>
          <w:sz w:val="20"/>
          <w:szCs w:val="20"/>
          <w:lang w:eastAsia="en-US"/>
        </w:rPr>
      </w:pPr>
    </w:p>
    <w:tbl>
      <w:tblPr>
        <w:tblW w:w="9360" w:type="dxa"/>
        <w:jc w:val="center"/>
        <w:tblLook w:val="04A0" w:firstRow="1" w:lastRow="0" w:firstColumn="1" w:lastColumn="0" w:noHBand="0" w:noVBand="1"/>
      </w:tblPr>
      <w:tblGrid>
        <w:gridCol w:w="9360"/>
      </w:tblGrid>
      <w:tr w:rsidR="00EA4BE1" w:rsidRPr="00A53E33" w:rsidTr="00ED144B">
        <w:trPr>
          <w:trHeight w:val="240"/>
          <w:jc w:val="center"/>
        </w:trPr>
        <w:tc>
          <w:tcPr>
            <w:tcW w:w="9360" w:type="dxa"/>
            <w:tcBorders>
              <w:top w:val="nil"/>
              <w:left w:val="nil"/>
              <w:bottom w:val="nil"/>
              <w:right w:val="nil"/>
            </w:tcBorders>
            <w:shd w:val="clear" w:color="auto" w:fill="DEEAF6" w:themeFill="accent1" w:themeFillTint="33"/>
            <w:vAlign w:val="center"/>
            <w:hideMark/>
          </w:tcPr>
          <w:p w:rsidR="00EA4BE1" w:rsidRPr="00A53E33" w:rsidRDefault="00EA4BE1" w:rsidP="00EA4BE1">
            <w:pPr>
              <w:spacing w:after="0" w:line="240" w:lineRule="auto"/>
              <w:jc w:val="center"/>
              <w:rPr>
                <w:rFonts w:ascii="Calibri" w:eastAsia="Times New Roman" w:hAnsi="Calibri" w:cs="Times New Roman"/>
                <w:b/>
                <w:bCs/>
                <w:color w:val="000000"/>
                <w:sz w:val="18"/>
                <w:szCs w:val="18"/>
                <w:lang w:eastAsia="en-US"/>
              </w:rPr>
            </w:pPr>
            <w:r w:rsidRPr="00A53E33">
              <w:rPr>
                <w:rFonts w:ascii="Calibri" w:eastAsia="Times New Roman" w:hAnsi="Calibri" w:cs="Times New Roman"/>
                <w:b/>
                <w:bCs/>
                <w:color w:val="000000"/>
                <w:sz w:val="18"/>
                <w:szCs w:val="18"/>
                <w:lang w:eastAsia="en-US"/>
              </w:rPr>
              <w:t xml:space="preserve">Budget </w:t>
            </w:r>
            <w:r w:rsidRPr="00E95215">
              <w:rPr>
                <w:rFonts w:ascii="Calibri" w:eastAsia="Times New Roman" w:hAnsi="Calibri" w:cs="Times New Roman"/>
                <w:b/>
                <w:bCs/>
                <w:color w:val="000000"/>
                <w:sz w:val="18"/>
                <w:szCs w:val="18"/>
                <w:lang w:eastAsia="en-US"/>
              </w:rPr>
              <w:t>PIREDD Mai-</w:t>
            </w:r>
            <w:r w:rsidRPr="00A53E33">
              <w:rPr>
                <w:rFonts w:ascii="Calibri" w:eastAsia="Times New Roman" w:hAnsi="Calibri" w:cs="Times New Roman"/>
                <w:b/>
                <w:bCs/>
                <w:color w:val="000000"/>
                <w:sz w:val="18"/>
                <w:szCs w:val="18"/>
                <w:lang w:eastAsia="en-US"/>
              </w:rPr>
              <w:t>Nd</w:t>
            </w:r>
            <w:r>
              <w:rPr>
                <w:rFonts w:ascii="Calibri" w:eastAsia="Times New Roman" w:hAnsi="Calibri" w:cs="Times New Roman"/>
                <w:b/>
                <w:bCs/>
                <w:color w:val="000000"/>
                <w:sz w:val="18"/>
                <w:szCs w:val="18"/>
                <w:lang w:eastAsia="en-US"/>
              </w:rPr>
              <w:t>ombe sur les deux dernières années  (2020 -2021</w:t>
            </w:r>
            <w:r w:rsidRPr="00A53E33">
              <w:rPr>
                <w:rFonts w:ascii="Calibri" w:eastAsia="Times New Roman" w:hAnsi="Calibri" w:cs="Times New Roman"/>
                <w:b/>
                <w:bCs/>
                <w:color w:val="000000"/>
                <w:sz w:val="18"/>
                <w:szCs w:val="18"/>
                <w:lang w:eastAsia="en-US"/>
              </w:rPr>
              <w:t>)</w:t>
            </w:r>
            <w:r>
              <w:rPr>
                <w:rFonts w:ascii="Calibri" w:eastAsia="Times New Roman" w:hAnsi="Calibri" w:cs="Times New Roman"/>
                <w:b/>
                <w:bCs/>
                <w:color w:val="000000"/>
                <w:sz w:val="18"/>
                <w:szCs w:val="18"/>
                <w:lang w:eastAsia="en-US"/>
              </w:rPr>
              <w:t xml:space="preserve"> - $10M</w:t>
            </w:r>
          </w:p>
        </w:tc>
      </w:tr>
    </w:tbl>
    <w:p w:rsidR="00EA4BE1" w:rsidRDefault="00EA4BE1" w:rsidP="00EA4BE1">
      <w:pPr>
        <w:contextualSpacing/>
        <w:jc w:val="both"/>
        <w:rPr>
          <w:rFonts w:eastAsiaTheme="minorHAnsi"/>
          <w:color w:val="000000" w:themeColor="text1"/>
          <w:sz w:val="20"/>
          <w:szCs w:val="20"/>
          <w:lang w:eastAsia="en-US"/>
        </w:rPr>
      </w:pPr>
    </w:p>
    <w:tbl>
      <w:tblPr>
        <w:tblStyle w:val="TableGrid"/>
        <w:tblW w:w="0" w:type="auto"/>
        <w:jc w:val="center"/>
        <w:tblLook w:val="04A0" w:firstRow="1" w:lastRow="0" w:firstColumn="1" w:lastColumn="0" w:noHBand="0" w:noVBand="1"/>
      </w:tblPr>
      <w:tblGrid>
        <w:gridCol w:w="4697"/>
        <w:gridCol w:w="4697"/>
      </w:tblGrid>
      <w:tr w:rsidR="00EA4BE1" w:rsidTr="00ED144B">
        <w:trPr>
          <w:jc w:val="center"/>
        </w:trPr>
        <w:tc>
          <w:tcPr>
            <w:tcW w:w="4697" w:type="dxa"/>
            <w:shd w:val="clear" w:color="auto" w:fill="DEEAF6" w:themeFill="accent1" w:themeFillTint="33"/>
          </w:tcPr>
          <w:p w:rsidR="00EA4BE1" w:rsidRPr="00843B3A" w:rsidRDefault="00EA4BE1" w:rsidP="00EA4BE1">
            <w:pPr>
              <w:contextualSpacing/>
              <w:jc w:val="center"/>
              <w:rPr>
                <w:rFonts w:eastAsiaTheme="minorHAnsi"/>
                <w:b/>
                <w:color w:val="000000" w:themeColor="text1"/>
                <w:sz w:val="20"/>
                <w:szCs w:val="20"/>
                <w:lang w:eastAsia="en-US"/>
              </w:rPr>
            </w:pPr>
            <w:r w:rsidRPr="00843B3A">
              <w:rPr>
                <w:rFonts w:eastAsiaTheme="minorHAnsi"/>
                <w:b/>
                <w:color w:val="000000" w:themeColor="text1"/>
                <w:sz w:val="20"/>
                <w:szCs w:val="20"/>
                <w:lang w:eastAsia="en-US"/>
              </w:rPr>
              <w:t>Date</w:t>
            </w:r>
          </w:p>
        </w:tc>
        <w:tc>
          <w:tcPr>
            <w:tcW w:w="4697" w:type="dxa"/>
            <w:shd w:val="clear" w:color="auto" w:fill="DEEAF6" w:themeFill="accent1" w:themeFillTint="33"/>
          </w:tcPr>
          <w:p w:rsidR="00EA4BE1" w:rsidRPr="00843B3A" w:rsidRDefault="00EA4BE1" w:rsidP="00EA4BE1">
            <w:pPr>
              <w:contextualSpacing/>
              <w:jc w:val="center"/>
              <w:rPr>
                <w:rFonts w:eastAsiaTheme="minorHAnsi"/>
                <w:b/>
                <w:color w:val="000000" w:themeColor="text1"/>
                <w:sz w:val="20"/>
                <w:szCs w:val="20"/>
                <w:lang w:eastAsia="en-US"/>
              </w:rPr>
            </w:pPr>
            <w:r>
              <w:rPr>
                <w:rFonts w:eastAsiaTheme="minorHAnsi"/>
                <w:b/>
                <w:color w:val="000000" w:themeColor="text1"/>
                <w:sz w:val="20"/>
                <w:szCs w:val="20"/>
                <w:lang w:eastAsia="en-US"/>
              </w:rPr>
              <w:t>% ($million)</w:t>
            </w:r>
          </w:p>
        </w:tc>
      </w:tr>
      <w:tr w:rsidR="00EA4BE1" w:rsidTr="00ED144B">
        <w:trPr>
          <w:jc w:val="center"/>
        </w:trPr>
        <w:tc>
          <w:tcPr>
            <w:tcW w:w="4697" w:type="dxa"/>
            <w:vAlign w:val="center"/>
          </w:tcPr>
          <w:p w:rsidR="00EA4BE1" w:rsidRDefault="00421AE1" w:rsidP="00EA4BE1">
            <w:pPr>
              <w:contextualSpacing/>
              <w:rPr>
                <w:rFonts w:eastAsiaTheme="minorHAnsi"/>
                <w:color w:val="000000" w:themeColor="text1"/>
                <w:sz w:val="20"/>
                <w:szCs w:val="20"/>
                <w:lang w:eastAsia="en-US"/>
              </w:rPr>
            </w:pPr>
            <w:r>
              <w:rPr>
                <w:rFonts w:eastAsiaTheme="minorHAnsi"/>
                <w:color w:val="000000" w:themeColor="text1"/>
                <w:sz w:val="20"/>
                <w:szCs w:val="20"/>
                <w:lang w:eastAsia="en-US"/>
              </w:rPr>
              <w:t xml:space="preserve">31 </w:t>
            </w:r>
            <w:r w:rsidR="00EA4BE1">
              <w:rPr>
                <w:rFonts w:eastAsiaTheme="minorHAnsi"/>
                <w:color w:val="000000" w:themeColor="text1"/>
                <w:sz w:val="20"/>
                <w:szCs w:val="20"/>
                <w:lang w:eastAsia="en-US"/>
              </w:rPr>
              <w:t>décembre 2019</w:t>
            </w:r>
          </w:p>
        </w:tc>
        <w:tc>
          <w:tcPr>
            <w:tcW w:w="4697" w:type="dxa"/>
            <w:vAlign w:val="center"/>
          </w:tcPr>
          <w:p w:rsidR="00EA4BE1" w:rsidRDefault="00EA4BE1" w:rsidP="00EA4BE1">
            <w:pPr>
              <w:contextualSpacing/>
              <w:jc w:val="center"/>
              <w:rPr>
                <w:rFonts w:eastAsiaTheme="minorHAnsi"/>
                <w:color w:val="000000" w:themeColor="text1"/>
                <w:sz w:val="20"/>
                <w:szCs w:val="20"/>
                <w:lang w:eastAsia="en-US"/>
              </w:rPr>
            </w:pPr>
            <w:r>
              <w:rPr>
                <w:rFonts w:eastAsiaTheme="minorHAnsi"/>
                <w:color w:val="000000" w:themeColor="text1"/>
                <w:sz w:val="20"/>
                <w:szCs w:val="20"/>
                <w:lang w:eastAsia="en-US"/>
              </w:rPr>
              <w:t>50 ($5M)</w:t>
            </w:r>
          </w:p>
        </w:tc>
      </w:tr>
      <w:tr w:rsidR="00EA4BE1" w:rsidTr="00ED144B">
        <w:trPr>
          <w:jc w:val="center"/>
        </w:trPr>
        <w:tc>
          <w:tcPr>
            <w:tcW w:w="4697" w:type="dxa"/>
            <w:vAlign w:val="center"/>
          </w:tcPr>
          <w:p w:rsidR="00EA4BE1" w:rsidRDefault="00EA4BE1" w:rsidP="00EA4BE1">
            <w:pPr>
              <w:contextualSpacing/>
              <w:rPr>
                <w:rFonts w:eastAsiaTheme="minorHAnsi"/>
                <w:color w:val="000000" w:themeColor="text1"/>
                <w:sz w:val="20"/>
                <w:szCs w:val="20"/>
                <w:lang w:eastAsia="en-US"/>
              </w:rPr>
            </w:pPr>
            <w:r>
              <w:rPr>
                <w:rFonts w:eastAsiaTheme="minorHAnsi"/>
                <w:color w:val="000000" w:themeColor="text1"/>
                <w:sz w:val="20"/>
                <w:szCs w:val="20"/>
                <w:lang w:eastAsia="en-US"/>
              </w:rPr>
              <w:t>31 décembre 2020</w:t>
            </w:r>
          </w:p>
        </w:tc>
        <w:tc>
          <w:tcPr>
            <w:tcW w:w="4697" w:type="dxa"/>
            <w:vAlign w:val="center"/>
          </w:tcPr>
          <w:p w:rsidR="00EA4BE1" w:rsidRDefault="00EA4BE1" w:rsidP="00EA4BE1">
            <w:pPr>
              <w:contextualSpacing/>
              <w:jc w:val="center"/>
              <w:rPr>
                <w:rFonts w:eastAsiaTheme="minorHAnsi"/>
                <w:color w:val="000000" w:themeColor="text1"/>
                <w:sz w:val="20"/>
                <w:szCs w:val="20"/>
                <w:lang w:eastAsia="en-US"/>
              </w:rPr>
            </w:pPr>
            <w:r>
              <w:rPr>
                <w:rFonts w:eastAsiaTheme="minorHAnsi"/>
                <w:color w:val="000000" w:themeColor="text1"/>
                <w:sz w:val="20"/>
                <w:szCs w:val="20"/>
                <w:lang w:eastAsia="en-US"/>
              </w:rPr>
              <w:t>50 ($5M)</w:t>
            </w:r>
          </w:p>
        </w:tc>
      </w:tr>
    </w:tbl>
    <w:p w:rsidR="00EA4BE1" w:rsidRDefault="00EA4BE1" w:rsidP="003B67E5">
      <w:pPr>
        <w:contextualSpacing/>
        <w:jc w:val="both"/>
        <w:rPr>
          <w:rFonts w:eastAsiaTheme="minorHAnsi"/>
          <w:color w:val="000000" w:themeColor="text1"/>
          <w:sz w:val="20"/>
          <w:szCs w:val="20"/>
          <w:lang w:eastAsia="en-US"/>
        </w:rPr>
      </w:pPr>
    </w:p>
    <w:p w:rsidR="006A19CF" w:rsidRDefault="006A19CF" w:rsidP="003B67E5">
      <w:pPr>
        <w:contextualSpacing/>
        <w:jc w:val="both"/>
        <w:rPr>
          <w:rFonts w:eastAsiaTheme="minorHAnsi"/>
          <w:color w:val="000000" w:themeColor="text1"/>
          <w:sz w:val="20"/>
          <w:szCs w:val="20"/>
          <w:lang w:eastAsia="en-US"/>
        </w:rPr>
      </w:pPr>
      <w:r>
        <w:rPr>
          <w:rFonts w:eastAsiaTheme="minorHAnsi"/>
          <w:color w:val="000000" w:themeColor="text1"/>
          <w:sz w:val="20"/>
          <w:szCs w:val="20"/>
          <w:lang w:eastAsia="en-US"/>
        </w:rPr>
        <w:t>Une partie de ces montants sera retenue par la Banque mondiale pour ses opérations de préparation, de supervision et de clôture du projet, quand l’autre partie sera transférée à la RDC</w:t>
      </w:r>
      <w:r w:rsidR="003B67E5">
        <w:rPr>
          <w:rFonts w:eastAsiaTheme="minorHAnsi"/>
          <w:color w:val="000000" w:themeColor="text1"/>
          <w:sz w:val="20"/>
          <w:szCs w:val="20"/>
          <w:lang w:eastAsia="en-US"/>
        </w:rPr>
        <w:t>, selon les termes d’un accord de don à intervenir entre la RDC et la Banque mondiale,</w:t>
      </w:r>
      <w:r>
        <w:rPr>
          <w:rFonts w:eastAsiaTheme="minorHAnsi"/>
          <w:color w:val="000000" w:themeColor="text1"/>
          <w:sz w:val="20"/>
          <w:szCs w:val="20"/>
          <w:lang w:eastAsia="en-US"/>
        </w:rPr>
        <w:t xml:space="preserve"> pour la mise en œuvre effective du projet sur le terrain. Est </w:t>
      </w:r>
      <w:r w:rsidR="003B67E5">
        <w:rPr>
          <w:rFonts w:eastAsiaTheme="minorHAnsi"/>
          <w:color w:val="000000" w:themeColor="text1"/>
          <w:sz w:val="20"/>
          <w:szCs w:val="20"/>
          <w:lang w:eastAsia="en-US"/>
        </w:rPr>
        <w:t>résumée dans le</w:t>
      </w:r>
      <w:r>
        <w:rPr>
          <w:rFonts w:eastAsiaTheme="minorHAnsi"/>
          <w:color w:val="000000" w:themeColor="text1"/>
          <w:sz w:val="20"/>
          <w:szCs w:val="20"/>
          <w:lang w:eastAsia="en-US"/>
        </w:rPr>
        <w:t xml:space="preserve"> table</w:t>
      </w:r>
      <w:r w:rsidR="003B67E5">
        <w:rPr>
          <w:rFonts w:eastAsiaTheme="minorHAnsi"/>
          <w:color w:val="000000" w:themeColor="text1"/>
          <w:sz w:val="20"/>
          <w:szCs w:val="20"/>
          <w:lang w:eastAsia="en-US"/>
        </w:rPr>
        <w:t>au</w:t>
      </w:r>
      <w:r>
        <w:rPr>
          <w:rFonts w:eastAsiaTheme="minorHAnsi"/>
          <w:color w:val="000000" w:themeColor="text1"/>
          <w:sz w:val="20"/>
          <w:szCs w:val="20"/>
          <w:lang w:eastAsia="en-US"/>
        </w:rPr>
        <w:t xml:space="preserve"> ci-dessous </w:t>
      </w:r>
      <w:r w:rsidR="003B67E5">
        <w:rPr>
          <w:rFonts w:eastAsiaTheme="minorHAnsi"/>
          <w:color w:val="000000" w:themeColor="text1"/>
          <w:sz w:val="20"/>
          <w:szCs w:val="20"/>
          <w:lang w:eastAsia="en-US"/>
        </w:rPr>
        <w:t>la ventilation des moyens affectés à la RDC et à la Banque mondiale pour la mise en œuvre de leurs missions respectives. Il est à noter que la Banque mondiale envisage de mettre en place un dispositif de suivi de la gestio</w:t>
      </w:r>
      <w:r w:rsidR="00FD2C96">
        <w:rPr>
          <w:rFonts w:eastAsiaTheme="minorHAnsi"/>
          <w:color w:val="000000" w:themeColor="text1"/>
          <w:sz w:val="20"/>
          <w:szCs w:val="20"/>
          <w:lang w:eastAsia="en-US"/>
        </w:rPr>
        <w:t>n financière des moyens mis en œuvre par la RDC allant au-delà de sa pr</w:t>
      </w:r>
      <w:r w:rsidR="00CC54EA">
        <w:rPr>
          <w:rFonts w:eastAsiaTheme="minorHAnsi"/>
          <w:color w:val="000000" w:themeColor="text1"/>
          <w:sz w:val="20"/>
          <w:szCs w:val="20"/>
          <w:lang w:eastAsia="en-US"/>
        </w:rPr>
        <w:t>atique habituelle (vo</w:t>
      </w:r>
      <w:r w:rsidR="00EF6F07">
        <w:rPr>
          <w:rFonts w:eastAsiaTheme="minorHAnsi"/>
          <w:color w:val="000000" w:themeColor="text1"/>
          <w:sz w:val="20"/>
          <w:szCs w:val="20"/>
          <w:lang w:eastAsia="en-US"/>
        </w:rPr>
        <w:t>ir Annexe 5</w:t>
      </w:r>
      <w:r w:rsidR="00FD2C96">
        <w:rPr>
          <w:rFonts w:eastAsiaTheme="minorHAnsi"/>
          <w:color w:val="000000" w:themeColor="text1"/>
          <w:sz w:val="20"/>
          <w:szCs w:val="20"/>
          <w:lang w:eastAsia="en-US"/>
        </w:rPr>
        <w:t xml:space="preserve">). Cette approche </w:t>
      </w:r>
      <w:r w:rsidR="00E04578">
        <w:rPr>
          <w:rFonts w:eastAsiaTheme="minorHAnsi"/>
          <w:color w:val="000000" w:themeColor="text1"/>
          <w:sz w:val="20"/>
          <w:szCs w:val="20"/>
          <w:lang w:eastAsia="en-US"/>
        </w:rPr>
        <w:t>résulte</w:t>
      </w:r>
      <w:r w:rsidR="00FD2C96">
        <w:rPr>
          <w:rFonts w:eastAsiaTheme="minorHAnsi"/>
          <w:color w:val="000000" w:themeColor="text1"/>
          <w:sz w:val="20"/>
          <w:szCs w:val="20"/>
          <w:lang w:eastAsia="en-US"/>
        </w:rPr>
        <w:t xml:space="preserve"> d’une demande explicite</w:t>
      </w:r>
      <w:r w:rsidR="00E04578">
        <w:rPr>
          <w:rFonts w:eastAsiaTheme="minorHAnsi"/>
          <w:color w:val="000000" w:themeColor="text1"/>
          <w:sz w:val="20"/>
          <w:szCs w:val="20"/>
          <w:lang w:eastAsia="en-US"/>
        </w:rPr>
        <w:t xml:space="preserve"> du</w:t>
      </w:r>
      <w:r w:rsidR="00FD2C96">
        <w:rPr>
          <w:rFonts w:eastAsiaTheme="minorHAnsi"/>
          <w:color w:val="000000" w:themeColor="text1"/>
          <w:sz w:val="20"/>
          <w:szCs w:val="20"/>
          <w:lang w:eastAsia="en-US"/>
        </w:rPr>
        <w:t xml:space="preserve"> Conseil d’Administration de CAFI</w:t>
      </w:r>
      <w:r w:rsidR="00E04578">
        <w:rPr>
          <w:rFonts w:eastAsiaTheme="minorHAnsi"/>
          <w:color w:val="000000" w:themeColor="text1"/>
          <w:sz w:val="20"/>
          <w:szCs w:val="20"/>
          <w:lang w:eastAsia="en-US"/>
        </w:rPr>
        <w:t xml:space="preserve">. Cette approche induit un surcoût de 540 000 dollars US sur cinq années par </w:t>
      </w:r>
      <w:r w:rsidR="00CC54EA">
        <w:rPr>
          <w:rFonts w:eastAsiaTheme="minorHAnsi"/>
          <w:color w:val="000000" w:themeColor="text1"/>
          <w:sz w:val="20"/>
          <w:szCs w:val="20"/>
          <w:lang w:eastAsia="en-US"/>
        </w:rPr>
        <w:t>rapport aux frais de gestion habituels.</w:t>
      </w:r>
    </w:p>
    <w:p w:rsidR="006C6753" w:rsidRDefault="006C6753">
      <w:pPr>
        <w:spacing w:after="160" w:line="259" w:lineRule="auto"/>
        <w:rPr>
          <w:rFonts w:eastAsiaTheme="minorHAnsi"/>
          <w:color w:val="000000" w:themeColor="text1"/>
          <w:sz w:val="20"/>
          <w:szCs w:val="20"/>
          <w:lang w:eastAsia="en-US"/>
        </w:rPr>
      </w:pPr>
      <w:r>
        <w:rPr>
          <w:rFonts w:eastAsiaTheme="minorHAnsi"/>
          <w:color w:val="000000" w:themeColor="text1"/>
          <w:sz w:val="20"/>
          <w:szCs w:val="20"/>
          <w:lang w:eastAsia="en-US"/>
        </w:rPr>
        <w:br w:type="page"/>
      </w:r>
    </w:p>
    <w:p w:rsidR="00D930FF" w:rsidRPr="006A19CF" w:rsidRDefault="00D930FF" w:rsidP="003B67E5">
      <w:pPr>
        <w:contextualSpacing/>
        <w:jc w:val="both"/>
        <w:rPr>
          <w:rFonts w:eastAsiaTheme="minorHAnsi"/>
          <w:color w:val="000000" w:themeColor="text1"/>
          <w:sz w:val="20"/>
          <w:szCs w:val="20"/>
          <w:lang w:eastAsia="en-U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352"/>
        <w:gridCol w:w="1345"/>
        <w:gridCol w:w="222"/>
        <w:gridCol w:w="1334"/>
        <w:gridCol w:w="2328"/>
      </w:tblGrid>
      <w:tr w:rsidR="00D930FF" w:rsidRPr="00D930FF" w:rsidTr="00ED144B">
        <w:trPr>
          <w:trHeight w:val="240"/>
          <w:jc w:val="center"/>
        </w:trPr>
        <w:tc>
          <w:tcPr>
            <w:tcW w:w="9600" w:type="dxa"/>
            <w:gridSpan w:val="6"/>
            <w:tcBorders>
              <w:top w:val="nil"/>
              <w:left w:val="nil"/>
              <w:bottom w:val="nil"/>
              <w:right w:val="nil"/>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95215">
              <w:rPr>
                <w:rFonts w:ascii="Calibri" w:eastAsia="Times New Roman" w:hAnsi="Calibri" w:cs="Times New Roman"/>
                <w:b/>
                <w:bCs/>
                <w:color w:val="000000"/>
                <w:sz w:val="18"/>
                <w:szCs w:val="18"/>
                <w:lang w:eastAsia="en-US"/>
              </w:rPr>
              <w:t>Budget PIREDD Mai-</w:t>
            </w:r>
            <w:r w:rsidRPr="00ED144B">
              <w:rPr>
                <w:rFonts w:ascii="Calibri" w:eastAsia="Times New Roman" w:hAnsi="Calibri" w:cs="Times New Roman"/>
                <w:b/>
                <w:bCs/>
                <w:color w:val="000000"/>
                <w:sz w:val="18"/>
                <w:szCs w:val="18"/>
                <w:lang w:eastAsia="en-US"/>
              </w:rPr>
              <w:t>Ndombe sur 5 ans (2017 -2021)</w:t>
            </w:r>
          </w:p>
        </w:tc>
      </w:tr>
      <w:tr w:rsidR="00D930FF" w:rsidRPr="00D930FF" w:rsidTr="00D930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bookmarkStart w:id="31" w:name="RANGE!B7:G19"/>
            <w:bookmarkEnd w:id="31"/>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3820" w:type="dxa"/>
            <w:gridSpan w:val="2"/>
            <w:tcBorders>
              <w:top w:val="nil"/>
              <w:left w:val="nil"/>
              <w:bottom w:val="single" w:sz="4" w:space="0" w:color="auto"/>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r w:rsidRPr="00ED144B">
              <w:rPr>
                <w:rFonts w:ascii="Calibri" w:eastAsia="Times New Roman" w:hAnsi="Calibri" w:cs="Times New Roman"/>
                <w:b/>
                <w:bCs/>
                <w:i/>
                <w:iCs/>
                <w:color w:val="000000"/>
                <w:sz w:val="18"/>
                <w:szCs w:val="18"/>
                <w:u w:val="single"/>
                <w:lang w:eastAsia="en-US"/>
              </w:rPr>
              <w:t xml:space="preserve">Expert en Gestion </w:t>
            </w:r>
            <w:r w:rsidRPr="00E95215">
              <w:rPr>
                <w:rFonts w:ascii="Calibri" w:eastAsia="Times New Roman" w:hAnsi="Calibri" w:cs="Times New Roman"/>
                <w:b/>
                <w:bCs/>
                <w:i/>
                <w:iCs/>
                <w:color w:val="000000"/>
                <w:sz w:val="18"/>
                <w:szCs w:val="18"/>
                <w:u w:val="single"/>
                <w:lang w:eastAsia="en-US"/>
              </w:rPr>
              <w:t>Financière</w:t>
            </w:r>
          </w:p>
        </w:tc>
      </w:tr>
      <w:tr w:rsidR="00D930FF" w:rsidRPr="00D930FF" w:rsidTr="00ED144B">
        <w:trPr>
          <w:trHeight w:val="368"/>
          <w:jc w:val="center"/>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7,410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Base </w:t>
            </w:r>
            <w:r w:rsidRPr="00E95215">
              <w:rPr>
                <w:rFonts w:ascii="Calibri" w:eastAsia="Times New Roman" w:hAnsi="Calibri" w:cs="Times New Roman"/>
                <w:color w:val="000000"/>
                <w:sz w:val="18"/>
                <w:szCs w:val="18"/>
                <w:lang w:eastAsia="en-US"/>
              </w:rPr>
              <w:t>annuelle</w:t>
            </w:r>
            <w:r w:rsidRPr="00ED144B">
              <w:rPr>
                <w:rFonts w:ascii="Calibri" w:eastAsia="Times New Roman" w:hAnsi="Calibri" w:cs="Times New Roman"/>
                <w:color w:val="000000"/>
                <w:sz w:val="18"/>
                <w:szCs w:val="18"/>
                <w:lang w:eastAsia="en-US"/>
              </w:rPr>
              <w:t>: 190 jours à 400 USD +17% frais de struct</w:t>
            </w:r>
            <w:r w:rsidRPr="00E95215">
              <w:rPr>
                <w:rFonts w:ascii="Calibri" w:eastAsia="Times New Roman" w:hAnsi="Calibri" w:cs="Times New Roman"/>
                <w:color w:val="000000"/>
                <w:sz w:val="18"/>
                <w:szCs w:val="18"/>
                <w:lang w:eastAsia="en-US"/>
              </w:rPr>
              <w:t>ure</w:t>
            </w:r>
          </w:p>
        </w:tc>
      </w:tr>
      <w:tr w:rsidR="00D930FF" w:rsidRPr="00D930FF" w:rsidTr="00ED144B">
        <w:trPr>
          <w:trHeight w:val="480"/>
          <w:jc w:val="center"/>
        </w:trPr>
        <w:tc>
          <w:tcPr>
            <w:tcW w:w="2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RDC</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Banque mondiale</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 mission par mois de 7 jours</w:t>
            </w:r>
          </w:p>
        </w:tc>
      </w:tr>
      <w:tr w:rsidR="00D930FF" w:rsidRPr="00D930FF" w:rsidTr="00ED144B">
        <w:trPr>
          <w:trHeight w:val="197"/>
          <w:jc w:val="center"/>
        </w:trPr>
        <w:tc>
          <w:tcPr>
            <w:tcW w:w="2920" w:type="dxa"/>
            <w:vMerge w:val="restart"/>
            <w:tcBorders>
              <w:top w:val="nil"/>
              <w:left w:val="single" w:sz="4" w:space="0" w:color="auto"/>
              <w:bottom w:val="single" w:sz="4" w:space="0" w:color="000000"/>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Dépenses de mise en œuvre du PIREDD Mai-Ndombe</w:t>
            </w:r>
            <w:r w:rsidRPr="00ED144B">
              <w:rPr>
                <w:rFonts w:ascii="Calibri" w:eastAsia="Times New Roman" w:hAnsi="Calibri" w:cs="Times New Roman"/>
                <w:color w:val="000000"/>
                <w:sz w:val="18"/>
                <w:szCs w:val="18"/>
                <w:lang w:eastAsia="en-US"/>
              </w:rPr>
              <w:br/>
            </w:r>
            <w:r w:rsidRPr="00ED144B">
              <w:rPr>
                <w:rFonts w:ascii="Calibri" w:eastAsia="Times New Roman" w:hAnsi="Calibri" w:cs="Times New Roman"/>
                <w:color w:val="000000"/>
                <w:sz w:val="18"/>
                <w:szCs w:val="18"/>
                <w:lang w:eastAsia="en-US"/>
              </w:rPr>
              <w:br/>
              <w:t>Coûts directs  éligibles</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27,247,383</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790,000</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Transport (avion et/ou autre)</w:t>
            </w:r>
          </w:p>
        </w:tc>
      </w:tr>
      <w:tr w:rsidR="00D930FF" w:rsidRPr="00D930FF" w:rsidTr="00ED144B">
        <w:trPr>
          <w:trHeight w:val="58"/>
          <w:jc w:val="center"/>
        </w:trPr>
        <w:tc>
          <w:tcPr>
            <w:tcW w:w="2920" w:type="dxa"/>
            <w:vMerge/>
            <w:tcBorders>
              <w:top w:val="nil"/>
              <w:left w:val="single" w:sz="4" w:space="0" w:color="auto"/>
              <w:bottom w:val="single" w:sz="4" w:space="0" w:color="000000"/>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380" w:type="dxa"/>
            <w:vMerge/>
            <w:tcBorders>
              <w:top w:val="nil"/>
              <w:left w:val="single" w:sz="4" w:space="0" w:color="auto"/>
              <w:bottom w:val="single" w:sz="4" w:space="0" w:color="auto"/>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380" w:type="dxa"/>
            <w:vMerge/>
            <w:tcBorders>
              <w:top w:val="nil"/>
              <w:left w:val="single" w:sz="4" w:space="0" w:color="auto"/>
              <w:bottom w:val="single" w:sz="4" w:space="0" w:color="auto"/>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390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Divers (</w:t>
            </w:r>
            <w:r w:rsidRPr="00E95215">
              <w:rPr>
                <w:rFonts w:ascii="Calibri" w:eastAsia="Times New Roman" w:hAnsi="Calibri" w:cs="Times New Roman"/>
                <w:color w:val="000000"/>
                <w:sz w:val="18"/>
                <w:szCs w:val="18"/>
                <w:lang w:eastAsia="en-US"/>
              </w:rPr>
              <w:t>tel.</w:t>
            </w:r>
            <w:r w:rsidRPr="00ED144B">
              <w:rPr>
                <w:rFonts w:ascii="Calibri" w:eastAsia="Times New Roman" w:hAnsi="Calibri" w:cs="Times New Roman"/>
                <w:color w:val="000000"/>
                <w:sz w:val="18"/>
                <w:szCs w:val="18"/>
                <w:lang w:eastAsia="en-US"/>
              </w:rPr>
              <w:t xml:space="preserve"> transport, etc.)</w:t>
            </w:r>
          </w:p>
        </w:tc>
      </w:tr>
      <w:tr w:rsidR="00D930FF" w:rsidRPr="00D930FF" w:rsidTr="00ED144B">
        <w:trPr>
          <w:trHeight w:val="818"/>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Frais de préparation,  de supervision et de clôture du projet (frais de gestion</w:t>
            </w:r>
            <w:r w:rsidRPr="00E95215">
              <w:rPr>
                <w:rFonts w:ascii="Calibri" w:eastAsia="Times New Roman" w:hAnsi="Calibri" w:cs="Times New Roman"/>
                <w:color w:val="000000"/>
                <w:sz w:val="18"/>
                <w:szCs w:val="18"/>
                <w:lang w:eastAsia="en-US"/>
              </w:rPr>
              <w:t xml:space="preserve">) </w:t>
            </w:r>
            <w:r w:rsidRPr="00ED144B">
              <w:rPr>
                <w:rFonts w:ascii="Calibri" w:eastAsia="Times New Roman" w:hAnsi="Calibri" w:cs="Times New Roman"/>
                <w:color w:val="000000"/>
                <w:sz w:val="18"/>
                <w:szCs w:val="18"/>
                <w:lang w:eastAsia="en-US"/>
              </w:rPr>
              <w:br/>
              <w:t>7% des coûts directs  éligibles</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1,962,617</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9,000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mois</w:t>
            </w:r>
          </w:p>
        </w:tc>
      </w:tr>
      <w:tr w:rsidR="00D930FF" w:rsidRPr="00D930FF" w:rsidTr="00D930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Sous total</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27,247,383</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2,752,617</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108,000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an</w:t>
            </w:r>
          </w:p>
        </w:tc>
      </w:tr>
      <w:tr w:rsidR="00D930FF" w:rsidRPr="00D930FF" w:rsidTr="00ED144B">
        <w:trPr>
          <w:trHeight w:val="240"/>
          <w:jc w:val="center"/>
        </w:trPr>
        <w:tc>
          <w:tcPr>
            <w:tcW w:w="292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Total</w:t>
            </w:r>
          </w:p>
        </w:tc>
        <w:tc>
          <w:tcPr>
            <w:tcW w:w="276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30,000,000</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540,000</w:t>
            </w:r>
          </w:p>
        </w:tc>
        <w:tc>
          <w:tcPr>
            <w:tcW w:w="2440" w:type="dxa"/>
            <w:tcBorders>
              <w:top w:val="nil"/>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pour 5 ans</w:t>
            </w:r>
          </w:p>
        </w:tc>
      </w:tr>
      <w:tr w:rsidR="00D930FF" w:rsidRPr="00D930FF" w:rsidTr="00D930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44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r>
      <w:tr w:rsidR="00D930FF" w:rsidRPr="00D930FF" w:rsidTr="00D930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3820" w:type="dxa"/>
            <w:gridSpan w:val="2"/>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r w:rsidRPr="00ED144B">
              <w:rPr>
                <w:rFonts w:ascii="Calibri" w:eastAsia="Times New Roman" w:hAnsi="Calibri" w:cs="Times New Roman"/>
                <w:b/>
                <w:bCs/>
                <w:i/>
                <w:iCs/>
                <w:color w:val="000000"/>
                <w:sz w:val="18"/>
                <w:szCs w:val="18"/>
                <w:u w:val="single"/>
                <w:lang w:eastAsia="en-US"/>
              </w:rPr>
              <w:t xml:space="preserve">Coûts directs de </w:t>
            </w:r>
            <w:r w:rsidRPr="00E95215">
              <w:rPr>
                <w:rFonts w:ascii="Calibri" w:eastAsia="Times New Roman" w:hAnsi="Calibri" w:cs="Times New Roman"/>
                <w:b/>
                <w:bCs/>
                <w:i/>
                <w:iCs/>
                <w:color w:val="000000"/>
                <w:sz w:val="18"/>
                <w:szCs w:val="18"/>
                <w:u w:val="single"/>
                <w:lang w:eastAsia="en-US"/>
              </w:rPr>
              <w:t>supervision</w:t>
            </w:r>
          </w:p>
        </w:tc>
      </w:tr>
      <w:tr w:rsidR="00D930FF" w:rsidRPr="00D930FF" w:rsidTr="00D930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25,000</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 mission de supervision par semestre (au moins)</w:t>
            </w:r>
          </w:p>
        </w:tc>
      </w:tr>
      <w:tr w:rsidR="00D930FF" w:rsidRPr="00D930FF" w:rsidTr="00D930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50,000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an</w:t>
            </w:r>
          </w:p>
        </w:tc>
      </w:tr>
      <w:tr w:rsidR="00D930FF" w:rsidRPr="00D930FF" w:rsidTr="00ED144B">
        <w:trPr>
          <w:trHeight w:val="240"/>
          <w:jc w:val="center"/>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250,000</w:t>
            </w:r>
          </w:p>
        </w:tc>
        <w:tc>
          <w:tcPr>
            <w:tcW w:w="2440" w:type="dxa"/>
            <w:tcBorders>
              <w:top w:val="nil"/>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pour 5 ans</w:t>
            </w:r>
          </w:p>
        </w:tc>
      </w:tr>
    </w:tbl>
    <w:p w:rsidR="00D930FF" w:rsidRDefault="00D930FF" w:rsidP="00554D4F">
      <w:pPr>
        <w:contextualSpacing/>
        <w:rPr>
          <w:rFonts w:eastAsiaTheme="minorHAnsi"/>
          <w:b/>
          <w:color w:val="000000" w:themeColor="text1"/>
          <w:sz w:val="20"/>
          <w:szCs w:val="20"/>
          <w:lang w:eastAsia="en-US"/>
        </w:rPr>
      </w:pPr>
    </w:p>
    <w:tbl>
      <w:tblPr>
        <w:tblW w:w="9360" w:type="dxa"/>
        <w:tblLook w:val="04A0" w:firstRow="1" w:lastRow="0" w:firstColumn="1" w:lastColumn="0" w:noHBand="0" w:noVBand="1"/>
      </w:tblPr>
      <w:tblGrid>
        <w:gridCol w:w="2871"/>
        <w:gridCol w:w="1371"/>
        <w:gridCol w:w="1368"/>
        <w:gridCol w:w="222"/>
        <w:gridCol w:w="1365"/>
        <w:gridCol w:w="2163"/>
      </w:tblGrid>
      <w:tr w:rsidR="00D930FF" w:rsidRPr="00D930FF" w:rsidTr="00ED144B">
        <w:trPr>
          <w:trHeight w:val="240"/>
        </w:trPr>
        <w:tc>
          <w:tcPr>
            <w:tcW w:w="9360" w:type="dxa"/>
            <w:gridSpan w:val="6"/>
            <w:tcBorders>
              <w:top w:val="nil"/>
              <w:left w:val="nil"/>
              <w:bottom w:val="nil"/>
              <w:right w:val="nil"/>
            </w:tcBorders>
            <w:shd w:val="clear" w:color="000000" w:fill="D8E4BC"/>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Budget </w:t>
            </w:r>
            <w:r w:rsidRPr="00E95215">
              <w:rPr>
                <w:rFonts w:ascii="Calibri" w:eastAsia="Times New Roman" w:hAnsi="Calibri" w:cs="Times New Roman"/>
                <w:b/>
                <w:bCs/>
                <w:color w:val="000000"/>
                <w:sz w:val="18"/>
                <w:szCs w:val="18"/>
                <w:lang w:eastAsia="en-US"/>
              </w:rPr>
              <w:t>PIREDD Mai-</w:t>
            </w:r>
            <w:r w:rsidRPr="00ED144B">
              <w:rPr>
                <w:rFonts w:ascii="Calibri" w:eastAsia="Times New Roman" w:hAnsi="Calibri" w:cs="Times New Roman"/>
                <w:b/>
                <w:bCs/>
                <w:color w:val="000000"/>
                <w:sz w:val="18"/>
                <w:szCs w:val="18"/>
                <w:lang w:eastAsia="en-US"/>
              </w:rPr>
              <w:t>Ndombe sur 3 ans (2017 -2019)</w:t>
            </w:r>
          </w:p>
        </w:tc>
      </w:tr>
      <w:tr w:rsidR="00D930FF" w:rsidRPr="00D930FF" w:rsidTr="00ED144B">
        <w:trPr>
          <w:trHeight w:val="240"/>
        </w:trPr>
        <w:tc>
          <w:tcPr>
            <w:tcW w:w="28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8"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3528" w:type="dxa"/>
            <w:gridSpan w:val="2"/>
            <w:tcBorders>
              <w:top w:val="nil"/>
              <w:left w:val="nil"/>
              <w:bottom w:val="single" w:sz="4" w:space="0" w:color="auto"/>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r w:rsidRPr="00ED144B">
              <w:rPr>
                <w:rFonts w:ascii="Calibri" w:eastAsia="Times New Roman" w:hAnsi="Calibri" w:cs="Times New Roman"/>
                <w:b/>
                <w:bCs/>
                <w:i/>
                <w:iCs/>
                <w:color w:val="000000"/>
                <w:sz w:val="18"/>
                <w:szCs w:val="18"/>
                <w:u w:val="single"/>
                <w:lang w:eastAsia="en-US"/>
              </w:rPr>
              <w:t xml:space="preserve">Expert en Gestion </w:t>
            </w:r>
            <w:r w:rsidRPr="00E95215">
              <w:rPr>
                <w:rFonts w:ascii="Calibri" w:eastAsia="Times New Roman" w:hAnsi="Calibri" w:cs="Times New Roman"/>
                <w:b/>
                <w:bCs/>
                <w:i/>
                <w:iCs/>
                <w:color w:val="000000"/>
                <w:sz w:val="18"/>
                <w:szCs w:val="18"/>
                <w:u w:val="single"/>
                <w:lang w:eastAsia="en-US"/>
              </w:rPr>
              <w:t>Financière</w:t>
            </w:r>
          </w:p>
        </w:tc>
      </w:tr>
      <w:tr w:rsidR="00D930FF" w:rsidRPr="00D930FF" w:rsidTr="00D930FF">
        <w:trPr>
          <w:trHeight w:val="480"/>
        </w:trPr>
        <w:tc>
          <w:tcPr>
            <w:tcW w:w="28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p>
        </w:tc>
        <w:tc>
          <w:tcPr>
            <w:tcW w:w="13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8"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5"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7,410</w:t>
            </w:r>
          </w:p>
        </w:tc>
        <w:tc>
          <w:tcPr>
            <w:tcW w:w="2163"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Base </w:t>
            </w:r>
            <w:r w:rsidRPr="00E95215">
              <w:rPr>
                <w:rFonts w:ascii="Calibri" w:eastAsia="Times New Roman" w:hAnsi="Calibri" w:cs="Times New Roman"/>
                <w:color w:val="000000"/>
                <w:sz w:val="18"/>
                <w:szCs w:val="18"/>
                <w:lang w:eastAsia="en-US"/>
              </w:rPr>
              <w:t>annuelle</w:t>
            </w:r>
            <w:r w:rsidRPr="00ED144B">
              <w:rPr>
                <w:rFonts w:ascii="Calibri" w:eastAsia="Times New Roman" w:hAnsi="Calibri" w:cs="Times New Roman"/>
                <w:color w:val="000000"/>
                <w:sz w:val="18"/>
                <w:szCs w:val="18"/>
                <w:lang w:eastAsia="en-US"/>
              </w:rPr>
              <w:t>: 190 jours à 400 USD +17% frais de struct</w:t>
            </w:r>
            <w:r w:rsidRPr="00E95215">
              <w:rPr>
                <w:rFonts w:ascii="Calibri" w:eastAsia="Times New Roman" w:hAnsi="Calibri" w:cs="Times New Roman"/>
                <w:color w:val="000000"/>
                <w:sz w:val="18"/>
                <w:szCs w:val="18"/>
                <w:lang w:eastAsia="en-US"/>
              </w:rPr>
              <w:t>ure</w:t>
            </w:r>
          </w:p>
        </w:tc>
      </w:tr>
      <w:tr w:rsidR="00D930FF" w:rsidRPr="00D930FF" w:rsidTr="00ED144B">
        <w:trPr>
          <w:trHeight w:val="480"/>
        </w:trPr>
        <w:tc>
          <w:tcPr>
            <w:tcW w:w="2871" w:type="dxa"/>
            <w:tcBorders>
              <w:top w:val="single" w:sz="4" w:space="0" w:color="auto"/>
              <w:left w:val="single" w:sz="4" w:space="0" w:color="auto"/>
              <w:bottom w:val="single" w:sz="4" w:space="0" w:color="auto"/>
              <w:right w:val="single" w:sz="4" w:space="0" w:color="auto"/>
            </w:tcBorders>
            <w:shd w:val="clear" w:color="auto" w:fill="D8E4BC"/>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71" w:type="dxa"/>
            <w:tcBorders>
              <w:top w:val="single" w:sz="4" w:space="0" w:color="auto"/>
              <w:left w:val="nil"/>
              <w:bottom w:val="single" w:sz="4" w:space="0" w:color="auto"/>
              <w:right w:val="single" w:sz="4" w:space="0" w:color="auto"/>
            </w:tcBorders>
            <w:shd w:val="clear" w:color="auto" w:fill="D8E4BC"/>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RDC</w:t>
            </w:r>
          </w:p>
        </w:tc>
        <w:tc>
          <w:tcPr>
            <w:tcW w:w="1368" w:type="dxa"/>
            <w:tcBorders>
              <w:top w:val="single" w:sz="4" w:space="0" w:color="auto"/>
              <w:left w:val="nil"/>
              <w:bottom w:val="single" w:sz="4" w:space="0" w:color="auto"/>
              <w:right w:val="single" w:sz="4" w:space="0" w:color="auto"/>
            </w:tcBorders>
            <w:shd w:val="clear" w:color="auto" w:fill="D8E4BC"/>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Banque mondiale</w:t>
            </w: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65"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700</w:t>
            </w:r>
          </w:p>
        </w:tc>
        <w:tc>
          <w:tcPr>
            <w:tcW w:w="2163"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 mission par mois de 7 jours</w:t>
            </w:r>
          </w:p>
        </w:tc>
      </w:tr>
      <w:tr w:rsidR="00D930FF" w:rsidRPr="00D930FF" w:rsidTr="00D930FF">
        <w:trPr>
          <w:trHeight w:val="240"/>
        </w:trPr>
        <w:tc>
          <w:tcPr>
            <w:tcW w:w="2871" w:type="dxa"/>
            <w:vMerge w:val="restart"/>
            <w:tcBorders>
              <w:top w:val="nil"/>
              <w:left w:val="single" w:sz="4" w:space="0" w:color="auto"/>
              <w:bottom w:val="single" w:sz="4" w:space="0" w:color="000000"/>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Dépenses de mise en œuvre du PIREDD Mai-Ndombe</w:t>
            </w:r>
            <w:r w:rsidRPr="00ED144B">
              <w:rPr>
                <w:rFonts w:ascii="Calibri" w:eastAsia="Times New Roman" w:hAnsi="Calibri" w:cs="Times New Roman"/>
                <w:color w:val="000000"/>
                <w:sz w:val="18"/>
                <w:szCs w:val="18"/>
                <w:lang w:eastAsia="en-US"/>
              </w:rPr>
              <w:br/>
            </w:r>
            <w:r w:rsidRPr="00ED144B">
              <w:rPr>
                <w:rFonts w:ascii="Calibri" w:eastAsia="Times New Roman" w:hAnsi="Calibri" w:cs="Times New Roman"/>
                <w:color w:val="000000"/>
                <w:sz w:val="18"/>
                <w:szCs w:val="18"/>
                <w:lang w:eastAsia="en-US"/>
              </w:rPr>
              <w:br/>
              <w:t>Coûts directs  éligibles</w:t>
            </w: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18,217,589</w:t>
            </w:r>
          </w:p>
        </w:tc>
        <w:tc>
          <w:tcPr>
            <w:tcW w:w="1368" w:type="dxa"/>
            <w:vMerge w:val="restart"/>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474,000</w:t>
            </w: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65"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w:t>
            </w:r>
          </w:p>
        </w:tc>
        <w:tc>
          <w:tcPr>
            <w:tcW w:w="2163"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Transport (avion et/ou autre)</w:t>
            </w:r>
          </w:p>
        </w:tc>
      </w:tr>
      <w:tr w:rsidR="00D930FF" w:rsidRPr="00D930FF" w:rsidTr="00D930FF">
        <w:trPr>
          <w:trHeight w:val="215"/>
        </w:trPr>
        <w:tc>
          <w:tcPr>
            <w:tcW w:w="2871" w:type="dxa"/>
            <w:vMerge/>
            <w:tcBorders>
              <w:top w:val="nil"/>
              <w:left w:val="single" w:sz="4" w:space="0" w:color="auto"/>
              <w:bottom w:val="single" w:sz="4" w:space="0" w:color="000000"/>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371" w:type="dxa"/>
            <w:vMerge/>
            <w:tcBorders>
              <w:top w:val="nil"/>
              <w:left w:val="single" w:sz="4" w:space="0" w:color="auto"/>
              <w:bottom w:val="single" w:sz="4" w:space="0" w:color="auto"/>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368" w:type="dxa"/>
            <w:vMerge/>
            <w:tcBorders>
              <w:top w:val="nil"/>
              <w:left w:val="single" w:sz="4" w:space="0" w:color="auto"/>
              <w:bottom w:val="single" w:sz="4" w:space="0" w:color="auto"/>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65"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390</w:t>
            </w:r>
          </w:p>
        </w:tc>
        <w:tc>
          <w:tcPr>
            <w:tcW w:w="2163"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Divers (</w:t>
            </w:r>
            <w:r w:rsidRPr="00E95215">
              <w:rPr>
                <w:rFonts w:ascii="Calibri" w:eastAsia="Times New Roman" w:hAnsi="Calibri" w:cs="Times New Roman"/>
                <w:color w:val="000000"/>
                <w:sz w:val="18"/>
                <w:szCs w:val="18"/>
                <w:lang w:eastAsia="en-US"/>
              </w:rPr>
              <w:t>tel.</w:t>
            </w:r>
            <w:r w:rsidRPr="00ED144B">
              <w:rPr>
                <w:rFonts w:ascii="Calibri" w:eastAsia="Times New Roman" w:hAnsi="Calibri" w:cs="Times New Roman"/>
                <w:color w:val="000000"/>
                <w:sz w:val="18"/>
                <w:szCs w:val="18"/>
                <w:lang w:eastAsia="en-US"/>
              </w:rPr>
              <w:t xml:space="preserve"> transport, etc.)</w:t>
            </w:r>
          </w:p>
        </w:tc>
      </w:tr>
      <w:tr w:rsidR="00D930FF" w:rsidRPr="00D930FF" w:rsidTr="00ED144B">
        <w:trPr>
          <w:trHeight w:val="683"/>
        </w:trPr>
        <w:tc>
          <w:tcPr>
            <w:tcW w:w="2871"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Frais de préparation,  de supervision et de clôture du projet (frais de gestion)</w:t>
            </w:r>
            <w:r w:rsidRPr="00ED144B">
              <w:rPr>
                <w:rFonts w:ascii="Calibri" w:eastAsia="Times New Roman" w:hAnsi="Calibri" w:cs="Times New Roman"/>
                <w:color w:val="000000"/>
                <w:sz w:val="18"/>
                <w:szCs w:val="18"/>
                <w:lang w:eastAsia="en-US"/>
              </w:rPr>
              <w:br/>
              <w:t>7% des coûts directs  éligibles</w:t>
            </w:r>
          </w:p>
        </w:tc>
        <w:tc>
          <w:tcPr>
            <w:tcW w:w="1371"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68"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1,308,411</w:t>
            </w: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65"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9,000</w:t>
            </w:r>
          </w:p>
        </w:tc>
        <w:tc>
          <w:tcPr>
            <w:tcW w:w="2163"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mois</w:t>
            </w:r>
          </w:p>
        </w:tc>
      </w:tr>
      <w:tr w:rsidR="00D930FF" w:rsidRPr="00D930FF" w:rsidTr="00D930FF">
        <w:trPr>
          <w:trHeight w:val="240"/>
        </w:trPr>
        <w:tc>
          <w:tcPr>
            <w:tcW w:w="2871"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Sous total</w:t>
            </w:r>
          </w:p>
        </w:tc>
        <w:tc>
          <w:tcPr>
            <w:tcW w:w="1371"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18,217,589</w:t>
            </w:r>
          </w:p>
        </w:tc>
        <w:tc>
          <w:tcPr>
            <w:tcW w:w="1368"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1,782,411</w:t>
            </w: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65"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108,000</w:t>
            </w:r>
          </w:p>
        </w:tc>
        <w:tc>
          <w:tcPr>
            <w:tcW w:w="2163"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an</w:t>
            </w:r>
          </w:p>
        </w:tc>
      </w:tr>
      <w:tr w:rsidR="00D930FF" w:rsidRPr="00D930FF" w:rsidTr="00D930FF">
        <w:trPr>
          <w:trHeight w:val="240"/>
        </w:trPr>
        <w:tc>
          <w:tcPr>
            <w:tcW w:w="2871" w:type="dxa"/>
            <w:tcBorders>
              <w:top w:val="nil"/>
              <w:left w:val="single" w:sz="4" w:space="0" w:color="auto"/>
              <w:bottom w:val="single" w:sz="4" w:space="0" w:color="auto"/>
              <w:right w:val="single" w:sz="4" w:space="0" w:color="auto"/>
            </w:tcBorders>
            <w:shd w:val="clear" w:color="000000" w:fill="D8E4BC"/>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Total</w:t>
            </w:r>
          </w:p>
        </w:tc>
        <w:tc>
          <w:tcPr>
            <w:tcW w:w="2739" w:type="dxa"/>
            <w:gridSpan w:val="2"/>
            <w:tcBorders>
              <w:top w:val="single" w:sz="4" w:space="0" w:color="auto"/>
              <w:left w:val="nil"/>
              <w:bottom w:val="single" w:sz="4" w:space="0" w:color="auto"/>
              <w:right w:val="single" w:sz="4" w:space="0" w:color="auto"/>
            </w:tcBorders>
            <w:shd w:val="clear" w:color="000000" w:fill="D8E4BC"/>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20,000,000</w:t>
            </w: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65" w:type="dxa"/>
            <w:tcBorders>
              <w:top w:val="nil"/>
              <w:left w:val="single" w:sz="4" w:space="0" w:color="auto"/>
              <w:bottom w:val="single" w:sz="4" w:space="0" w:color="auto"/>
              <w:right w:val="single" w:sz="4" w:space="0" w:color="auto"/>
            </w:tcBorders>
            <w:shd w:val="clear" w:color="000000" w:fill="D8E4BC"/>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324,000</w:t>
            </w:r>
          </w:p>
        </w:tc>
        <w:tc>
          <w:tcPr>
            <w:tcW w:w="2163" w:type="dxa"/>
            <w:tcBorders>
              <w:top w:val="nil"/>
              <w:left w:val="nil"/>
              <w:bottom w:val="single" w:sz="4" w:space="0" w:color="auto"/>
              <w:right w:val="single" w:sz="4" w:space="0" w:color="auto"/>
            </w:tcBorders>
            <w:shd w:val="clear" w:color="000000" w:fill="D8E4BC"/>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pour 3 ans</w:t>
            </w:r>
          </w:p>
        </w:tc>
      </w:tr>
      <w:tr w:rsidR="00D930FF" w:rsidRPr="00D930FF" w:rsidTr="00D930FF">
        <w:trPr>
          <w:trHeight w:val="240"/>
        </w:trPr>
        <w:tc>
          <w:tcPr>
            <w:tcW w:w="28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p>
        </w:tc>
        <w:tc>
          <w:tcPr>
            <w:tcW w:w="13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8"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5"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163"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r>
      <w:tr w:rsidR="00D930FF" w:rsidRPr="00D930FF" w:rsidTr="00ED144B">
        <w:trPr>
          <w:trHeight w:val="240"/>
        </w:trPr>
        <w:tc>
          <w:tcPr>
            <w:tcW w:w="28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8"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3528" w:type="dxa"/>
            <w:gridSpan w:val="2"/>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r w:rsidRPr="00ED144B">
              <w:rPr>
                <w:rFonts w:ascii="Calibri" w:eastAsia="Times New Roman" w:hAnsi="Calibri" w:cs="Times New Roman"/>
                <w:b/>
                <w:bCs/>
                <w:i/>
                <w:iCs/>
                <w:color w:val="000000"/>
                <w:sz w:val="18"/>
                <w:szCs w:val="18"/>
                <w:u w:val="single"/>
                <w:lang w:eastAsia="en-US"/>
              </w:rPr>
              <w:t xml:space="preserve">Coûts directs de </w:t>
            </w:r>
            <w:r w:rsidRPr="00E95215">
              <w:rPr>
                <w:rFonts w:ascii="Calibri" w:eastAsia="Times New Roman" w:hAnsi="Calibri" w:cs="Times New Roman"/>
                <w:b/>
                <w:bCs/>
                <w:i/>
                <w:iCs/>
                <w:color w:val="000000"/>
                <w:sz w:val="18"/>
                <w:szCs w:val="18"/>
                <w:u w:val="single"/>
                <w:lang w:eastAsia="en-US"/>
              </w:rPr>
              <w:t>supervision</w:t>
            </w:r>
          </w:p>
        </w:tc>
      </w:tr>
      <w:tr w:rsidR="00D930FF" w:rsidRPr="00D930FF" w:rsidTr="00D930FF">
        <w:trPr>
          <w:trHeight w:val="240"/>
        </w:trPr>
        <w:tc>
          <w:tcPr>
            <w:tcW w:w="28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p>
        </w:tc>
        <w:tc>
          <w:tcPr>
            <w:tcW w:w="13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8"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25,000</w:t>
            </w:r>
          </w:p>
        </w:tc>
        <w:tc>
          <w:tcPr>
            <w:tcW w:w="2163" w:type="dxa"/>
            <w:tcBorders>
              <w:top w:val="single" w:sz="4" w:space="0" w:color="auto"/>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 mission de supervision par semestre (au moins)</w:t>
            </w:r>
          </w:p>
        </w:tc>
      </w:tr>
      <w:tr w:rsidR="00D930FF" w:rsidRPr="00D930FF" w:rsidTr="00D930FF">
        <w:trPr>
          <w:trHeight w:val="240"/>
        </w:trPr>
        <w:tc>
          <w:tcPr>
            <w:tcW w:w="28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8"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5"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50,000</w:t>
            </w:r>
          </w:p>
        </w:tc>
        <w:tc>
          <w:tcPr>
            <w:tcW w:w="2163"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an</w:t>
            </w:r>
          </w:p>
        </w:tc>
      </w:tr>
      <w:tr w:rsidR="00D930FF" w:rsidRPr="00D930FF" w:rsidTr="00D930FF">
        <w:trPr>
          <w:trHeight w:val="240"/>
        </w:trPr>
        <w:tc>
          <w:tcPr>
            <w:tcW w:w="28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p>
        </w:tc>
        <w:tc>
          <w:tcPr>
            <w:tcW w:w="1371"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8"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22"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65" w:type="dxa"/>
            <w:tcBorders>
              <w:top w:val="nil"/>
              <w:left w:val="single" w:sz="4" w:space="0" w:color="auto"/>
              <w:bottom w:val="single" w:sz="4" w:space="0" w:color="auto"/>
              <w:right w:val="single" w:sz="4" w:space="0" w:color="auto"/>
            </w:tcBorders>
            <w:shd w:val="clear" w:color="000000" w:fill="D8E4BC"/>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150,000</w:t>
            </w:r>
          </w:p>
        </w:tc>
        <w:tc>
          <w:tcPr>
            <w:tcW w:w="2163" w:type="dxa"/>
            <w:tcBorders>
              <w:top w:val="nil"/>
              <w:left w:val="nil"/>
              <w:bottom w:val="single" w:sz="4" w:space="0" w:color="auto"/>
              <w:right w:val="single" w:sz="4" w:space="0" w:color="auto"/>
            </w:tcBorders>
            <w:shd w:val="clear" w:color="000000" w:fill="D8E4BC"/>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pour 3 ans</w:t>
            </w:r>
          </w:p>
        </w:tc>
      </w:tr>
    </w:tbl>
    <w:p w:rsidR="00D930FF" w:rsidRDefault="00D930FF">
      <w:pPr>
        <w:spacing w:after="160" w:line="259" w:lineRule="auto"/>
        <w:rPr>
          <w:rFonts w:eastAsiaTheme="minorHAnsi"/>
          <w:b/>
          <w:color w:val="000000" w:themeColor="text1"/>
          <w:sz w:val="20"/>
          <w:szCs w:val="20"/>
          <w:lang w:eastAsia="en-US"/>
        </w:rPr>
      </w:pPr>
    </w:p>
    <w:p w:rsidR="006C6753" w:rsidRDefault="006C6753">
      <w:pPr>
        <w:spacing w:after="160" w:line="259" w:lineRule="auto"/>
        <w:rPr>
          <w:rFonts w:eastAsiaTheme="minorHAnsi"/>
          <w:b/>
          <w:color w:val="000000" w:themeColor="text1"/>
          <w:sz w:val="20"/>
          <w:szCs w:val="20"/>
          <w:lang w:eastAsia="en-US"/>
        </w:rPr>
      </w:pPr>
      <w:r>
        <w:rPr>
          <w:rFonts w:eastAsiaTheme="minorHAnsi"/>
          <w:b/>
          <w:color w:val="000000" w:themeColor="text1"/>
          <w:sz w:val="20"/>
          <w:szCs w:val="20"/>
          <w:lang w:eastAsia="en-US"/>
        </w:rPr>
        <w:br w:type="page"/>
      </w:r>
    </w:p>
    <w:p w:rsidR="00D930FF" w:rsidRDefault="00D930FF" w:rsidP="00554D4F">
      <w:pPr>
        <w:contextualSpacing/>
        <w:rPr>
          <w:rFonts w:eastAsiaTheme="minorHAnsi"/>
          <w:b/>
          <w:color w:val="000000" w:themeColor="text1"/>
          <w:sz w:val="20"/>
          <w:szCs w:val="20"/>
          <w:lang w:eastAsia="en-US"/>
        </w:rPr>
      </w:pPr>
    </w:p>
    <w:tbl>
      <w:tblPr>
        <w:tblW w:w="9600" w:type="dxa"/>
        <w:tblLook w:val="04A0" w:firstRow="1" w:lastRow="0" w:firstColumn="1" w:lastColumn="0" w:noHBand="0" w:noVBand="1"/>
      </w:tblPr>
      <w:tblGrid>
        <w:gridCol w:w="2872"/>
        <w:gridCol w:w="1369"/>
        <w:gridCol w:w="1368"/>
        <w:gridCol w:w="222"/>
        <w:gridCol w:w="1365"/>
        <w:gridCol w:w="2404"/>
      </w:tblGrid>
      <w:tr w:rsidR="00D930FF" w:rsidRPr="00D930FF" w:rsidTr="00ED144B">
        <w:trPr>
          <w:trHeight w:val="240"/>
        </w:trPr>
        <w:tc>
          <w:tcPr>
            <w:tcW w:w="9600" w:type="dxa"/>
            <w:gridSpan w:val="6"/>
            <w:tcBorders>
              <w:top w:val="nil"/>
              <w:left w:val="nil"/>
              <w:bottom w:val="nil"/>
              <w:right w:val="nil"/>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95215">
              <w:rPr>
                <w:rFonts w:ascii="Calibri" w:eastAsia="Times New Roman" w:hAnsi="Calibri" w:cs="Times New Roman"/>
                <w:b/>
                <w:bCs/>
                <w:color w:val="000000"/>
                <w:sz w:val="18"/>
                <w:szCs w:val="18"/>
                <w:lang w:eastAsia="en-US"/>
              </w:rPr>
              <w:t>Budget PIREDD Mai</w:t>
            </w:r>
            <w:r>
              <w:rPr>
                <w:rFonts w:ascii="Calibri" w:eastAsia="Times New Roman" w:hAnsi="Calibri" w:cs="Times New Roman"/>
                <w:b/>
                <w:bCs/>
                <w:color w:val="000000"/>
                <w:sz w:val="18"/>
                <w:szCs w:val="18"/>
                <w:lang w:eastAsia="en-US"/>
              </w:rPr>
              <w:t>-</w:t>
            </w:r>
            <w:r w:rsidRPr="00ED144B">
              <w:rPr>
                <w:rFonts w:ascii="Calibri" w:eastAsia="Times New Roman" w:hAnsi="Calibri" w:cs="Times New Roman"/>
                <w:b/>
                <w:bCs/>
                <w:color w:val="000000"/>
                <w:sz w:val="18"/>
                <w:szCs w:val="18"/>
                <w:lang w:eastAsia="en-US"/>
              </w:rPr>
              <w:t>Ndombe sur 2 ans (2020 -2021)</w:t>
            </w:r>
          </w:p>
        </w:tc>
      </w:tr>
      <w:tr w:rsidR="00D930FF" w:rsidRPr="00D930FF" w:rsidTr="00D930FF">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3820" w:type="dxa"/>
            <w:gridSpan w:val="2"/>
            <w:tcBorders>
              <w:top w:val="nil"/>
              <w:left w:val="nil"/>
              <w:bottom w:val="single" w:sz="4" w:space="0" w:color="auto"/>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r w:rsidRPr="00ED144B">
              <w:rPr>
                <w:rFonts w:ascii="Calibri" w:eastAsia="Times New Roman" w:hAnsi="Calibri" w:cs="Times New Roman"/>
                <w:b/>
                <w:bCs/>
                <w:i/>
                <w:iCs/>
                <w:color w:val="000000"/>
                <w:sz w:val="18"/>
                <w:szCs w:val="18"/>
                <w:u w:val="single"/>
                <w:lang w:eastAsia="en-US"/>
              </w:rPr>
              <w:t xml:space="preserve">Expert en Gestion </w:t>
            </w:r>
            <w:r w:rsidRPr="00E95215">
              <w:rPr>
                <w:rFonts w:ascii="Calibri" w:eastAsia="Times New Roman" w:hAnsi="Calibri" w:cs="Times New Roman"/>
                <w:b/>
                <w:bCs/>
                <w:i/>
                <w:iCs/>
                <w:color w:val="000000"/>
                <w:sz w:val="18"/>
                <w:szCs w:val="18"/>
                <w:u w:val="single"/>
                <w:lang w:eastAsia="en-US"/>
              </w:rPr>
              <w:t>Financière</w:t>
            </w:r>
          </w:p>
        </w:tc>
      </w:tr>
      <w:tr w:rsidR="00D930FF" w:rsidRPr="00D930FF" w:rsidTr="00D930FF">
        <w:trPr>
          <w:trHeight w:val="48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7,410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Base </w:t>
            </w:r>
            <w:r w:rsidRPr="00E95215">
              <w:rPr>
                <w:rFonts w:ascii="Calibri" w:eastAsia="Times New Roman" w:hAnsi="Calibri" w:cs="Times New Roman"/>
                <w:color w:val="000000"/>
                <w:sz w:val="18"/>
                <w:szCs w:val="18"/>
                <w:lang w:eastAsia="en-US"/>
              </w:rPr>
              <w:t>annuelle</w:t>
            </w:r>
            <w:r w:rsidRPr="00ED144B">
              <w:rPr>
                <w:rFonts w:ascii="Calibri" w:eastAsia="Times New Roman" w:hAnsi="Calibri" w:cs="Times New Roman"/>
                <w:color w:val="000000"/>
                <w:sz w:val="18"/>
                <w:szCs w:val="18"/>
                <w:lang w:eastAsia="en-US"/>
              </w:rPr>
              <w:t>: 190 jours à 400 USD +17% frais de struct</w:t>
            </w:r>
            <w:r w:rsidRPr="00E95215">
              <w:rPr>
                <w:rFonts w:ascii="Calibri" w:eastAsia="Times New Roman" w:hAnsi="Calibri" w:cs="Times New Roman"/>
                <w:color w:val="000000"/>
                <w:sz w:val="18"/>
                <w:szCs w:val="18"/>
                <w:lang w:eastAsia="en-US"/>
              </w:rPr>
              <w:t>ure</w:t>
            </w:r>
          </w:p>
        </w:tc>
      </w:tr>
      <w:tr w:rsidR="00D930FF" w:rsidRPr="00D930FF" w:rsidTr="00ED144B">
        <w:trPr>
          <w:trHeight w:val="480"/>
        </w:trPr>
        <w:tc>
          <w:tcPr>
            <w:tcW w:w="29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RDC</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Banque mondiale</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 mission par mois de 7 jours</w:t>
            </w:r>
          </w:p>
        </w:tc>
      </w:tr>
      <w:tr w:rsidR="00D930FF" w:rsidRPr="00D930FF" w:rsidTr="00D930FF">
        <w:trPr>
          <w:trHeight w:val="288"/>
        </w:trPr>
        <w:tc>
          <w:tcPr>
            <w:tcW w:w="2920" w:type="dxa"/>
            <w:vMerge w:val="restart"/>
            <w:tcBorders>
              <w:top w:val="nil"/>
              <w:left w:val="single" w:sz="4" w:space="0" w:color="auto"/>
              <w:bottom w:val="single" w:sz="4" w:space="0" w:color="000000"/>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Dépenses de mise en œuvre du PIREDD Mai-Ndombe</w:t>
            </w:r>
            <w:r w:rsidRPr="00ED144B">
              <w:rPr>
                <w:rFonts w:ascii="Calibri" w:eastAsia="Times New Roman" w:hAnsi="Calibri" w:cs="Times New Roman"/>
                <w:color w:val="000000"/>
                <w:sz w:val="18"/>
                <w:szCs w:val="18"/>
                <w:lang w:eastAsia="en-US"/>
              </w:rPr>
              <w:br/>
            </w:r>
            <w:r w:rsidRPr="00ED144B">
              <w:rPr>
                <w:rFonts w:ascii="Calibri" w:eastAsia="Times New Roman" w:hAnsi="Calibri" w:cs="Times New Roman"/>
                <w:color w:val="000000"/>
                <w:sz w:val="18"/>
                <w:szCs w:val="18"/>
                <w:lang w:eastAsia="en-US"/>
              </w:rPr>
              <w:br/>
              <w:t>Coûts directs  éligibles</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9,029,794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316,000</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Transport (avion et/ou autre)</w:t>
            </w:r>
          </w:p>
        </w:tc>
      </w:tr>
      <w:tr w:rsidR="00D930FF" w:rsidRPr="00D930FF" w:rsidTr="00D930FF">
        <w:trPr>
          <w:trHeight w:val="240"/>
        </w:trPr>
        <w:tc>
          <w:tcPr>
            <w:tcW w:w="2920" w:type="dxa"/>
            <w:vMerge/>
            <w:tcBorders>
              <w:top w:val="nil"/>
              <w:left w:val="single" w:sz="4" w:space="0" w:color="auto"/>
              <w:bottom w:val="single" w:sz="4" w:space="0" w:color="000000"/>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380" w:type="dxa"/>
            <w:vMerge/>
            <w:tcBorders>
              <w:top w:val="nil"/>
              <w:left w:val="single" w:sz="4" w:space="0" w:color="auto"/>
              <w:bottom w:val="single" w:sz="4" w:space="0" w:color="auto"/>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380" w:type="dxa"/>
            <w:vMerge/>
            <w:tcBorders>
              <w:top w:val="nil"/>
              <w:left w:val="single" w:sz="4" w:space="0" w:color="auto"/>
              <w:bottom w:val="single" w:sz="4" w:space="0" w:color="auto"/>
              <w:right w:val="single" w:sz="4" w:space="0" w:color="auto"/>
            </w:tcBorders>
            <w:vAlign w:val="center"/>
            <w:hideMark/>
          </w:tcPr>
          <w:p w:rsidR="00D930FF" w:rsidRPr="00ED144B" w:rsidRDefault="00D930FF" w:rsidP="00D930FF">
            <w:pPr>
              <w:spacing w:after="0" w:line="240" w:lineRule="auto"/>
              <w:rPr>
                <w:rFonts w:ascii="Calibri" w:eastAsia="Times New Roman" w:hAnsi="Calibri" w:cs="Times New Roman"/>
                <w:color w:val="000000"/>
                <w:sz w:val="18"/>
                <w:szCs w:val="18"/>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390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Divers (</w:t>
            </w:r>
            <w:r w:rsidRPr="00E95215">
              <w:rPr>
                <w:rFonts w:ascii="Calibri" w:eastAsia="Times New Roman" w:hAnsi="Calibri" w:cs="Times New Roman"/>
                <w:color w:val="000000"/>
                <w:sz w:val="18"/>
                <w:szCs w:val="18"/>
                <w:lang w:eastAsia="en-US"/>
              </w:rPr>
              <w:t>tel.</w:t>
            </w:r>
            <w:r w:rsidRPr="00ED144B">
              <w:rPr>
                <w:rFonts w:ascii="Calibri" w:eastAsia="Times New Roman" w:hAnsi="Calibri" w:cs="Times New Roman"/>
                <w:color w:val="000000"/>
                <w:sz w:val="18"/>
                <w:szCs w:val="18"/>
                <w:lang w:eastAsia="en-US"/>
              </w:rPr>
              <w:t xml:space="preserve"> transport, etc.)</w:t>
            </w:r>
          </w:p>
        </w:tc>
      </w:tr>
      <w:tr w:rsidR="00D930FF" w:rsidRPr="00D930FF" w:rsidTr="00D930FF">
        <w:trPr>
          <w:trHeight w:val="96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Frais de préparation,  de supervision et de clôture du projet (frais de gestion</w:t>
            </w:r>
            <w:r w:rsidRPr="00E95215">
              <w:rPr>
                <w:rFonts w:ascii="Calibri" w:eastAsia="Times New Roman" w:hAnsi="Calibri" w:cs="Times New Roman"/>
                <w:color w:val="000000"/>
                <w:sz w:val="18"/>
                <w:szCs w:val="18"/>
                <w:lang w:eastAsia="en-US"/>
              </w:rPr>
              <w:t xml:space="preserve">) </w:t>
            </w:r>
            <w:r w:rsidRPr="00ED144B">
              <w:rPr>
                <w:rFonts w:ascii="Calibri" w:eastAsia="Times New Roman" w:hAnsi="Calibri" w:cs="Times New Roman"/>
                <w:color w:val="000000"/>
                <w:sz w:val="18"/>
                <w:szCs w:val="18"/>
                <w:lang w:eastAsia="en-US"/>
              </w:rPr>
              <w:br/>
              <w:t>7% des coûts directs  éligibles</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654,206</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9,000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mois</w:t>
            </w:r>
          </w:p>
        </w:tc>
      </w:tr>
      <w:tr w:rsidR="00D930FF" w:rsidRPr="00D930FF" w:rsidTr="00D930FF">
        <w:trPr>
          <w:trHeight w:val="240"/>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Sous total</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9,029,794</w:t>
            </w:r>
          </w:p>
        </w:tc>
        <w:tc>
          <w:tcPr>
            <w:tcW w:w="138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970,206</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108,000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an</w:t>
            </w:r>
          </w:p>
        </w:tc>
      </w:tr>
      <w:tr w:rsidR="00D930FF" w:rsidRPr="00D930FF" w:rsidTr="00ED144B">
        <w:trPr>
          <w:trHeight w:val="240"/>
        </w:trPr>
        <w:tc>
          <w:tcPr>
            <w:tcW w:w="292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Total</w:t>
            </w:r>
          </w:p>
        </w:tc>
        <w:tc>
          <w:tcPr>
            <w:tcW w:w="276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10,000,000</w:t>
            </w: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color w:val="000000"/>
                <w:sz w:val="18"/>
                <w:szCs w:val="18"/>
                <w:lang w:eastAsia="en-US"/>
              </w:rPr>
            </w:pPr>
          </w:p>
        </w:tc>
        <w:tc>
          <w:tcPr>
            <w:tcW w:w="138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216,000</w:t>
            </w:r>
          </w:p>
        </w:tc>
        <w:tc>
          <w:tcPr>
            <w:tcW w:w="2440" w:type="dxa"/>
            <w:tcBorders>
              <w:top w:val="nil"/>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pour 5 ans</w:t>
            </w:r>
          </w:p>
        </w:tc>
      </w:tr>
      <w:tr w:rsidR="00D930FF" w:rsidRPr="00D930FF" w:rsidTr="00D930FF">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244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r>
      <w:tr w:rsidR="00D930FF" w:rsidRPr="00D930FF" w:rsidTr="00D930FF">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3820" w:type="dxa"/>
            <w:gridSpan w:val="2"/>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r w:rsidRPr="00ED144B">
              <w:rPr>
                <w:rFonts w:ascii="Calibri" w:eastAsia="Times New Roman" w:hAnsi="Calibri" w:cs="Times New Roman"/>
                <w:b/>
                <w:bCs/>
                <w:i/>
                <w:iCs/>
                <w:color w:val="000000"/>
                <w:sz w:val="18"/>
                <w:szCs w:val="18"/>
                <w:u w:val="single"/>
                <w:lang w:eastAsia="en-US"/>
              </w:rPr>
              <w:t xml:space="preserve">Coûts directs de </w:t>
            </w:r>
            <w:r w:rsidRPr="00E95215">
              <w:rPr>
                <w:rFonts w:ascii="Calibri" w:eastAsia="Times New Roman" w:hAnsi="Calibri" w:cs="Times New Roman"/>
                <w:b/>
                <w:bCs/>
                <w:i/>
                <w:iCs/>
                <w:color w:val="000000"/>
                <w:sz w:val="18"/>
                <w:szCs w:val="18"/>
                <w:u w:val="single"/>
                <w:lang w:eastAsia="en-US"/>
              </w:rPr>
              <w:t>supervision</w:t>
            </w:r>
          </w:p>
        </w:tc>
      </w:tr>
      <w:tr w:rsidR="00D930FF" w:rsidRPr="00D930FF" w:rsidTr="00D930FF">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u w:val="single"/>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25,000</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 mission de supervision par semestre (au moins)</w:t>
            </w:r>
          </w:p>
        </w:tc>
      </w:tr>
      <w:tr w:rsidR="00D930FF" w:rsidRPr="00D930FF" w:rsidTr="00D930FF">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color w:val="000000"/>
                <w:sz w:val="18"/>
                <w:szCs w:val="18"/>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50,000</w:t>
            </w:r>
          </w:p>
        </w:tc>
        <w:tc>
          <w:tcPr>
            <w:tcW w:w="2440" w:type="dxa"/>
            <w:tcBorders>
              <w:top w:val="nil"/>
              <w:left w:val="nil"/>
              <w:bottom w:val="single" w:sz="4" w:space="0" w:color="auto"/>
              <w:right w:val="single" w:sz="4" w:space="0" w:color="auto"/>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par an</w:t>
            </w:r>
          </w:p>
        </w:tc>
      </w:tr>
      <w:tr w:rsidR="00D930FF" w:rsidRPr="00D930FF" w:rsidTr="00ED144B">
        <w:trPr>
          <w:trHeight w:val="240"/>
        </w:trPr>
        <w:tc>
          <w:tcPr>
            <w:tcW w:w="292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00" w:type="dxa"/>
            <w:tcBorders>
              <w:top w:val="nil"/>
              <w:left w:val="nil"/>
              <w:bottom w:val="nil"/>
              <w:right w:val="nil"/>
            </w:tcBorders>
            <w:shd w:val="clear" w:color="auto" w:fill="auto"/>
            <w:vAlign w:val="center"/>
            <w:hideMark/>
          </w:tcPr>
          <w:p w:rsidR="00D930FF" w:rsidRPr="00ED144B" w:rsidRDefault="00D930FF" w:rsidP="00D930FF">
            <w:pPr>
              <w:spacing w:after="0" w:line="240" w:lineRule="auto"/>
              <w:jc w:val="center"/>
              <w:rPr>
                <w:rFonts w:ascii="Times New Roman" w:eastAsia="Times New Roman" w:hAnsi="Times New Roman" w:cs="Times New Roman"/>
                <w:sz w:val="20"/>
                <w:szCs w:val="20"/>
                <w:lang w:eastAsia="en-US"/>
              </w:rPr>
            </w:pPr>
          </w:p>
        </w:tc>
        <w:tc>
          <w:tcPr>
            <w:tcW w:w="138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100,000</w:t>
            </w:r>
          </w:p>
        </w:tc>
        <w:tc>
          <w:tcPr>
            <w:tcW w:w="2440" w:type="dxa"/>
            <w:tcBorders>
              <w:top w:val="nil"/>
              <w:left w:val="nil"/>
              <w:bottom w:val="single" w:sz="4" w:space="0" w:color="auto"/>
              <w:right w:val="single" w:sz="4" w:space="0" w:color="auto"/>
            </w:tcBorders>
            <w:shd w:val="clear" w:color="auto" w:fill="DEEAF6" w:themeFill="accent1" w:themeFillTint="33"/>
            <w:vAlign w:val="center"/>
            <w:hideMark/>
          </w:tcPr>
          <w:p w:rsidR="00D930FF" w:rsidRPr="00ED144B" w:rsidRDefault="00D930FF" w:rsidP="00D930FF">
            <w:pPr>
              <w:spacing w:after="0" w:line="240" w:lineRule="auto"/>
              <w:jc w:val="center"/>
              <w:rPr>
                <w:rFonts w:ascii="Calibri" w:eastAsia="Times New Roman" w:hAnsi="Calibri" w:cs="Times New Roman"/>
                <w:b/>
                <w:bCs/>
                <w:i/>
                <w:iCs/>
                <w:color w:val="000000"/>
                <w:sz w:val="18"/>
                <w:szCs w:val="18"/>
                <w:lang w:eastAsia="en-US"/>
              </w:rPr>
            </w:pPr>
            <w:r w:rsidRPr="00ED144B">
              <w:rPr>
                <w:rFonts w:ascii="Calibri" w:eastAsia="Times New Roman" w:hAnsi="Calibri" w:cs="Times New Roman"/>
                <w:b/>
                <w:bCs/>
                <w:i/>
                <w:iCs/>
                <w:color w:val="000000"/>
                <w:sz w:val="18"/>
                <w:szCs w:val="18"/>
                <w:lang w:eastAsia="en-US"/>
              </w:rPr>
              <w:t>Total pour 5 ans</w:t>
            </w:r>
          </w:p>
        </w:tc>
      </w:tr>
    </w:tbl>
    <w:p w:rsidR="00D930FF" w:rsidRDefault="00D930FF" w:rsidP="00554D4F">
      <w:pPr>
        <w:contextualSpacing/>
        <w:rPr>
          <w:rFonts w:eastAsiaTheme="minorHAnsi"/>
          <w:b/>
          <w:color w:val="000000" w:themeColor="text1"/>
          <w:sz w:val="20"/>
          <w:szCs w:val="20"/>
          <w:lang w:eastAsia="en-US"/>
        </w:rPr>
      </w:pPr>
    </w:p>
    <w:p w:rsidR="00602D52" w:rsidRDefault="00DB3B02" w:rsidP="006E024D">
      <w:pPr>
        <w:contextualSpacing/>
        <w:rPr>
          <w:rFonts w:eastAsiaTheme="minorHAnsi"/>
          <w:color w:val="000000" w:themeColor="text1"/>
          <w:sz w:val="20"/>
          <w:szCs w:val="20"/>
          <w:lang w:eastAsia="en-US"/>
        </w:rPr>
      </w:pPr>
      <w:r w:rsidRPr="00DB3B02">
        <w:rPr>
          <w:rFonts w:eastAsiaTheme="minorHAnsi"/>
          <w:color w:val="000000" w:themeColor="text1"/>
          <w:sz w:val="20"/>
          <w:szCs w:val="20"/>
          <w:lang w:eastAsia="en-US"/>
        </w:rPr>
        <w:t xml:space="preserve">Le </w:t>
      </w:r>
      <w:r>
        <w:rPr>
          <w:rFonts w:eastAsiaTheme="minorHAnsi"/>
          <w:color w:val="000000" w:themeColor="text1"/>
          <w:sz w:val="20"/>
          <w:szCs w:val="20"/>
          <w:lang w:eastAsia="en-US"/>
        </w:rPr>
        <w:t>budget dé</w:t>
      </w:r>
      <w:r w:rsidR="00732E44">
        <w:rPr>
          <w:rFonts w:eastAsiaTheme="minorHAnsi"/>
          <w:color w:val="000000" w:themeColor="text1"/>
          <w:sz w:val="20"/>
          <w:szCs w:val="20"/>
          <w:lang w:eastAsia="en-US"/>
        </w:rPr>
        <w:t>taillé est présenté en annexe 7</w:t>
      </w:r>
    </w:p>
    <w:p w:rsidR="00602D52" w:rsidRDefault="00602D52" w:rsidP="006E024D">
      <w:pPr>
        <w:contextualSpacing/>
        <w:rPr>
          <w:rFonts w:eastAsiaTheme="minorHAnsi"/>
          <w:color w:val="000000" w:themeColor="text1"/>
          <w:sz w:val="20"/>
          <w:szCs w:val="20"/>
          <w:lang w:eastAsia="en-US"/>
        </w:rPr>
      </w:pPr>
    </w:p>
    <w:p w:rsidR="000257C1" w:rsidRDefault="00554D4F" w:rsidP="00ED144B">
      <w:pPr>
        <w:contextualSpacing/>
        <w:rPr>
          <w:rFonts w:eastAsiaTheme="minorHAnsi"/>
          <w:b/>
          <w:spacing w:val="-6"/>
          <w:sz w:val="16"/>
          <w:szCs w:val="16"/>
          <w:lang w:eastAsia="en-US"/>
        </w:rPr>
      </w:pPr>
      <w:r w:rsidRPr="004E7C36">
        <w:rPr>
          <w:rFonts w:eastAsiaTheme="minorHAnsi"/>
          <w:b/>
          <w:spacing w:val="-6"/>
          <w:sz w:val="20"/>
          <w:szCs w:val="20"/>
          <w:lang w:eastAsia="en-US"/>
        </w:rPr>
        <w:t xml:space="preserve">Tableau </w:t>
      </w:r>
      <w:r w:rsidR="00BC1321">
        <w:rPr>
          <w:rFonts w:eastAsiaTheme="minorHAnsi"/>
          <w:b/>
          <w:spacing w:val="-6"/>
          <w:sz w:val="20"/>
          <w:szCs w:val="20"/>
          <w:lang w:eastAsia="en-US"/>
        </w:rPr>
        <w:t>4</w:t>
      </w:r>
      <w:r w:rsidRPr="004E7C36">
        <w:rPr>
          <w:rFonts w:eastAsiaTheme="minorHAnsi"/>
          <w:b/>
          <w:spacing w:val="-6"/>
          <w:sz w:val="20"/>
          <w:szCs w:val="20"/>
          <w:lang w:eastAsia="en-US"/>
        </w:rPr>
        <w:t xml:space="preserve"> : BUDGET DU PROGRAMME REDD+ </w:t>
      </w:r>
    </w:p>
    <w:p w:rsidR="003F61A2" w:rsidRDefault="003F61A2" w:rsidP="00602D52">
      <w:pPr>
        <w:tabs>
          <w:tab w:val="left" w:pos="-720"/>
          <w:tab w:val="left" w:pos="4500"/>
        </w:tabs>
        <w:ind w:hanging="360"/>
        <w:contextualSpacing/>
        <w:jc w:val="center"/>
        <w:rPr>
          <w:rFonts w:eastAsiaTheme="minorHAnsi"/>
          <w:b/>
          <w:spacing w:val="-6"/>
          <w:sz w:val="16"/>
          <w:szCs w:val="16"/>
          <w:lang w:eastAsia="en-US"/>
        </w:rPr>
      </w:pPr>
    </w:p>
    <w:p w:rsidR="00EA4BE1" w:rsidRDefault="00EA4BE1" w:rsidP="00602D52">
      <w:pPr>
        <w:tabs>
          <w:tab w:val="left" w:pos="-720"/>
          <w:tab w:val="left" w:pos="4500"/>
        </w:tabs>
        <w:ind w:hanging="360"/>
        <w:contextualSpacing/>
        <w:jc w:val="center"/>
        <w:rPr>
          <w:rFonts w:eastAsiaTheme="minorHAnsi"/>
          <w:b/>
          <w:spacing w:val="-6"/>
          <w:sz w:val="16"/>
          <w:szCs w:val="16"/>
          <w:lang w:eastAsia="en-US"/>
        </w:rPr>
      </w:pPr>
      <w:r w:rsidRPr="00EA4BE1">
        <w:rPr>
          <w:noProof/>
        </w:rPr>
        <w:drawing>
          <wp:inline distT="0" distB="0" distL="0" distR="0">
            <wp:extent cx="4892040" cy="263470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9540" cy="2638742"/>
                    </a:xfrm>
                    <a:prstGeom prst="rect">
                      <a:avLst/>
                    </a:prstGeom>
                    <a:noFill/>
                    <a:ln>
                      <a:noFill/>
                    </a:ln>
                  </pic:spPr>
                </pic:pic>
              </a:graphicData>
            </a:graphic>
          </wp:inline>
        </w:drawing>
      </w:r>
    </w:p>
    <w:p w:rsidR="00EA4BE1" w:rsidRDefault="00EA4BE1" w:rsidP="00602D52">
      <w:pPr>
        <w:tabs>
          <w:tab w:val="left" w:pos="-720"/>
          <w:tab w:val="left" w:pos="4500"/>
        </w:tabs>
        <w:ind w:hanging="360"/>
        <w:contextualSpacing/>
        <w:jc w:val="center"/>
        <w:rPr>
          <w:rFonts w:eastAsiaTheme="minorHAnsi"/>
          <w:b/>
          <w:spacing w:val="-6"/>
          <w:sz w:val="16"/>
          <w:szCs w:val="16"/>
          <w:lang w:eastAsia="en-US"/>
        </w:rPr>
      </w:pPr>
    </w:p>
    <w:p w:rsidR="00EA4BE1" w:rsidRDefault="00EA4BE1" w:rsidP="00602D52">
      <w:pPr>
        <w:tabs>
          <w:tab w:val="left" w:pos="-720"/>
          <w:tab w:val="left" w:pos="4500"/>
        </w:tabs>
        <w:ind w:hanging="360"/>
        <w:contextualSpacing/>
        <w:jc w:val="center"/>
        <w:rPr>
          <w:rFonts w:eastAsiaTheme="minorHAnsi"/>
          <w:b/>
          <w:spacing w:val="-6"/>
          <w:sz w:val="16"/>
          <w:szCs w:val="16"/>
          <w:lang w:eastAsia="en-US"/>
        </w:rPr>
      </w:pPr>
    </w:p>
    <w:p w:rsidR="00EA4BE1" w:rsidRDefault="00EA4BE1" w:rsidP="00602D52">
      <w:pPr>
        <w:tabs>
          <w:tab w:val="left" w:pos="-720"/>
          <w:tab w:val="left" w:pos="4500"/>
        </w:tabs>
        <w:ind w:hanging="360"/>
        <w:contextualSpacing/>
        <w:jc w:val="center"/>
        <w:rPr>
          <w:rFonts w:eastAsiaTheme="minorHAnsi"/>
          <w:b/>
          <w:spacing w:val="-6"/>
          <w:sz w:val="16"/>
          <w:szCs w:val="16"/>
          <w:lang w:eastAsia="en-US"/>
        </w:rPr>
      </w:pPr>
    </w:p>
    <w:p w:rsidR="003F61A2" w:rsidRDefault="003F61A2" w:rsidP="00ED144B">
      <w:pPr>
        <w:tabs>
          <w:tab w:val="left" w:pos="-360"/>
          <w:tab w:val="left" w:pos="4500"/>
        </w:tabs>
        <w:ind w:hanging="720"/>
        <w:contextualSpacing/>
        <w:jc w:val="center"/>
        <w:rPr>
          <w:rFonts w:eastAsiaTheme="minorHAnsi"/>
          <w:b/>
          <w:spacing w:val="-6"/>
          <w:sz w:val="16"/>
          <w:szCs w:val="16"/>
          <w:lang w:eastAsia="en-US"/>
        </w:rPr>
      </w:pPr>
      <w:r w:rsidRPr="003F61A2">
        <w:rPr>
          <w:noProof/>
        </w:rPr>
        <w:lastRenderedPageBreak/>
        <w:drawing>
          <wp:inline distT="0" distB="0" distL="0" distR="0">
            <wp:extent cx="6785569"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3009" cy="2685646"/>
                    </a:xfrm>
                    <a:prstGeom prst="rect">
                      <a:avLst/>
                    </a:prstGeom>
                    <a:ln>
                      <a:noFill/>
                    </a:ln>
                  </pic:spPr>
                </pic:pic>
              </a:graphicData>
            </a:graphic>
          </wp:inline>
        </w:drawing>
      </w:r>
    </w:p>
    <w:p w:rsidR="00EA4BE1" w:rsidRDefault="00EA4BE1" w:rsidP="00ED144B">
      <w:pPr>
        <w:tabs>
          <w:tab w:val="left" w:pos="-720"/>
          <w:tab w:val="left" w:pos="4500"/>
        </w:tabs>
        <w:ind w:hanging="900"/>
        <w:contextualSpacing/>
        <w:rPr>
          <w:rFonts w:eastAsiaTheme="minorHAnsi"/>
          <w:b/>
          <w:spacing w:val="-6"/>
          <w:sz w:val="16"/>
          <w:szCs w:val="16"/>
          <w:lang w:eastAsia="en-US"/>
        </w:rPr>
      </w:pPr>
    </w:p>
    <w:p w:rsidR="00EA4BE1" w:rsidRDefault="00EA4BE1">
      <w:pPr>
        <w:tabs>
          <w:tab w:val="left" w:pos="-720"/>
          <w:tab w:val="left" w:pos="4500"/>
        </w:tabs>
        <w:ind w:hanging="900"/>
        <w:contextualSpacing/>
        <w:jc w:val="center"/>
        <w:rPr>
          <w:rFonts w:eastAsiaTheme="minorHAnsi"/>
          <w:b/>
          <w:spacing w:val="-6"/>
          <w:sz w:val="16"/>
          <w:szCs w:val="16"/>
          <w:lang w:eastAsia="en-US"/>
        </w:rPr>
      </w:pPr>
      <w:r w:rsidRPr="00EA4BE1">
        <w:rPr>
          <w:noProof/>
        </w:rPr>
        <w:drawing>
          <wp:inline distT="0" distB="0" distL="0" distR="0">
            <wp:extent cx="6675120" cy="26355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463" cy="2669993"/>
                    </a:xfrm>
                    <a:prstGeom prst="rect">
                      <a:avLst/>
                    </a:prstGeom>
                    <a:noFill/>
                    <a:ln>
                      <a:noFill/>
                    </a:ln>
                  </pic:spPr>
                </pic:pic>
              </a:graphicData>
            </a:graphic>
          </wp:inline>
        </w:drawing>
      </w:r>
    </w:p>
    <w:p w:rsidR="00EA4BE1" w:rsidRDefault="00EA4BE1" w:rsidP="00ED144B">
      <w:pPr>
        <w:tabs>
          <w:tab w:val="left" w:pos="-720"/>
          <w:tab w:val="left" w:pos="4500"/>
        </w:tabs>
        <w:ind w:hanging="900"/>
        <w:contextualSpacing/>
        <w:rPr>
          <w:rFonts w:eastAsiaTheme="minorHAnsi"/>
          <w:b/>
          <w:spacing w:val="-6"/>
          <w:sz w:val="16"/>
          <w:szCs w:val="16"/>
          <w:lang w:eastAsia="en-US"/>
        </w:rPr>
      </w:pPr>
    </w:p>
    <w:p w:rsidR="00381C8F" w:rsidRPr="00602D52" w:rsidRDefault="00EA4BE1" w:rsidP="00602D52">
      <w:pPr>
        <w:tabs>
          <w:tab w:val="left" w:pos="-720"/>
          <w:tab w:val="left" w:pos="4500"/>
        </w:tabs>
        <w:contextualSpacing/>
        <w:rPr>
          <w:sz w:val="20"/>
          <w:szCs w:val="20"/>
        </w:rPr>
      </w:pPr>
      <w:r>
        <w:rPr>
          <w:sz w:val="20"/>
          <w:szCs w:val="20"/>
        </w:rPr>
        <w:t>L</w:t>
      </w:r>
      <w:r w:rsidR="0029790B">
        <w:rPr>
          <w:sz w:val="20"/>
          <w:szCs w:val="20"/>
        </w:rPr>
        <w:t>es tableaux précédents pour les années 1 à 3</w:t>
      </w:r>
      <w:r>
        <w:rPr>
          <w:sz w:val="20"/>
          <w:szCs w:val="20"/>
        </w:rPr>
        <w:t xml:space="preserve"> ont </w:t>
      </w:r>
      <w:r w:rsidR="0029790B">
        <w:rPr>
          <w:sz w:val="20"/>
          <w:szCs w:val="20"/>
        </w:rPr>
        <w:t>été renseignés avec des coûts complets utilisant un amortissement des équipements sur une durée de cinq ans</w:t>
      </w:r>
      <w:r>
        <w:rPr>
          <w:sz w:val="20"/>
          <w:szCs w:val="20"/>
        </w:rPr>
        <w:t>, d’où la différence avec les tableaux ci-dessus.</w:t>
      </w:r>
    </w:p>
    <w:p w:rsidR="009B30E2" w:rsidRPr="00401544" w:rsidRDefault="009B30E2" w:rsidP="00B277C0">
      <w:pPr>
        <w:pStyle w:val="Heading1"/>
        <w:ind w:left="360"/>
      </w:pPr>
      <w:bookmarkStart w:id="32" w:name="_Toc469036928"/>
      <w:r w:rsidRPr="00401544">
        <w:t>Méthodologie</w:t>
      </w:r>
      <w:bookmarkEnd w:id="32"/>
    </w:p>
    <w:p w:rsidR="00554D4F" w:rsidRDefault="00554D4F" w:rsidP="00554D4F">
      <w:pPr>
        <w:contextualSpacing/>
        <w:jc w:val="both"/>
        <w:rPr>
          <w:sz w:val="20"/>
          <w:szCs w:val="20"/>
        </w:rPr>
      </w:pPr>
    </w:p>
    <w:p w:rsidR="001433AA" w:rsidRPr="001433AA" w:rsidRDefault="001433AA" w:rsidP="001433AA">
      <w:pPr>
        <w:contextualSpacing/>
        <w:jc w:val="both"/>
        <w:rPr>
          <w:sz w:val="20"/>
          <w:szCs w:val="20"/>
        </w:rPr>
      </w:pPr>
      <w:r w:rsidRPr="001433AA">
        <w:rPr>
          <w:sz w:val="20"/>
          <w:szCs w:val="20"/>
        </w:rPr>
        <w:t>Les men</w:t>
      </w:r>
      <w:r>
        <w:rPr>
          <w:sz w:val="20"/>
          <w:szCs w:val="20"/>
        </w:rPr>
        <w:t xml:space="preserve">aces qui pèsent sur la forêt de la Province de Mai-Ndombe </w:t>
      </w:r>
      <w:r w:rsidRPr="001433AA">
        <w:rPr>
          <w:sz w:val="20"/>
          <w:szCs w:val="20"/>
        </w:rPr>
        <w:t>sont essentiellement de deux ordres :  i) les faiblesses de la gouvernance, qui conduisent à brader la ressource pour des profits immédiats et minimes (fronts pionniers de migrants, charbonnage, exploitation artisanale du bois), sans vision à long terme des besoins de terre y compris de terre sous couvert végétal forestier et, ii) les techniques agricoles qui, faute de moyens adaptés, privilégient le travail en forêt, au détriment de la culture en savane dont les besoins en main d’œuvre sont significativement supérieurs pour des rendements infé</w:t>
      </w:r>
      <w:r>
        <w:rPr>
          <w:sz w:val="20"/>
          <w:szCs w:val="20"/>
        </w:rPr>
        <w:t>rieurs en cultures annuelles</w:t>
      </w:r>
      <w:r w:rsidRPr="001433AA">
        <w:rPr>
          <w:sz w:val="20"/>
          <w:szCs w:val="20"/>
        </w:rPr>
        <w:t>. A cela s’ajoutent deux faits importants : i) la demande forte du marché des produits vivriers</w:t>
      </w:r>
      <w:r>
        <w:rPr>
          <w:sz w:val="20"/>
          <w:szCs w:val="20"/>
        </w:rPr>
        <w:t xml:space="preserve"> saisonniers  locaux (Kinshasa</w:t>
      </w:r>
      <w:r w:rsidRPr="001433AA">
        <w:rPr>
          <w:sz w:val="20"/>
          <w:szCs w:val="20"/>
        </w:rPr>
        <w:t>, République du Congo), et l’existence de réseaux commerciaux dynamiques et structurés pour les produits saisonniers ; ii) la disparition d’une offre d’achat professionnelle pour les productions pérennes, à l’exception de l’huile de palme et des bananes plantain.</w:t>
      </w:r>
    </w:p>
    <w:p w:rsidR="002C6276" w:rsidRPr="00554D4F" w:rsidRDefault="001433AA" w:rsidP="001433AA">
      <w:pPr>
        <w:contextualSpacing/>
        <w:jc w:val="both"/>
        <w:rPr>
          <w:sz w:val="20"/>
          <w:szCs w:val="20"/>
        </w:rPr>
      </w:pPr>
      <w:r w:rsidRPr="001433AA">
        <w:rPr>
          <w:sz w:val="20"/>
          <w:szCs w:val="20"/>
        </w:rPr>
        <w:t xml:space="preserve">La stratégie du projet consistera à renforcer la gouvernance locale, aux différents niveaux de l’organisation administrative, afin que des politiques concertées d’usage des terres soient élaborées et mises en œuvre. C’est ainsi que des Comités Locaux de Développement correspondant aux terroirs des chefferies de terre seront créés, des Cadres de Concertation de même aux niveaux des groupements, des secteurs et des territoires, et ceci en fonction des orientations données par le Ministère du Développement Rural en matière de structuration du milieu, et en application de la Loi </w:t>
      </w:r>
      <w:r w:rsidRPr="001433AA">
        <w:rPr>
          <w:sz w:val="20"/>
          <w:szCs w:val="20"/>
        </w:rPr>
        <w:lastRenderedPageBreak/>
        <w:t xml:space="preserve">Agricole. Toutes les interventions du projet tiendront compte de la diversité sociale qui existe au </w:t>
      </w:r>
      <w:r>
        <w:rPr>
          <w:sz w:val="20"/>
          <w:szCs w:val="20"/>
        </w:rPr>
        <w:t>sein des communautés rurales de la Province du Mai-Ndombe, et plus particulièrement du district de Mai-Ndombe</w:t>
      </w:r>
      <w:r w:rsidRPr="001433AA">
        <w:rPr>
          <w:sz w:val="20"/>
          <w:szCs w:val="20"/>
        </w:rPr>
        <w:t>. Des contraintes, des capacités et des dynamiques différentes sont présentes au sein des communautés, qu’il conviendra d’identifier afin de leur faire correspondre des propositions de changement technique adaptées à la diversité des acteurs, qui auront ainsi plus de chance de réussir. L’idée globale de cette approche est que la pression sur la forêt diminue, grâce à une meilleure utilisation agricole des savanes, mais également des forêts, qui resteront des lieux de production agricole. Ces démarches de gouvernance et de changement technique tiendront compte de la nécessité pour les populations locales de maintenir dans la durée leur sécurité alimentaire et de la renforcer, comme leur production de revenu. Ces préoccupations seront au cœur de l’élaboration difficile des P</w:t>
      </w:r>
      <w:r w:rsidR="002F0359">
        <w:rPr>
          <w:sz w:val="20"/>
          <w:szCs w:val="20"/>
        </w:rPr>
        <w:t>DD</w:t>
      </w:r>
      <w:r w:rsidR="008C7495">
        <w:rPr>
          <w:sz w:val="20"/>
          <w:szCs w:val="20"/>
        </w:rPr>
        <w:t xml:space="preserve"> et PSG</w:t>
      </w:r>
      <w:r w:rsidRPr="001433AA">
        <w:rPr>
          <w:sz w:val="20"/>
          <w:szCs w:val="20"/>
        </w:rPr>
        <w:t>, si l’on veut éviter le rejet du projet par les populations locales, comme par les opérateurs extérieurs (fermiers traditionnels, concessionnaires forestiers et d’élevage etc.). Etablir un P</w:t>
      </w:r>
      <w:r w:rsidR="002F0359">
        <w:rPr>
          <w:sz w:val="20"/>
          <w:szCs w:val="20"/>
        </w:rPr>
        <w:t>PD</w:t>
      </w:r>
      <w:r w:rsidRPr="001433AA">
        <w:rPr>
          <w:sz w:val="20"/>
          <w:szCs w:val="20"/>
        </w:rPr>
        <w:t xml:space="preserve"> consistera pour l’ensemble des acteurs, et grâce au travail d’accompagnement du projet, à faire la part d’exigences diverses et potentiellement contradictoire :  i) les besoins en terre des différents acteurs (besoins déjà contradictoires entre eux, exemple des terres d’élevage et du recru forestier, nécessaire à l’agriculture sur brulis), besoins que le changement technique peut faire évoluer, comme la saisie de nouvelles opportunités, les paiements pour services environnementaux en faisant partie ; ii) la protection et la reconstitution de la forêt, comme outil de production et de co-bénéfices à sauvegarder (</w:t>
      </w:r>
      <w:r w:rsidR="002F0359">
        <w:rPr>
          <w:sz w:val="20"/>
          <w:szCs w:val="20"/>
        </w:rPr>
        <w:t>produits forestiers non ligneux, etc.)</w:t>
      </w:r>
      <w:r w:rsidRPr="001433AA">
        <w:rPr>
          <w:sz w:val="20"/>
          <w:szCs w:val="20"/>
        </w:rPr>
        <w:t xml:space="preserve"> mais en tenant compte des besoins dans le temps des populations ; iii) le maintien de la biodiversité. Ainsi, les P</w:t>
      </w:r>
      <w:r w:rsidR="008C7495">
        <w:rPr>
          <w:sz w:val="20"/>
          <w:szCs w:val="20"/>
        </w:rPr>
        <w:t xml:space="preserve">SG </w:t>
      </w:r>
      <w:r w:rsidRPr="001433AA">
        <w:rPr>
          <w:sz w:val="20"/>
          <w:szCs w:val="20"/>
        </w:rPr>
        <w:t xml:space="preserve">doivent représenter pour les populations une occasion de réfléchir à leur avenir dans leur milieu, en tenant compte des opportunités que le projet leur offre. Dans un tel contexte, le plan d’action ou contrat, signé à partir du </w:t>
      </w:r>
      <w:r w:rsidR="008C7495" w:rsidRPr="001433AA">
        <w:rPr>
          <w:sz w:val="20"/>
          <w:szCs w:val="20"/>
        </w:rPr>
        <w:t>P</w:t>
      </w:r>
      <w:r w:rsidR="008C7495">
        <w:rPr>
          <w:sz w:val="20"/>
          <w:szCs w:val="20"/>
        </w:rPr>
        <w:t>SG</w:t>
      </w:r>
      <w:r w:rsidR="008C7495" w:rsidRPr="001433AA">
        <w:rPr>
          <w:sz w:val="20"/>
          <w:szCs w:val="20"/>
        </w:rPr>
        <w:t xml:space="preserve"> </w:t>
      </w:r>
      <w:r w:rsidRPr="001433AA">
        <w:rPr>
          <w:sz w:val="20"/>
          <w:szCs w:val="20"/>
        </w:rPr>
        <w:t>entre les populations organisées et le projet représente une négociation dans laquelle les deux parties s’engagent. Pour le projet, l’engagement consiste à offrir des opportunités de changement, et il doit les mettre en place dans les terroirs au plus vite de sa durée, par exemple en créant des pépinières, des parcs à bois, qui seront au service des populations pour expérime</w:t>
      </w:r>
      <w:r w:rsidR="002F0359">
        <w:rPr>
          <w:sz w:val="20"/>
          <w:szCs w:val="20"/>
        </w:rPr>
        <w:t>nter le changement technique. L</w:t>
      </w:r>
      <w:r w:rsidRPr="001433AA">
        <w:rPr>
          <w:sz w:val="20"/>
          <w:szCs w:val="20"/>
        </w:rPr>
        <w:t>’engagement consistera aussi, grâce aux paiements pour services environnementaux, à accompagner dans la durée les efforts consentis de changement technique et de conservation. Pour les populations, l’engagement de changer de pratique est contraignant et requiert de la discipline. Celle-ci ne peut pas se faire au détriment des populations, raisons pour laquelle il est important que les besoins en terre soient bien mesurés par elles, avec l’aide du projet, et en tenant compte des générations futures.</w:t>
      </w:r>
    </w:p>
    <w:p w:rsidR="009B30E2" w:rsidRPr="00401544" w:rsidRDefault="009B30E2" w:rsidP="00B277C0">
      <w:pPr>
        <w:pStyle w:val="Heading1"/>
        <w:ind w:left="360"/>
      </w:pPr>
      <w:bookmarkStart w:id="33" w:name="_Toc469036929"/>
      <w:r w:rsidRPr="00401544">
        <w:t>Arrangements de gestion et de coordination</w:t>
      </w:r>
      <w:bookmarkEnd w:id="33"/>
      <w:r w:rsidRPr="00401544">
        <w:t xml:space="preserve"> </w:t>
      </w:r>
    </w:p>
    <w:p w:rsidR="000257C1" w:rsidRDefault="000257C1" w:rsidP="00554D4F">
      <w:pPr>
        <w:contextualSpacing/>
        <w:jc w:val="both"/>
        <w:rPr>
          <w:rFonts w:eastAsiaTheme="minorHAnsi"/>
          <w:sz w:val="20"/>
          <w:szCs w:val="20"/>
          <w:lang w:eastAsia="en-US"/>
        </w:rPr>
      </w:pPr>
    </w:p>
    <w:p w:rsidR="003D55F8" w:rsidRDefault="00F37A1B" w:rsidP="00554D4F">
      <w:pPr>
        <w:contextualSpacing/>
        <w:jc w:val="both"/>
        <w:rPr>
          <w:rFonts w:eastAsiaTheme="minorHAnsi"/>
          <w:sz w:val="20"/>
          <w:szCs w:val="20"/>
          <w:lang w:eastAsia="en-US"/>
        </w:rPr>
      </w:pPr>
      <w:r w:rsidRPr="00F37A1B">
        <w:rPr>
          <w:rFonts w:eastAsiaTheme="minorHAnsi"/>
          <w:sz w:val="20"/>
          <w:szCs w:val="20"/>
          <w:lang w:eastAsia="en-US"/>
        </w:rPr>
        <w:t>Selon le récent accord entre la Banque et le premier ministre en ce qui concerne l'utilisation des systèmes nationaux, le p</w:t>
      </w:r>
      <w:r w:rsidR="000257C1">
        <w:rPr>
          <w:rFonts w:eastAsiaTheme="minorHAnsi"/>
          <w:sz w:val="20"/>
          <w:szCs w:val="20"/>
          <w:lang w:eastAsia="en-US"/>
        </w:rPr>
        <w:t>rojet sera mis en œuvre par le M</w:t>
      </w:r>
      <w:r w:rsidRPr="00F37A1B">
        <w:rPr>
          <w:rFonts w:eastAsiaTheme="minorHAnsi"/>
          <w:sz w:val="20"/>
          <w:szCs w:val="20"/>
          <w:lang w:eastAsia="en-US"/>
        </w:rPr>
        <w:t xml:space="preserve">inistère de l'Environnement, Conservation de la Nature et du </w:t>
      </w:r>
      <w:r w:rsidR="000257C1">
        <w:rPr>
          <w:rFonts w:eastAsiaTheme="minorHAnsi"/>
          <w:sz w:val="20"/>
          <w:szCs w:val="20"/>
          <w:lang w:eastAsia="en-US"/>
        </w:rPr>
        <w:t>Développement Durable</w:t>
      </w:r>
      <w:r w:rsidRPr="00F37A1B">
        <w:rPr>
          <w:rFonts w:eastAsiaTheme="minorHAnsi"/>
          <w:sz w:val="20"/>
          <w:szCs w:val="20"/>
          <w:lang w:eastAsia="en-US"/>
        </w:rPr>
        <w:t xml:space="preserve"> (ME</w:t>
      </w:r>
      <w:r w:rsidR="0091294E">
        <w:rPr>
          <w:rFonts w:eastAsiaTheme="minorHAnsi"/>
          <w:sz w:val="20"/>
          <w:szCs w:val="20"/>
          <w:lang w:eastAsia="en-US"/>
        </w:rPr>
        <w:t>CN</w:t>
      </w:r>
      <w:r w:rsidRPr="00F37A1B">
        <w:rPr>
          <w:rFonts w:eastAsiaTheme="minorHAnsi"/>
          <w:sz w:val="20"/>
          <w:szCs w:val="20"/>
          <w:lang w:eastAsia="en-US"/>
        </w:rPr>
        <w:t>DD).</w:t>
      </w:r>
      <w:r w:rsidR="003D55F8">
        <w:rPr>
          <w:rFonts w:eastAsiaTheme="minorHAnsi"/>
          <w:sz w:val="20"/>
          <w:szCs w:val="20"/>
          <w:lang w:eastAsia="en-US"/>
        </w:rPr>
        <w:t xml:space="preserve"> </w:t>
      </w:r>
      <w:r w:rsidR="003D55F8" w:rsidRPr="003D55F8">
        <w:rPr>
          <w:rFonts w:eastAsiaTheme="minorHAnsi"/>
          <w:sz w:val="20"/>
          <w:szCs w:val="20"/>
          <w:lang w:eastAsia="en-US"/>
        </w:rPr>
        <w:t xml:space="preserve">L’ensemble des arrangements du PGAPF s’applique au présent projet, qui sera également coordonné par </w:t>
      </w:r>
      <w:r w:rsidR="003D55F8">
        <w:rPr>
          <w:rFonts w:eastAsiaTheme="minorHAnsi"/>
          <w:sz w:val="20"/>
          <w:szCs w:val="20"/>
          <w:lang w:eastAsia="en-US"/>
        </w:rPr>
        <w:t>l’</w:t>
      </w:r>
      <w:r w:rsidR="003D55F8" w:rsidRPr="003D55F8">
        <w:rPr>
          <w:rFonts w:eastAsiaTheme="minorHAnsi"/>
          <w:sz w:val="20"/>
          <w:szCs w:val="20"/>
          <w:lang w:eastAsia="en-US"/>
        </w:rPr>
        <w:t>Unité de Coordination du PIF</w:t>
      </w:r>
      <w:r w:rsidR="003D55F8">
        <w:rPr>
          <w:rFonts w:eastAsiaTheme="minorHAnsi"/>
          <w:sz w:val="20"/>
          <w:szCs w:val="20"/>
          <w:lang w:eastAsia="en-US"/>
        </w:rPr>
        <w:t xml:space="preserve"> (l’UC</w:t>
      </w:r>
      <w:r w:rsidR="00FD256B">
        <w:rPr>
          <w:rFonts w:eastAsiaTheme="minorHAnsi"/>
          <w:sz w:val="20"/>
          <w:szCs w:val="20"/>
          <w:lang w:eastAsia="en-US"/>
        </w:rPr>
        <w:t>-</w:t>
      </w:r>
      <w:r w:rsidR="003D55F8">
        <w:rPr>
          <w:rFonts w:eastAsiaTheme="minorHAnsi"/>
          <w:sz w:val="20"/>
          <w:szCs w:val="20"/>
          <w:lang w:eastAsia="en-US"/>
        </w:rPr>
        <w:t>PIF)</w:t>
      </w:r>
      <w:r w:rsidR="003D55F8" w:rsidRPr="003D55F8">
        <w:rPr>
          <w:rFonts w:eastAsiaTheme="minorHAnsi"/>
          <w:sz w:val="20"/>
          <w:szCs w:val="20"/>
          <w:lang w:eastAsia="en-US"/>
        </w:rPr>
        <w:t>. Ces arrangements comprennent les dispositions suivantes :</w:t>
      </w:r>
    </w:p>
    <w:p w:rsidR="003D55F8" w:rsidRPr="003D55F8" w:rsidRDefault="003D55F8" w:rsidP="002E3A02">
      <w:pPr>
        <w:pStyle w:val="ListParagraph"/>
        <w:numPr>
          <w:ilvl w:val="0"/>
          <w:numId w:val="19"/>
        </w:numPr>
        <w:spacing w:after="120"/>
        <w:jc w:val="both"/>
        <w:rPr>
          <w:rFonts w:asciiTheme="minorHAnsi" w:hAnsiTheme="minorHAnsi"/>
          <w:sz w:val="20"/>
          <w:lang w:eastAsia="en-US"/>
        </w:rPr>
      </w:pPr>
      <w:r w:rsidRPr="003D55F8">
        <w:rPr>
          <w:rFonts w:asciiTheme="minorHAnsi" w:hAnsiTheme="minorHAnsi"/>
          <w:b/>
          <w:sz w:val="20"/>
          <w:lang w:eastAsia="en-US"/>
        </w:rPr>
        <w:t>Comité de Pilotage:</w:t>
      </w:r>
      <w:r w:rsidRPr="003D55F8">
        <w:rPr>
          <w:rFonts w:asciiTheme="minorHAnsi" w:hAnsiTheme="minorHAnsi"/>
          <w:sz w:val="20"/>
          <w:lang w:eastAsia="en-US"/>
        </w:rPr>
        <w:t xml:space="preserve"> Au niveau national, le projet sera piloté par le Comité National REDD+ </w:t>
      </w:r>
      <w:r w:rsidR="00461290">
        <w:rPr>
          <w:rFonts w:asciiTheme="minorHAnsi" w:hAnsiTheme="minorHAnsi"/>
          <w:sz w:val="20"/>
          <w:lang w:eastAsia="en-US"/>
        </w:rPr>
        <w:t>avec</w:t>
      </w:r>
      <w:r w:rsidRPr="003D55F8">
        <w:rPr>
          <w:rFonts w:asciiTheme="minorHAnsi" w:hAnsiTheme="minorHAnsi"/>
          <w:sz w:val="20"/>
          <w:lang w:eastAsia="en-US"/>
        </w:rPr>
        <w:t xml:space="preserve"> les pouvoirs d'orientation et de prise de décision correspondants. Les responsabilités de ce comité comprendront l'approbation et le contrôle des plans de travail des </w:t>
      </w:r>
      <w:r w:rsidR="00461290">
        <w:rPr>
          <w:rFonts w:asciiTheme="minorHAnsi" w:hAnsiTheme="minorHAnsi"/>
          <w:sz w:val="20"/>
          <w:lang w:eastAsia="en-US"/>
        </w:rPr>
        <w:t>projets et des budgets annuels.</w:t>
      </w:r>
    </w:p>
    <w:p w:rsidR="00DC5991" w:rsidRPr="005B4A0F" w:rsidRDefault="003D55F8" w:rsidP="002E3A02">
      <w:pPr>
        <w:pStyle w:val="ListParagraph"/>
        <w:numPr>
          <w:ilvl w:val="0"/>
          <w:numId w:val="19"/>
        </w:numPr>
        <w:jc w:val="both"/>
        <w:rPr>
          <w:b/>
          <w:sz w:val="20"/>
          <w:lang w:val="fr-CD" w:eastAsia="en-US"/>
        </w:rPr>
      </w:pPr>
      <w:r w:rsidRPr="003D55F8">
        <w:rPr>
          <w:rFonts w:asciiTheme="minorHAnsi" w:hAnsiTheme="minorHAnsi"/>
          <w:b/>
          <w:sz w:val="20"/>
          <w:lang w:eastAsia="en-US"/>
        </w:rPr>
        <w:t>Comité de Pilotage</w:t>
      </w:r>
      <w:r w:rsidR="00465A19">
        <w:rPr>
          <w:rFonts w:asciiTheme="minorHAnsi" w:hAnsiTheme="minorHAnsi"/>
          <w:b/>
          <w:sz w:val="20"/>
          <w:lang w:eastAsia="en-US"/>
        </w:rPr>
        <w:t xml:space="preserve"> Provincial</w:t>
      </w:r>
      <w:r w:rsidRPr="003D55F8">
        <w:rPr>
          <w:rFonts w:asciiTheme="minorHAnsi" w:hAnsiTheme="minorHAnsi"/>
          <w:b/>
          <w:sz w:val="20"/>
          <w:lang w:eastAsia="en-US"/>
        </w:rPr>
        <w:t>:</w:t>
      </w:r>
      <w:r w:rsidR="00366D93">
        <w:rPr>
          <w:rFonts w:asciiTheme="minorHAnsi" w:hAnsiTheme="minorHAnsi"/>
          <w:sz w:val="20"/>
          <w:lang w:eastAsia="en-US"/>
        </w:rPr>
        <w:t xml:space="preserve"> Le</w:t>
      </w:r>
      <w:r w:rsidR="00366D93" w:rsidRPr="005B4A0F">
        <w:rPr>
          <w:rFonts w:asciiTheme="minorHAnsi" w:hAnsiTheme="minorHAnsi" w:cstheme="minorBidi"/>
          <w:sz w:val="20"/>
          <w:szCs w:val="22"/>
          <w:lang w:eastAsia="en-US"/>
        </w:rPr>
        <w:t xml:space="preserve"> comité de pilotage provincial du PGAPF,</w:t>
      </w:r>
      <w:r w:rsidRPr="005B4A0F">
        <w:rPr>
          <w:rFonts w:asciiTheme="minorHAnsi" w:hAnsiTheme="minorHAnsi" w:cstheme="minorBidi"/>
          <w:sz w:val="20"/>
          <w:szCs w:val="22"/>
          <w:lang w:eastAsia="en-US"/>
        </w:rPr>
        <w:t xml:space="preserve"> composé de représentants du gouvernement provincial, </w:t>
      </w:r>
      <w:r w:rsidR="00461290" w:rsidRPr="005B4A0F">
        <w:rPr>
          <w:rFonts w:asciiTheme="minorHAnsi" w:hAnsiTheme="minorHAnsi" w:cstheme="minorBidi"/>
          <w:sz w:val="20"/>
          <w:szCs w:val="22"/>
          <w:lang w:eastAsia="en-US"/>
        </w:rPr>
        <w:t>de l'administration territoriale, de</w:t>
      </w:r>
      <w:r w:rsidRPr="005B4A0F">
        <w:rPr>
          <w:rFonts w:asciiTheme="minorHAnsi" w:hAnsiTheme="minorHAnsi" w:cstheme="minorBidi"/>
          <w:sz w:val="20"/>
          <w:szCs w:val="22"/>
          <w:lang w:eastAsia="en-US"/>
        </w:rPr>
        <w:t>s services décentralisés des ministères con</w:t>
      </w:r>
      <w:r w:rsidR="00461290" w:rsidRPr="005B4A0F">
        <w:rPr>
          <w:rFonts w:asciiTheme="minorHAnsi" w:hAnsiTheme="minorHAnsi" w:cstheme="minorBidi"/>
          <w:sz w:val="20"/>
          <w:szCs w:val="22"/>
          <w:lang w:eastAsia="en-US"/>
        </w:rPr>
        <w:t>cernés par le projet, du</w:t>
      </w:r>
      <w:r w:rsidRPr="005B4A0F">
        <w:rPr>
          <w:rFonts w:asciiTheme="minorHAnsi" w:hAnsiTheme="minorHAnsi" w:cstheme="minorBidi"/>
          <w:sz w:val="20"/>
          <w:szCs w:val="22"/>
          <w:lang w:eastAsia="en-US"/>
        </w:rPr>
        <w:t xml:space="preserve"> point focal provincial REDD+, des représentants du secteur privé et </w:t>
      </w:r>
      <w:r w:rsidR="00461290" w:rsidRPr="005B4A0F">
        <w:rPr>
          <w:rFonts w:asciiTheme="minorHAnsi" w:hAnsiTheme="minorHAnsi" w:cstheme="minorBidi"/>
          <w:sz w:val="20"/>
          <w:szCs w:val="22"/>
          <w:lang w:eastAsia="en-US"/>
        </w:rPr>
        <w:t>de l</w:t>
      </w:r>
      <w:r w:rsidR="00366D93" w:rsidRPr="005B4A0F">
        <w:rPr>
          <w:rFonts w:asciiTheme="minorHAnsi" w:hAnsiTheme="minorHAnsi" w:cstheme="minorBidi"/>
          <w:sz w:val="20"/>
          <w:szCs w:val="22"/>
          <w:lang w:eastAsia="en-US"/>
        </w:rPr>
        <w:t>a société civile, étendra son mandat aux activités du présent financement additionnel du PGAPF. S</w:t>
      </w:r>
      <w:r w:rsidRPr="005B4A0F">
        <w:rPr>
          <w:rFonts w:asciiTheme="minorHAnsi" w:hAnsiTheme="minorHAnsi" w:cstheme="minorBidi"/>
          <w:sz w:val="20"/>
          <w:szCs w:val="22"/>
          <w:lang w:eastAsia="en-US"/>
        </w:rPr>
        <w:t xml:space="preserve">a composition </w:t>
      </w:r>
      <w:r w:rsidR="00366D93" w:rsidRPr="005B4A0F">
        <w:rPr>
          <w:rFonts w:asciiTheme="minorHAnsi" w:hAnsiTheme="minorHAnsi" w:cstheme="minorBidi"/>
          <w:sz w:val="20"/>
          <w:szCs w:val="22"/>
          <w:lang w:eastAsia="en-US"/>
        </w:rPr>
        <w:t>est précisée</w:t>
      </w:r>
      <w:r w:rsidRPr="005B4A0F">
        <w:rPr>
          <w:rFonts w:asciiTheme="minorHAnsi" w:hAnsiTheme="minorHAnsi" w:cstheme="minorBidi"/>
          <w:sz w:val="20"/>
          <w:szCs w:val="22"/>
          <w:lang w:eastAsia="en-US"/>
        </w:rPr>
        <w:t xml:space="preserve"> dans le manuel de mise en œuvre</w:t>
      </w:r>
      <w:r w:rsidR="00366D93" w:rsidRPr="005B4A0F">
        <w:rPr>
          <w:rFonts w:asciiTheme="minorHAnsi" w:hAnsiTheme="minorHAnsi" w:cstheme="minorBidi"/>
          <w:sz w:val="20"/>
          <w:szCs w:val="22"/>
          <w:lang w:eastAsia="en-US"/>
        </w:rPr>
        <w:t xml:space="preserve"> du PGAPF qui sera amendé pour tenir compte de l’augmentation du périmètre d’intervention.</w:t>
      </w:r>
    </w:p>
    <w:p w:rsidR="005B4A0F" w:rsidRDefault="005B4A0F" w:rsidP="005B4A0F">
      <w:pPr>
        <w:pStyle w:val="ListParagraph"/>
        <w:jc w:val="both"/>
        <w:rPr>
          <w:b/>
          <w:sz w:val="20"/>
          <w:lang w:val="fr-CD" w:eastAsia="en-US"/>
        </w:rPr>
      </w:pPr>
    </w:p>
    <w:p w:rsidR="00FC3C69" w:rsidRPr="00465A19" w:rsidRDefault="000257C1" w:rsidP="00DC5991">
      <w:pPr>
        <w:spacing w:after="0"/>
        <w:contextualSpacing/>
        <w:jc w:val="both"/>
        <w:rPr>
          <w:rFonts w:eastAsia="Times New Roman"/>
          <w:b/>
          <w:sz w:val="20"/>
          <w:lang w:val="fr-CD" w:eastAsia="en-US"/>
        </w:rPr>
      </w:pPr>
      <w:r>
        <w:rPr>
          <w:rFonts w:eastAsia="Times New Roman"/>
          <w:b/>
          <w:sz w:val="20"/>
          <w:lang w:val="fr-CD" w:eastAsia="en-US"/>
        </w:rPr>
        <w:t>Gestion du projet</w:t>
      </w:r>
      <w:r w:rsidR="00FC3C69" w:rsidRPr="00465A19">
        <w:rPr>
          <w:rFonts w:eastAsia="Times New Roman"/>
          <w:b/>
          <w:sz w:val="20"/>
          <w:lang w:val="fr-CD" w:eastAsia="en-US"/>
        </w:rPr>
        <w:t>:</w:t>
      </w:r>
      <w:r w:rsidR="00FC3C69" w:rsidRPr="00465A19">
        <w:rPr>
          <w:rFonts w:eastAsia="Times New Roman"/>
          <w:sz w:val="20"/>
          <w:lang w:val="fr-CD" w:eastAsia="en-US"/>
        </w:rPr>
        <w:t xml:space="preserve"> </w:t>
      </w:r>
      <w:r w:rsidR="00465A19" w:rsidRPr="00465A19">
        <w:rPr>
          <w:rFonts w:eastAsia="Times New Roman"/>
          <w:sz w:val="20"/>
          <w:lang w:val="fr-CD" w:eastAsia="en-US"/>
        </w:rPr>
        <w:t>Le projet sera mis en œuvre sous la</w:t>
      </w:r>
      <w:r w:rsidR="00461290">
        <w:rPr>
          <w:rFonts w:eastAsia="Times New Roman"/>
          <w:sz w:val="20"/>
          <w:lang w:val="fr-CD" w:eastAsia="en-US"/>
        </w:rPr>
        <w:t xml:space="preserve"> responsabilité technique et financière du Secrétariat Général d</w:t>
      </w:r>
      <w:r>
        <w:rPr>
          <w:rFonts w:eastAsia="Times New Roman"/>
          <w:sz w:val="20"/>
          <w:lang w:val="fr-CD" w:eastAsia="en-US"/>
        </w:rPr>
        <w:t>u M</w:t>
      </w:r>
      <w:r w:rsidR="00465A19" w:rsidRPr="00465A19">
        <w:rPr>
          <w:rFonts w:eastAsia="Times New Roman"/>
          <w:sz w:val="20"/>
          <w:lang w:val="fr-CD" w:eastAsia="en-US"/>
        </w:rPr>
        <w:t>inistère de l'Environnement, Conse</w:t>
      </w:r>
      <w:r w:rsidR="00461290">
        <w:rPr>
          <w:rFonts w:eastAsia="Times New Roman"/>
          <w:sz w:val="20"/>
          <w:lang w:val="fr-CD" w:eastAsia="en-US"/>
        </w:rPr>
        <w:t xml:space="preserve">rvation de la Nature et Développement Durable (MECNDD). </w:t>
      </w:r>
      <w:r w:rsidRPr="000257C1">
        <w:rPr>
          <w:rFonts w:eastAsia="Times New Roman"/>
          <w:sz w:val="20"/>
          <w:lang w:val="fr-CD" w:eastAsia="en-US"/>
        </w:rPr>
        <w:t>La Direction du développement durable (DDD) aura la responsabilité de la coordination technique du projet et assurera la cohérence avec le processus national REDD+.</w:t>
      </w:r>
      <w:r>
        <w:rPr>
          <w:rFonts w:eastAsia="Times New Roman"/>
          <w:sz w:val="20"/>
          <w:lang w:val="fr-CD" w:eastAsia="en-US"/>
        </w:rPr>
        <w:t xml:space="preserve"> </w:t>
      </w:r>
      <w:r w:rsidR="00465A19" w:rsidRPr="00465A19">
        <w:rPr>
          <w:rFonts w:eastAsia="Times New Roman"/>
          <w:sz w:val="20"/>
          <w:lang w:val="fr-CD" w:eastAsia="en-US"/>
        </w:rPr>
        <w:t xml:space="preserve">La coordination du projet sera pleinement intégrée dans la structure administrative </w:t>
      </w:r>
      <w:r w:rsidR="00461290">
        <w:rPr>
          <w:rFonts w:eastAsia="Times New Roman"/>
          <w:sz w:val="20"/>
          <w:lang w:val="fr-CD" w:eastAsia="en-US"/>
        </w:rPr>
        <w:t xml:space="preserve">du </w:t>
      </w:r>
      <w:r w:rsidR="00465A19" w:rsidRPr="00465A19">
        <w:rPr>
          <w:rFonts w:eastAsia="Times New Roman"/>
          <w:sz w:val="20"/>
          <w:lang w:val="fr-CD" w:eastAsia="en-US"/>
        </w:rPr>
        <w:t xml:space="preserve">MECNDD. Le coordinateur </w:t>
      </w:r>
      <w:r w:rsidR="00461290">
        <w:rPr>
          <w:rFonts w:eastAsia="Times New Roman"/>
          <w:sz w:val="20"/>
          <w:lang w:val="fr-CD" w:eastAsia="en-US"/>
        </w:rPr>
        <w:t xml:space="preserve">du </w:t>
      </w:r>
      <w:r w:rsidR="00465A19" w:rsidRPr="00465A19">
        <w:rPr>
          <w:rFonts w:eastAsia="Times New Roman"/>
          <w:sz w:val="20"/>
          <w:lang w:val="fr-CD" w:eastAsia="en-US"/>
        </w:rPr>
        <w:t xml:space="preserve"> </w:t>
      </w:r>
      <w:r w:rsidR="00461290">
        <w:rPr>
          <w:rFonts w:eastAsia="Times New Roman"/>
          <w:sz w:val="20"/>
          <w:lang w:val="fr-CD" w:eastAsia="en-US"/>
        </w:rPr>
        <w:t>PGAPF</w:t>
      </w:r>
      <w:r w:rsidRPr="000257C1">
        <w:t xml:space="preserve"> </w:t>
      </w:r>
      <w:r>
        <w:rPr>
          <w:rFonts w:eastAsia="Times New Roman"/>
          <w:sz w:val="20"/>
          <w:lang w:val="fr-CD" w:eastAsia="en-US"/>
        </w:rPr>
        <w:t>(u</w:t>
      </w:r>
      <w:r w:rsidRPr="000257C1">
        <w:rPr>
          <w:rFonts w:eastAsia="Times New Roman"/>
          <w:sz w:val="20"/>
          <w:lang w:val="fr-CD" w:eastAsia="en-US"/>
        </w:rPr>
        <w:t>nité de Coordination du PIF</w:t>
      </w:r>
      <w:r>
        <w:rPr>
          <w:rFonts w:eastAsia="Times New Roman"/>
          <w:sz w:val="20"/>
          <w:lang w:val="fr-CD" w:eastAsia="en-US"/>
        </w:rPr>
        <w:t>) et son équipe</w:t>
      </w:r>
      <w:r w:rsidR="00461290">
        <w:rPr>
          <w:rFonts w:eastAsia="Times New Roman"/>
          <w:sz w:val="20"/>
          <w:lang w:val="fr-CD" w:eastAsia="en-US"/>
        </w:rPr>
        <w:t xml:space="preserve"> assurer</w:t>
      </w:r>
      <w:r>
        <w:rPr>
          <w:rFonts w:eastAsia="Times New Roman"/>
          <w:sz w:val="20"/>
          <w:lang w:val="fr-CD" w:eastAsia="en-US"/>
        </w:rPr>
        <w:t>ont</w:t>
      </w:r>
      <w:r w:rsidR="00465A19" w:rsidRPr="00465A19">
        <w:rPr>
          <w:rFonts w:eastAsia="Times New Roman"/>
          <w:sz w:val="20"/>
          <w:lang w:val="fr-CD" w:eastAsia="en-US"/>
        </w:rPr>
        <w:t xml:space="preserve"> la gestion quotidienne </w:t>
      </w:r>
      <w:r w:rsidR="00465A19" w:rsidRPr="00465A19">
        <w:rPr>
          <w:rFonts w:eastAsia="Times New Roman"/>
          <w:sz w:val="20"/>
          <w:lang w:val="fr-CD" w:eastAsia="en-US"/>
        </w:rPr>
        <w:lastRenderedPageBreak/>
        <w:t>du projet (gest</w:t>
      </w:r>
      <w:r w:rsidR="00461290">
        <w:rPr>
          <w:rFonts w:eastAsia="Times New Roman"/>
          <w:sz w:val="20"/>
          <w:lang w:val="fr-CD" w:eastAsia="en-US"/>
        </w:rPr>
        <w:t xml:space="preserve">ion financière, passation des </w:t>
      </w:r>
      <w:r>
        <w:rPr>
          <w:rFonts w:eastAsia="Times New Roman"/>
          <w:sz w:val="20"/>
          <w:lang w:val="fr-CD" w:eastAsia="en-US"/>
        </w:rPr>
        <w:t>marchés</w:t>
      </w:r>
      <w:r w:rsidR="00461290">
        <w:rPr>
          <w:rFonts w:eastAsia="Times New Roman"/>
          <w:sz w:val="20"/>
          <w:lang w:val="fr-CD" w:eastAsia="en-US"/>
        </w:rPr>
        <w:t>, paiements),</w:t>
      </w:r>
      <w:r w:rsidR="00465A19" w:rsidRPr="00465A19">
        <w:rPr>
          <w:rFonts w:eastAsia="Times New Roman"/>
          <w:sz w:val="20"/>
          <w:lang w:val="fr-CD" w:eastAsia="en-US"/>
        </w:rPr>
        <w:t xml:space="preserve"> le suivi et l'évaluation et la supervision des </w:t>
      </w:r>
      <w:r>
        <w:rPr>
          <w:rFonts w:eastAsia="Times New Roman"/>
          <w:sz w:val="20"/>
          <w:lang w:val="fr-CD" w:eastAsia="en-US"/>
        </w:rPr>
        <w:t>activités de projet</w:t>
      </w:r>
      <w:r w:rsidR="00465A19">
        <w:rPr>
          <w:rFonts w:eastAsia="Times New Roman"/>
          <w:sz w:val="20"/>
          <w:lang w:val="fr-CD" w:eastAsia="en-US"/>
        </w:rPr>
        <w:t>.</w:t>
      </w:r>
    </w:p>
    <w:p w:rsidR="00465A19" w:rsidRPr="00465A19" w:rsidRDefault="00465A19" w:rsidP="00465A19">
      <w:pPr>
        <w:contextualSpacing/>
        <w:jc w:val="both"/>
        <w:rPr>
          <w:rFonts w:eastAsia="Times New Roman"/>
          <w:sz w:val="20"/>
          <w:lang w:eastAsia="en-US"/>
        </w:rPr>
      </w:pPr>
    </w:p>
    <w:p w:rsidR="00EC32E3" w:rsidRDefault="000257C1" w:rsidP="00F91082">
      <w:pPr>
        <w:spacing w:after="0"/>
        <w:jc w:val="both"/>
        <w:rPr>
          <w:rFonts w:eastAsia="Times New Roman"/>
          <w:sz w:val="20"/>
          <w:lang w:eastAsia="en-US"/>
        </w:rPr>
      </w:pPr>
      <w:r w:rsidRPr="000257C1">
        <w:rPr>
          <w:rFonts w:eastAsia="Times New Roman"/>
          <w:sz w:val="20"/>
          <w:lang w:eastAsia="en-US"/>
        </w:rPr>
        <w:t>L’</w:t>
      </w:r>
      <w:r w:rsidR="00DC5991" w:rsidRPr="000257C1">
        <w:rPr>
          <w:rFonts w:eastAsia="Times New Roman"/>
          <w:sz w:val="20"/>
          <w:lang w:eastAsia="en-US"/>
        </w:rPr>
        <w:t>Unité de Coordination du PIF</w:t>
      </w:r>
      <w:r>
        <w:rPr>
          <w:rFonts w:eastAsia="Times New Roman"/>
          <w:sz w:val="20"/>
          <w:lang w:eastAsia="en-US"/>
        </w:rPr>
        <w:t xml:space="preserve"> (UC-PIF) comprend</w:t>
      </w:r>
      <w:r w:rsidR="00EC32E3">
        <w:rPr>
          <w:rFonts w:eastAsia="Times New Roman"/>
          <w:sz w:val="20"/>
          <w:lang w:eastAsia="en-US"/>
        </w:rPr>
        <w:t xml:space="preserve"> actuellement</w:t>
      </w:r>
      <w:r>
        <w:rPr>
          <w:rFonts w:eastAsia="Times New Roman"/>
          <w:sz w:val="20"/>
          <w:lang w:eastAsia="en-US"/>
        </w:rPr>
        <w:t xml:space="preserve"> un</w:t>
      </w:r>
      <w:r w:rsidR="00C46F6D" w:rsidRPr="00C46F6D">
        <w:rPr>
          <w:rFonts w:eastAsia="Times New Roman"/>
          <w:sz w:val="20"/>
          <w:lang w:eastAsia="en-US"/>
        </w:rPr>
        <w:t xml:space="preserve"> as</w:t>
      </w:r>
      <w:r w:rsidR="00EC32E3">
        <w:rPr>
          <w:rFonts w:eastAsia="Times New Roman"/>
          <w:sz w:val="20"/>
          <w:lang w:eastAsia="en-US"/>
        </w:rPr>
        <w:t xml:space="preserve">sistant technique international, six experts </w:t>
      </w:r>
      <w:r w:rsidR="00C46F6D" w:rsidRPr="00C46F6D">
        <w:rPr>
          <w:rFonts w:eastAsia="Times New Roman"/>
          <w:sz w:val="20"/>
          <w:lang w:eastAsia="en-US"/>
        </w:rPr>
        <w:t>techniques</w:t>
      </w:r>
      <w:r w:rsidR="00CC485E">
        <w:rPr>
          <w:rFonts w:eastAsia="Times New Roman"/>
          <w:sz w:val="20"/>
          <w:lang w:eastAsia="en-US"/>
        </w:rPr>
        <w:t xml:space="preserve"> et/ou financiers</w:t>
      </w:r>
      <w:r w:rsidR="00C46F6D" w:rsidRPr="00C46F6D">
        <w:rPr>
          <w:rFonts w:eastAsia="Times New Roman"/>
          <w:sz w:val="20"/>
          <w:lang w:eastAsia="en-US"/>
        </w:rPr>
        <w:t xml:space="preserve"> locaux (</w:t>
      </w:r>
      <w:r w:rsidR="00EC32E3">
        <w:rPr>
          <w:rFonts w:eastAsia="Times New Roman"/>
          <w:sz w:val="20"/>
          <w:lang w:eastAsia="en-US"/>
        </w:rPr>
        <w:t>un expert en sauvegardes environnementales et sociales,  un expert en</w:t>
      </w:r>
      <w:r w:rsidR="00C46F6D" w:rsidRPr="00C46F6D">
        <w:rPr>
          <w:rFonts w:eastAsia="Times New Roman"/>
          <w:sz w:val="20"/>
          <w:lang w:eastAsia="en-US"/>
        </w:rPr>
        <w:t xml:space="preserve"> communication,</w:t>
      </w:r>
      <w:r w:rsidR="00EC32E3">
        <w:rPr>
          <w:rFonts w:eastAsia="Times New Roman"/>
          <w:sz w:val="20"/>
          <w:lang w:eastAsia="en-US"/>
        </w:rPr>
        <w:t xml:space="preserve"> un expert en passation des marchés, un spécialiste en gestion financière, un comptable, et un auditeur interne) et une équipe d’assistants administratifs.</w:t>
      </w:r>
    </w:p>
    <w:p w:rsidR="00CC485E" w:rsidRDefault="00CC485E" w:rsidP="00F91082">
      <w:pPr>
        <w:spacing w:after="0"/>
        <w:jc w:val="both"/>
        <w:rPr>
          <w:rFonts w:eastAsia="Times New Roman"/>
          <w:sz w:val="20"/>
          <w:lang w:eastAsia="en-US"/>
        </w:rPr>
      </w:pPr>
    </w:p>
    <w:p w:rsidR="0004294C" w:rsidRDefault="00CC485E" w:rsidP="0004294C">
      <w:pPr>
        <w:spacing w:after="0"/>
        <w:jc w:val="both"/>
        <w:rPr>
          <w:rFonts w:eastAsia="Times New Roman"/>
          <w:sz w:val="20"/>
          <w:lang w:eastAsia="en-US"/>
        </w:rPr>
      </w:pPr>
      <w:r w:rsidRPr="00366D93">
        <w:rPr>
          <w:rFonts w:eastAsia="Times New Roman"/>
          <w:sz w:val="20"/>
          <w:lang w:eastAsia="en-US"/>
        </w:rPr>
        <w:t>En matière de gestion fiduciaire, L’UC-PIF appliquera les procédures de la Banque mondiale telles que dé</w:t>
      </w:r>
      <w:r w:rsidR="00366D93" w:rsidRPr="00366D93">
        <w:rPr>
          <w:rFonts w:eastAsia="Times New Roman"/>
          <w:sz w:val="20"/>
          <w:lang w:eastAsia="en-US"/>
        </w:rPr>
        <w:t>crites dans les annexes I à VII de l’ANNEXE</w:t>
      </w:r>
      <w:r w:rsidR="00366D93">
        <w:rPr>
          <w:rFonts w:eastAsia="Times New Roman"/>
          <w:sz w:val="20"/>
          <w:lang w:eastAsia="en-US"/>
        </w:rPr>
        <w:t xml:space="preserve"> 6</w:t>
      </w:r>
      <w:r>
        <w:rPr>
          <w:rFonts w:eastAsia="Times New Roman"/>
          <w:sz w:val="20"/>
          <w:lang w:eastAsia="en-US"/>
        </w:rPr>
        <w:t>.</w:t>
      </w:r>
      <w:r w:rsidR="00B23F03">
        <w:rPr>
          <w:rFonts w:eastAsia="Times New Roman"/>
          <w:sz w:val="20"/>
          <w:lang w:eastAsia="en-US"/>
        </w:rPr>
        <w:t xml:space="preserve"> Ces mêmes procédures seront utilisées par l’ALE qui sera sélectionnée par voie d’appel d’offres international.</w:t>
      </w:r>
      <w:r>
        <w:rPr>
          <w:rFonts w:eastAsia="Times New Roman"/>
          <w:sz w:val="20"/>
          <w:lang w:eastAsia="en-US"/>
        </w:rPr>
        <w:t xml:space="preserve"> L</w:t>
      </w:r>
      <w:r w:rsidRPr="00CC485E">
        <w:rPr>
          <w:rFonts w:eastAsia="Times New Roman"/>
          <w:sz w:val="20"/>
          <w:lang w:eastAsia="en-US"/>
        </w:rPr>
        <w:t>a Banque mondiale</w:t>
      </w:r>
      <w:r>
        <w:rPr>
          <w:rFonts w:eastAsia="Times New Roman"/>
          <w:sz w:val="20"/>
          <w:lang w:eastAsia="en-US"/>
        </w:rPr>
        <w:t xml:space="preserve"> assurera en outre une supervision renforcée des pratiques de l’UC-PIF en recrutant un spécialiste en gestion financière dédié à la supervision financière des activités du PIREDD Mai-Ndombe. Ce renforcement interviendra en sus des règles de suivi d’</w:t>
      </w:r>
      <w:r w:rsidR="000E242E">
        <w:rPr>
          <w:rFonts w:eastAsia="Times New Roman"/>
          <w:sz w:val="20"/>
          <w:lang w:eastAsia="en-US"/>
        </w:rPr>
        <w:t>usage que</w:t>
      </w:r>
      <w:r>
        <w:rPr>
          <w:rFonts w:eastAsia="Times New Roman"/>
          <w:sz w:val="20"/>
          <w:lang w:eastAsia="en-US"/>
        </w:rPr>
        <w:t xml:space="preserve"> la Banque mondiale</w:t>
      </w:r>
      <w:r w:rsidR="000E242E">
        <w:rPr>
          <w:rFonts w:eastAsia="Times New Roman"/>
          <w:sz w:val="20"/>
          <w:lang w:eastAsia="en-US"/>
        </w:rPr>
        <w:t xml:space="preserve"> met traditionnellement</w:t>
      </w:r>
      <w:r>
        <w:rPr>
          <w:rFonts w:eastAsia="Times New Roman"/>
          <w:sz w:val="20"/>
          <w:lang w:eastAsia="en-US"/>
        </w:rPr>
        <w:t xml:space="preserve"> en </w:t>
      </w:r>
      <w:r w:rsidR="000E242E">
        <w:rPr>
          <w:rFonts w:eastAsia="Times New Roman"/>
          <w:sz w:val="20"/>
          <w:lang w:eastAsia="en-US"/>
        </w:rPr>
        <w:t xml:space="preserve">œuvre en </w:t>
      </w:r>
      <w:r>
        <w:rPr>
          <w:rFonts w:eastAsia="Times New Roman"/>
          <w:sz w:val="20"/>
          <w:lang w:eastAsia="en-US"/>
        </w:rPr>
        <w:t>matière de supervision de projets</w:t>
      </w:r>
      <w:r w:rsidR="00366D93">
        <w:rPr>
          <w:rFonts w:eastAsia="Times New Roman"/>
          <w:sz w:val="20"/>
          <w:lang w:eastAsia="en-US"/>
        </w:rPr>
        <w:t xml:space="preserve"> (Cf. Annexe 6</w:t>
      </w:r>
      <w:r w:rsidRPr="00CC485E">
        <w:rPr>
          <w:rFonts w:eastAsia="Times New Roman"/>
          <w:sz w:val="20"/>
          <w:lang w:eastAsia="en-US"/>
        </w:rPr>
        <w:t>).</w:t>
      </w:r>
    </w:p>
    <w:p w:rsidR="006C6753" w:rsidRDefault="006C6753" w:rsidP="0004294C">
      <w:pPr>
        <w:spacing w:after="0"/>
        <w:jc w:val="both"/>
        <w:rPr>
          <w:rFonts w:eastAsia="Times New Roman"/>
          <w:sz w:val="20"/>
          <w:lang w:eastAsia="en-US"/>
        </w:rPr>
      </w:pPr>
    </w:p>
    <w:p w:rsidR="00C24821" w:rsidRDefault="006C6753" w:rsidP="00C24821">
      <w:pPr>
        <w:spacing w:after="0"/>
        <w:jc w:val="both"/>
      </w:pPr>
      <w:r w:rsidRPr="00ED144B">
        <w:rPr>
          <w:rFonts w:eastAsia="Times New Roman"/>
          <w:b/>
          <w:sz w:val="20"/>
          <w:lang w:eastAsia="en-US"/>
        </w:rPr>
        <w:t>Gestion des connaissances :</w:t>
      </w:r>
      <w:r>
        <w:rPr>
          <w:rFonts w:eastAsia="Times New Roman"/>
          <w:sz w:val="20"/>
          <w:lang w:eastAsia="en-US"/>
        </w:rPr>
        <w:t xml:space="preserve"> </w:t>
      </w:r>
      <w:r w:rsidRPr="006C6753">
        <w:rPr>
          <w:rFonts w:eastAsia="Times New Roman"/>
          <w:sz w:val="20"/>
          <w:lang w:eastAsia="en-US"/>
        </w:rPr>
        <w:t>La composante 4 du PGAPF dispose d’une telle composante avec un budget significatif pour des consultations et la dissémination d’informations (Cf. document de projet du PGAPF en annexe 4b)</w:t>
      </w:r>
      <w:r>
        <w:rPr>
          <w:rFonts w:eastAsia="Times New Roman"/>
          <w:sz w:val="20"/>
          <w:lang w:eastAsia="en-US"/>
        </w:rPr>
        <w:t>. L</w:t>
      </w:r>
      <w:r w:rsidRPr="006C6753">
        <w:rPr>
          <w:rFonts w:eastAsia="Times New Roman"/>
          <w:sz w:val="20"/>
          <w:lang w:eastAsia="en-US"/>
        </w:rPr>
        <w:t>’UC-PIF sera renforcée lors de la mise en œuvre du PIREDD Mai-Ndombe par deux nouveaux experts, dont un spécialiste en Systèmes d’Information Géographique (SIG) et un expert en suivi et évaluation, tout en bénéficiant de moyens augmentés pour la tenue d’ateliers, des formations et couvrir d</w:t>
      </w:r>
      <w:r>
        <w:rPr>
          <w:rFonts w:eastAsia="Times New Roman"/>
          <w:sz w:val="20"/>
          <w:lang w:eastAsia="en-US"/>
        </w:rPr>
        <w:t>es frais d’édition</w:t>
      </w:r>
      <w:r w:rsidRPr="006C6753">
        <w:rPr>
          <w:rFonts w:eastAsia="Times New Roman"/>
          <w:sz w:val="20"/>
          <w:lang w:eastAsia="en-US"/>
        </w:rPr>
        <w:t>.</w:t>
      </w:r>
    </w:p>
    <w:p w:rsidR="00C24821" w:rsidRDefault="00C24821" w:rsidP="00C24821">
      <w:pPr>
        <w:spacing w:after="0"/>
        <w:jc w:val="both"/>
      </w:pPr>
    </w:p>
    <w:p w:rsidR="00C24821" w:rsidRPr="00C24821" w:rsidRDefault="00C24821" w:rsidP="00C24821">
      <w:pPr>
        <w:spacing w:after="0"/>
        <w:jc w:val="both"/>
        <w:rPr>
          <w:rFonts w:eastAsia="Times New Roman"/>
          <w:sz w:val="20"/>
          <w:lang w:eastAsia="en-US"/>
        </w:rPr>
      </w:pPr>
      <w:r w:rsidRPr="00C24821">
        <w:rPr>
          <w:rFonts w:eastAsia="Times New Roman"/>
          <w:sz w:val="20"/>
          <w:lang w:eastAsia="en-US"/>
        </w:rPr>
        <w:t>Pour assurer un flux suffisant d'information et une bonne gestion des connaissances, mais aussi pour sa</w:t>
      </w:r>
      <w:r>
        <w:rPr>
          <w:rFonts w:eastAsia="Times New Roman"/>
          <w:sz w:val="20"/>
          <w:lang w:eastAsia="en-US"/>
        </w:rPr>
        <w:t>tisfaire aux prescrits de la Lettre d’Intention</w:t>
      </w:r>
      <w:r w:rsidRPr="00C24821">
        <w:rPr>
          <w:rFonts w:eastAsia="Times New Roman"/>
          <w:sz w:val="20"/>
          <w:lang w:eastAsia="en-US"/>
        </w:rPr>
        <w:t>,  le FONAREDD met en place un dispositif de suivi évaluation dont les modalités sont fournies en annexe ou seront ultérieurement précisées.</w:t>
      </w:r>
    </w:p>
    <w:p w:rsidR="00C24821" w:rsidRPr="00C24821" w:rsidRDefault="00C24821" w:rsidP="00C24821">
      <w:pPr>
        <w:spacing w:after="0"/>
        <w:jc w:val="both"/>
        <w:rPr>
          <w:rFonts w:eastAsia="Times New Roman"/>
          <w:sz w:val="20"/>
          <w:lang w:eastAsia="en-US"/>
        </w:rPr>
      </w:pPr>
      <w:r w:rsidRPr="00C24821">
        <w:rPr>
          <w:rFonts w:eastAsia="Times New Roman"/>
          <w:sz w:val="20"/>
          <w:lang w:eastAsia="en-US"/>
        </w:rPr>
        <w:t xml:space="preserve"> </w:t>
      </w:r>
    </w:p>
    <w:p w:rsidR="001A2D05" w:rsidRDefault="00C24821" w:rsidP="0004294C">
      <w:pPr>
        <w:spacing w:after="0"/>
        <w:jc w:val="both"/>
        <w:rPr>
          <w:rFonts w:eastAsia="Times New Roman"/>
          <w:sz w:val="20"/>
          <w:lang w:eastAsia="en-US"/>
        </w:rPr>
      </w:pPr>
      <w:r w:rsidRPr="00C24821">
        <w:rPr>
          <w:rFonts w:eastAsia="Times New Roman"/>
          <w:sz w:val="20"/>
          <w:lang w:eastAsia="en-US"/>
        </w:rPr>
        <w:t>Les arrangements de mise en œuvre du programme seront adaptés en temps utile pour faciliter la bonne mise en œuvre des modalités de pilotage et de suivi du programme par le FONAREDD, pour autant que les dispositions requises par le FONAREDD (suivi évaluation, gestion participative, ges</w:t>
      </w:r>
      <w:r>
        <w:rPr>
          <w:rFonts w:eastAsia="Times New Roman"/>
          <w:sz w:val="20"/>
          <w:lang w:eastAsia="en-US"/>
        </w:rPr>
        <w:t>tion des risques, voir annexes 9 &amp; 10</w:t>
      </w:r>
      <w:r w:rsidRPr="00C24821">
        <w:rPr>
          <w:rFonts w:eastAsia="Times New Roman"/>
          <w:sz w:val="20"/>
          <w:lang w:eastAsia="en-US"/>
        </w:rPr>
        <w:t>)  soient applicables dans le cadre de l'accord administratif (AA) fixant les obligations légales, les obligations contractuelles restant en effet celles de l’AA</w:t>
      </w:r>
      <w:r>
        <w:rPr>
          <w:rFonts w:eastAsia="Times New Roman"/>
          <w:sz w:val="20"/>
          <w:lang w:eastAsia="en-US"/>
        </w:rPr>
        <w:t>.</w:t>
      </w:r>
    </w:p>
    <w:p w:rsidR="00B23F03" w:rsidRPr="00B23F03" w:rsidRDefault="009B30E2" w:rsidP="00B23F03">
      <w:pPr>
        <w:pStyle w:val="Heading1"/>
        <w:ind w:left="360"/>
      </w:pPr>
      <w:bookmarkStart w:id="34" w:name="_Toc469036930"/>
      <w:r w:rsidRPr="000F2DE3">
        <w:t>Faisabilité, gestion des</w:t>
      </w:r>
      <w:r w:rsidRPr="00401544">
        <w:t xml:space="preserve"> risques et pérennité des résultats</w:t>
      </w:r>
      <w:bookmarkEnd w:id="34"/>
    </w:p>
    <w:p w:rsidR="00B23F03" w:rsidRDefault="00B23F03" w:rsidP="00B23F03">
      <w:pPr>
        <w:contextualSpacing/>
        <w:jc w:val="both"/>
        <w:rPr>
          <w:rFonts w:eastAsiaTheme="minorHAnsi"/>
          <w:sz w:val="20"/>
          <w:szCs w:val="20"/>
          <w:lang w:eastAsia="en-US"/>
        </w:rPr>
      </w:pPr>
    </w:p>
    <w:p w:rsidR="002E1AC0" w:rsidRDefault="002E1AC0" w:rsidP="00B23F03">
      <w:pPr>
        <w:contextualSpacing/>
        <w:jc w:val="both"/>
        <w:rPr>
          <w:rFonts w:eastAsiaTheme="minorHAnsi"/>
          <w:sz w:val="20"/>
          <w:szCs w:val="20"/>
          <w:lang w:eastAsia="en-US"/>
        </w:rPr>
      </w:pPr>
      <w:r>
        <w:rPr>
          <w:rFonts w:eastAsiaTheme="minorHAnsi"/>
          <w:sz w:val="20"/>
          <w:szCs w:val="20"/>
          <w:lang w:eastAsia="en-US"/>
        </w:rPr>
        <w:t xml:space="preserve">Connaitre les risques, c’est la possibilité de les prévenir. Aussi, l’équipe projet a procédé à une analyse de risque du PIREDD Mai-Ndombe en utilisant l’approche de la Banque mondiale et plus particulièrement son outil </w:t>
      </w:r>
      <w:r w:rsidR="0044536F">
        <w:rPr>
          <w:rFonts w:eastAsiaTheme="minorHAnsi"/>
          <w:sz w:val="20"/>
          <w:szCs w:val="20"/>
          <w:lang w:eastAsia="en-US"/>
        </w:rPr>
        <w:t>de caractérisation des risques pour</w:t>
      </w:r>
      <w:r>
        <w:rPr>
          <w:rFonts w:eastAsiaTheme="minorHAnsi"/>
          <w:sz w:val="20"/>
          <w:szCs w:val="20"/>
          <w:lang w:eastAsia="en-US"/>
        </w:rPr>
        <w:t xml:space="preserve"> les opérations de la Banque (</w:t>
      </w:r>
      <w:r w:rsidR="0044536F">
        <w:rPr>
          <w:rFonts w:eastAsiaTheme="minorHAnsi"/>
          <w:sz w:val="20"/>
          <w:szCs w:val="20"/>
          <w:lang w:eastAsia="en-US"/>
        </w:rPr>
        <w:t xml:space="preserve">Systematic Operations Risk </w:t>
      </w:r>
      <w:r w:rsidRPr="002E1AC0">
        <w:rPr>
          <w:rFonts w:eastAsiaTheme="minorHAnsi"/>
          <w:sz w:val="20"/>
          <w:szCs w:val="20"/>
          <w:lang w:eastAsia="en-US"/>
        </w:rPr>
        <w:t>Rating Tool (SORT)</w:t>
      </w:r>
      <w:r w:rsidR="0044536F">
        <w:rPr>
          <w:rFonts w:eastAsiaTheme="minorHAnsi"/>
          <w:sz w:val="20"/>
          <w:szCs w:val="20"/>
          <w:lang w:eastAsia="en-US"/>
        </w:rPr>
        <w:t>). Les conclusions de cette analyse des risques</w:t>
      </w:r>
      <w:r w:rsidR="00D544C7">
        <w:rPr>
          <w:rFonts w:eastAsiaTheme="minorHAnsi"/>
          <w:sz w:val="20"/>
          <w:szCs w:val="20"/>
          <w:lang w:eastAsia="en-US"/>
        </w:rPr>
        <w:t xml:space="preserve">, combinées avec les leçons apprises de projets passés, </w:t>
      </w:r>
      <w:r w:rsidR="0044536F">
        <w:rPr>
          <w:rFonts w:eastAsiaTheme="minorHAnsi"/>
          <w:sz w:val="20"/>
          <w:szCs w:val="20"/>
          <w:lang w:eastAsia="en-US"/>
        </w:rPr>
        <w:t xml:space="preserve"> ont orienté la conception du programme, notamment dans ses modalités de mise en œuvre.</w:t>
      </w:r>
    </w:p>
    <w:p w:rsidR="002E1AC0" w:rsidRPr="00B23F03" w:rsidRDefault="002E1AC0"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b/>
          <w:color w:val="2E74B5" w:themeColor="accent1" w:themeShade="BF"/>
          <w:sz w:val="20"/>
          <w:szCs w:val="20"/>
          <w:lang w:eastAsia="en-US"/>
        </w:rPr>
      </w:pPr>
      <w:r w:rsidRPr="00B23F03">
        <w:rPr>
          <w:rFonts w:eastAsiaTheme="minorHAnsi"/>
          <w:b/>
          <w:color w:val="2E74B5" w:themeColor="accent1" w:themeShade="BF"/>
          <w:sz w:val="20"/>
          <w:szCs w:val="20"/>
          <w:lang w:eastAsia="en-US"/>
        </w:rPr>
        <w:t xml:space="preserve">Politique et gouvernance </w:t>
      </w:r>
      <w:r>
        <w:rPr>
          <w:rFonts w:eastAsiaTheme="minorHAnsi"/>
          <w:b/>
          <w:color w:val="2E74B5" w:themeColor="accent1" w:themeShade="BF"/>
          <w:sz w:val="20"/>
          <w:szCs w:val="20"/>
          <w:lang w:eastAsia="en-US"/>
        </w:rPr>
        <w:t>–</w:t>
      </w:r>
      <w:r w:rsidRPr="00B23F03">
        <w:rPr>
          <w:rFonts w:eastAsiaTheme="minorHAnsi"/>
          <w:b/>
          <w:color w:val="2E74B5" w:themeColor="accent1" w:themeShade="BF"/>
          <w:sz w:val="20"/>
          <w:szCs w:val="20"/>
          <w:lang w:eastAsia="en-US"/>
        </w:rPr>
        <w:t xml:space="preserve"> </w:t>
      </w:r>
      <w:r>
        <w:rPr>
          <w:rFonts w:eastAsiaTheme="minorHAnsi"/>
          <w:b/>
          <w:color w:val="2E74B5" w:themeColor="accent1" w:themeShade="BF"/>
          <w:sz w:val="20"/>
          <w:szCs w:val="20"/>
          <w:lang w:eastAsia="en-US"/>
        </w:rPr>
        <w:t>Risque élevé</w:t>
      </w:r>
    </w:p>
    <w:p w:rsidR="00B23F03" w:rsidRPr="00B23F03" w:rsidRDefault="00B23F03"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sz w:val="20"/>
          <w:szCs w:val="20"/>
          <w:lang w:eastAsia="en-US"/>
        </w:rPr>
      </w:pPr>
      <w:r w:rsidRPr="00B23F03">
        <w:rPr>
          <w:rFonts w:eastAsiaTheme="minorHAnsi"/>
          <w:sz w:val="20"/>
          <w:szCs w:val="20"/>
          <w:lang w:eastAsia="en-US"/>
        </w:rPr>
        <w:t>Le pays se remet d'une série de conflits qui ont éclaté dans les années 1990</w:t>
      </w:r>
      <w:r w:rsidR="005D0D98">
        <w:rPr>
          <w:rFonts w:eastAsiaTheme="minorHAnsi"/>
          <w:sz w:val="20"/>
          <w:szCs w:val="20"/>
          <w:lang w:eastAsia="en-US"/>
        </w:rPr>
        <w:t xml:space="preserve"> et qui a été à l’origine</w:t>
      </w:r>
      <w:r w:rsidRPr="00B23F03">
        <w:rPr>
          <w:rFonts w:eastAsiaTheme="minorHAnsi"/>
          <w:sz w:val="20"/>
          <w:szCs w:val="20"/>
          <w:lang w:eastAsia="en-US"/>
        </w:rPr>
        <w:t xml:space="preserve"> d'un marasme économique et social prolongé. En 1999, les accords de paix de Lusaka </w:t>
      </w:r>
      <w:r w:rsidR="005D0D98">
        <w:rPr>
          <w:rFonts w:eastAsiaTheme="minorHAnsi"/>
          <w:sz w:val="20"/>
          <w:szCs w:val="20"/>
          <w:lang w:eastAsia="en-US"/>
        </w:rPr>
        <w:t xml:space="preserve">ont ramené une certaine sérénité tout en mettant </w:t>
      </w:r>
      <w:r w:rsidRPr="00B23F03">
        <w:rPr>
          <w:rFonts w:eastAsiaTheme="minorHAnsi"/>
          <w:sz w:val="20"/>
          <w:szCs w:val="20"/>
          <w:lang w:eastAsia="en-US"/>
        </w:rPr>
        <w:t>en place de nouvelles institutions, comme le Parlement, le Sénat et les assemblées provinciales. En 2011, le présid</w:t>
      </w:r>
      <w:r w:rsidR="005D0D98">
        <w:rPr>
          <w:rFonts w:eastAsiaTheme="minorHAnsi"/>
          <w:sz w:val="20"/>
          <w:szCs w:val="20"/>
          <w:lang w:eastAsia="en-US"/>
        </w:rPr>
        <w:t>ent Joseph Kabila et son parti ont</w:t>
      </w:r>
      <w:r w:rsidRPr="00B23F03">
        <w:rPr>
          <w:rFonts w:eastAsiaTheme="minorHAnsi"/>
          <w:sz w:val="20"/>
          <w:szCs w:val="20"/>
          <w:lang w:eastAsia="en-US"/>
        </w:rPr>
        <w:t xml:space="preserve"> remporté les élections présidentielles et législatives en dépit des inquiétudes quant à la transparence du processus électoral. Les prochaines élections présidentielles sont prévues pour 2016.</w:t>
      </w:r>
    </w:p>
    <w:p w:rsidR="00B23F03" w:rsidRPr="00B23F03" w:rsidRDefault="00B23F03"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sz w:val="20"/>
          <w:szCs w:val="20"/>
          <w:lang w:eastAsia="en-US"/>
        </w:rPr>
      </w:pPr>
      <w:r w:rsidRPr="00B23F03">
        <w:rPr>
          <w:rFonts w:eastAsiaTheme="minorHAnsi"/>
          <w:sz w:val="20"/>
          <w:szCs w:val="20"/>
          <w:lang w:eastAsia="en-US"/>
        </w:rPr>
        <w:t xml:space="preserve">Bien que la sécurité </w:t>
      </w:r>
      <w:r w:rsidR="005D0D98">
        <w:rPr>
          <w:rFonts w:eastAsiaTheme="minorHAnsi"/>
          <w:sz w:val="20"/>
          <w:szCs w:val="20"/>
          <w:lang w:eastAsia="en-US"/>
        </w:rPr>
        <w:t>s’améliore, la situation</w:t>
      </w:r>
      <w:r w:rsidRPr="00B23F03">
        <w:rPr>
          <w:rFonts w:eastAsiaTheme="minorHAnsi"/>
          <w:sz w:val="20"/>
          <w:szCs w:val="20"/>
          <w:lang w:eastAsia="en-US"/>
        </w:rPr>
        <w:t xml:space="preserve"> reste tendue, en particulie</w:t>
      </w:r>
      <w:r w:rsidR="005D0D98">
        <w:rPr>
          <w:rFonts w:eastAsiaTheme="minorHAnsi"/>
          <w:sz w:val="20"/>
          <w:szCs w:val="20"/>
          <w:lang w:eastAsia="en-US"/>
        </w:rPr>
        <w:t>r dans les provinces de l'Est. Les efforts pour la consolidation de la paix et l</w:t>
      </w:r>
      <w:r w:rsidRPr="00B23F03">
        <w:rPr>
          <w:rFonts w:eastAsiaTheme="minorHAnsi"/>
          <w:sz w:val="20"/>
          <w:szCs w:val="20"/>
          <w:lang w:eastAsia="en-US"/>
        </w:rPr>
        <w:t>e relèvement économique s</w:t>
      </w:r>
      <w:r w:rsidR="005D0D98">
        <w:rPr>
          <w:rFonts w:eastAsiaTheme="minorHAnsi"/>
          <w:sz w:val="20"/>
          <w:szCs w:val="20"/>
          <w:lang w:eastAsia="en-US"/>
        </w:rPr>
        <w:t xml:space="preserve">e poursuivent malgré </w:t>
      </w:r>
      <w:r w:rsidRPr="00B23F03">
        <w:rPr>
          <w:rFonts w:eastAsiaTheme="minorHAnsi"/>
          <w:sz w:val="20"/>
          <w:szCs w:val="20"/>
          <w:lang w:eastAsia="en-US"/>
        </w:rPr>
        <w:t xml:space="preserve">un contexte social difficile. La nouvelle division territoriale a pris effet en Juin 2015, avec le pays passant de 11 provinces à 26. Le nouveau cycle électoral avec </w:t>
      </w:r>
      <w:r w:rsidRPr="00B23F03">
        <w:rPr>
          <w:rFonts w:eastAsiaTheme="minorHAnsi"/>
          <w:sz w:val="20"/>
          <w:szCs w:val="20"/>
          <w:lang w:eastAsia="en-US"/>
        </w:rPr>
        <w:lastRenderedPageBreak/>
        <w:t xml:space="preserve">les élections municipales, locales et provinciales prévues pour Octobre 2015 a été </w:t>
      </w:r>
      <w:r w:rsidR="005D0D98" w:rsidRPr="00B23F03">
        <w:rPr>
          <w:rFonts w:eastAsiaTheme="minorHAnsi"/>
          <w:sz w:val="20"/>
          <w:szCs w:val="20"/>
          <w:lang w:eastAsia="en-US"/>
        </w:rPr>
        <w:t>reporté</w:t>
      </w:r>
      <w:r w:rsidRPr="00B23F03">
        <w:rPr>
          <w:rFonts w:eastAsiaTheme="minorHAnsi"/>
          <w:sz w:val="20"/>
          <w:szCs w:val="20"/>
          <w:lang w:eastAsia="en-US"/>
        </w:rPr>
        <w:t xml:space="preserve">. </w:t>
      </w:r>
      <w:r w:rsidR="005D0D98">
        <w:rPr>
          <w:rFonts w:eastAsiaTheme="minorHAnsi"/>
          <w:sz w:val="20"/>
          <w:szCs w:val="20"/>
          <w:lang w:eastAsia="en-US"/>
        </w:rPr>
        <w:t>L</w:t>
      </w:r>
      <w:r w:rsidRPr="00B23F03">
        <w:rPr>
          <w:rFonts w:eastAsiaTheme="minorHAnsi"/>
          <w:sz w:val="20"/>
          <w:szCs w:val="20"/>
          <w:lang w:eastAsia="en-US"/>
        </w:rPr>
        <w:t>es élections présidentielles et législatives prévues pour Novembre 2016 doivent</w:t>
      </w:r>
      <w:r w:rsidR="005D0D98">
        <w:rPr>
          <w:rFonts w:eastAsiaTheme="minorHAnsi"/>
          <w:sz w:val="20"/>
          <w:szCs w:val="20"/>
          <w:lang w:eastAsia="en-US"/>
        </w:rPr>
        <w:t xml:space="preserve"> quant à elles</w:t>
      </w:r>
      <w:r w:rsidR="001A480D">
        <w:rPr>
          <w:rFonts w:eastAsiaTheme="minorHAnsi"/>
          <w:sz w:val="20"/>
          <w:szCs w:val="20"/>
          <w:lang w:eastAsia="en-US"/>
        </w:rPr>
        <w:t xml:space="preserve"> être confirmées</w:t>
      </w:r>
      <w:r w:rsidRPr="00B23F03">
        <w:rPr>
          <w:rFonts w:eastAsiaTheme="minorHAnsi"/>
          <w:sz w:val="20"/>
          <w:szCs w:val="20"/>
          <w:lang w:eastAsia="en-US"/>
        </w:rPr>
        <w:t xml:space="preserve">. </w:t>
      </w:r>
      <w:r w:rsidR="005D0D98">
        <w:rPr>
          <w:rFonts w:eastAsiaTheme="minorHAnsi"/>
          <w:sz w:val="20"/>
          <w:szCs w:val="20"/>
          <w:lang w:eastAsia="en-US"/>
        </w:rPr>
        <w:t xml:space="preserve">La </w:t>
      </w:r>
      <w:r w:rsidRPr="00B23F03">
        <w:rPr>
          <w:rFonts w:eastAsiaTheme="minorHAnsi"/>
          <w:sz w:val="20"/>
          <w:szCs w:val="20"/>
          <w:lang w:eastAsia="en-US"/>
        </w:rPr>
        <w:t>guerre civile récente i</w:t>
      </w:r>
      <w:r w:rsidR="001A480D">
        <w:rPr>
          <w:rFonts w:eastAsiaTheme="minorHAnsi"/>
          <w:sz w:val="20"/>
          <w:szCs w:val="20"/>
          <w:lang w:eastAsia="en-US"/>
        </w:rPr>
        <w:t>ndique un</w:t>
      </w:r>
      <w:r w:rsidRPr="00B23F03">
        <w:rPr>
          <w:rFonts w:eastAsiaTheme="minorHAnsi"/>
          <w:sz w:val="20"/>
          <w:szCs w:val="20"/>
          <w:lang w:eastAsia="en-US"/>
        </w:rPr>
        <w:t xml:space="preserve"> p</w:t>
      </w:r>
      <w:r w:rsidR="001A480D">
        <w:rPr>
          <w:rFonts w:eastAsiaTheme="minorHAnsi"/>
          <w:sz w:val="20"/>
          <w:szCs w:val="20"/>
          <w:lang w:eastAsia="en-US"/>
        </w:rPr>
        <w:t>otentiel de violence future et de possibles</w:t>
      </w:r>
      <w:r w:rsidRPr="00B23F03">
        <w:rPr>
          <w:rFonts w:eastAsiaTheme="minorHAnsi"/>
          <w:sz w:val="20"/>
          <w:szCs w:val="20"/>
          <w:lang w:eastAsia="en-US"/>
        </w:rPr>
        <w:t xml:space="preserve"> bouleversements politiques.</w:t>
      </w:r>
    </w:p>
    <w:p w:rsidR="00B23F03" w:rsidRPr="00B23F03" w:rsidRDefault="00B23F03"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sz w:val="20"/>
          <w:szCs w:val="20"/>
          <w:lang w:eastAsia="en-US"/>
        </w:rPr>
      </w:pPr>
      <w:r w:rsidRPr="00B23F03">
        <w:rPr>
          <w:rFonts w:eastAsiaTheme="minorHAnsi"/>
          <w:sz w:val="20"/>
          <w:szCs w:val="20"/>
          <w:lang w:eastAsia="en-US"/>
        </w:rPr>
        <w:t>La cor</w:t>
      </w:r>
      <w:r w:rsidR="001A480D">
        <w:rPr>
          <w:rFonts w:eastAsiaTheme="minorHAnsi"/>
          <w:sz w:val="20"/>
          <w:szCs w:val="20"/>
          <w:lang w:eastAsia="en-US"/>
        </w:rPr>
        <w:t>ruption, la mauvaise gestion, les</w:t>
      </w:r>
      <w:r w:rsidRPr="00B23F03">
        <w:rPr>
          <w:rFonts w:eastAsiaTheme="minorHAnsi"/>
          <w:sz w:val="20"/>
          <w:szCs w:val="20"/>
          <w:lang w:eastAsia="en-US"/>
        </w:rPr>
        <w:t xml:space="preserve"> capacité</w:t>
      </w:r>
      <w:r w:rsidR="001A480D">
        <w:rPr>
          <w:rFonts w:eastAsiaTheme="minorHAnsi"/>
          <w:sz w:val="20"/>
          <w:szCs w:val="20"/>
          <w:lang w:eastAsia="en-US"/>
        </w:rPr>
        <w:t>s</w:t>
      </w:r>
      <w:r w:rsidRPr="00B23F03">
        <w:rPr>
          <w:rFonts w:eastAsiaTheme="minorHAnsi"/>
          <w:sz w:val="20"/>
          <w:szCs w:val="20"/>
          <w:lang w:eastAsia="en-US"/>
        </w:rPr>
        <w:t xml:space="preserve"> institutionnelle</w:t>
      </w:r>
      <w:r w:rsidR="001A480D">
        <w:rPr>
          <w:rFonts w:eastAsiaTheme="minorHAnsi"/>
          <w:sz w:val="20"/>
          <w:szCs w:val="20"/>
          <w:lang w:eastAsia="en-US"/>
        </w:rPr>
        <w:t>s</w:t>
      </w:r>
      <w:r w:rsidRPr="00B23F03">
        <w:rPr>
          <w:rFonts w:eastAsiaTheme="minorHAnsi"/>
          <w:sz w:val="20"/>
          <w:szCs w:val="20"/>
          <w:lang w:eastAsia="en-US"/>
        </w:rPr>
        <w:t xml:space="preserve"> insuffisante</w:t>
      </w:r>
      <w:r w:rsidR="001A480D">
        <w:rPr>
          <w:rFonts w:eastAsiaTheme="minorHAnsi"/>
          <w:sz w:val="20"/>
          <w:szCs w:val="20"/>
          <w:lang w:eastAsia="en-US"/>
        </w:rPr>
        <w:t>s</w:t>
      </w:r>
      <w:r w:rsidRPr="00B23F03">
        <w:rPr>
          <w:rFonts w:eastAsiaTheme="minorHAnsi"/>
          <w:sz w:val="20"/>
          <w:szCs w:val="20"/>
          <w:lang w:eastAsia="en-US"/>
        </w:rPr>
        <w:t xml:space="preserve"> et </w:t>
      </w:r>
      <w:r w:rsidR="001A480D">
        <w:rPr>
          <w:rFonts w:eastAsiaTheme="minorHAnsi"/>
          <w:sz w:val="20"/>
          <w:szCs w:val="20"/>
          <w:lang w:eastAsia="en-US"/>
        </w:rPr>
        <w:t xml:space="preserve">le faible niveau de </w:t>
      </w:r>
      <w:r w:rsidRPr="00B23F03">
        <w:rPr>
          <w:rFonts w:eastAsiaTheme="minorHAnsi"/>
          <w:sz w:val="20"/>
          <w:szCs w:val="20"/>
          <w:lang w:eastAsia="en-US"/>
        </w:rPr>
        <w:t xml:space="preserve">gouvernance ont contribué à des résultats médiocres dans les secteurs des ressources naturelles (minières et forestières) dans le passé. </w:t>
      </w:r>
      <w:r w:rsidR="001A480D">
        <w:rPr>
          <w:rFonts w:eastAsiaTheme="minorHAnsi"/>
          <w:sz w:val="20"/>
          <w:szCs w:val="20"/>
          <w:lang w:eastAsia="en-US"/>
        </w:rPr>
        <w:t>En matière de recettes fiscales, i</w:t>
      </w:r>
      <w:r w:rsidRPr="00B23F03">
        <w:rPr>
          <w:rFonts w:eastAsiaTheme="minorHAnsi"/>
          <w:sz w:val="20"/>
          <w:szCs w:val="20"/>
          <w:lang w:eastAsia="en-US"/>
        </w:rPr>
        <w:t>l existe actuellement un écart important entre ce qui doit être payé</w:t>
      </w:r>
      <w:r w:rsidR="001A480D">
        <w:rPr>
          <w:rFonts w:eastAsiaTheme="minorHAnsi"/>
          <w:sz w:val="20"/>
          <w:szCs w:val="20"/>
          <w:lang w:eastAsia="en-US"/>
        </w:rPr>
        <w:t xml:space="preserve"> et ce qui est réellement reçu dans les caisses de l’état</w:t>
      </w:r>
      <w:r w:rsidRPr="00B23F03">
        <w:rPr>
          <w:rFonts w:eastAsiaTheme="minorHAnsi"/>
          <w:sz w:val="20"/>
          <w:szCs w:val="20"/>
          <w:lang w:eastAsia="en-US"/>
        </w:rPr>
        <w:t>. La gouvernance environnementale ne peut donc pas être considérée uniquement</w:t>
      </w:r>
      <w:r w:rsidR="001A480D">
        <w:rPr>
          <w:rFonts w:eastAsiaTheme="minorHAnsi"/>
          <w:sz w:val="20"/>
          <w:szCs w:val="20"/>
          <w:lang w:eastAsia="en-US"/>
        </w:rPr>
        <w:t xml:space="preserve"> comme un problème technique ;</w:t>
      </w:r>
      <w:r w:rsidRPr="00B23F03">
        <w:rPr>
          <w:rFonts w:eastAsiaTheme="minorHAnsi"/>
          <w:sz w:val="20"/>
          <w:szCs w:val="20"/>
          <w:lang w:eastAsia="en-US"/>
        </w:rPr>
        <w:t xml:space="preserve"> il est aussi un défi politique et social.</w:t>
      </w:r>
    </w:p>
    <w:p w:rsidR="00B23F03" w:rsidRPr="00B23F03" w:rsidRDefault="00B23F03" w:rsidP="00B23F03">
      <w:pPr>
        <w:contextualSpacing/>
        <w:jc w:val="both"/>
        <w:rPr>
          <w:rFonts w:eastAsiaTheme="minorHAnsi"/>
          <w:sz w:val="20"/>
          <w:szCs w:val="20"/>
          <w:lang w:eastAsia="en-US"/>
        </w:rPr>
      </w:pPr>
    </w:p>
    <w:p w:rsidR="00B23F03" w:rsidRPr="001A480D" w:rsidRDefault="001A480D" w:rsidP="00B23F03">
      <w:pPr>
        <w:contextualSpacing/>
        <w:jc w:val="both"/>
        <w:rPr>
          <w:rFonts w:eastAsiaTheme="minorHAnsi"/>
          <w:b/>
          <w:color w:val="2E74B5" w:themeColor="accent1" w:themeShade="BF"/>
          <w:sz w:val="20"/>
          <w:szCs w:val="20"/>
          <w:lang w:eastAsia="en-US"/>
        </w:rPr>
      </w:pPr>
      <w:r>
        <w:rPr>
          <w:rFonts w:eastAsiaTheme="minorHAnsi"/>
          <w:b/>
          <w:color w:val="2E74B5" w:themeColor="accent1" w:themeShade="BF"/>
          <w:sz w:val="20"/>
          <w:szCs w:val="20"/>
          <w:lang w:eastAsia="en-US"/>
        </w:rPr>
        <w:t xml:space="preserve">Macroéconomique - </w:t>
      </w:r>
      <w:r w:rsidR="00B23F03" w:rsidRPr="001A480D">
        <w:rPr>
          <w:rFonts w:eastAsiaTheme="minorHAnsi"/>
          <w:b/>
          <w:color w:val="2E74B5" w:themeColor="accent1" w:themeShade="BF"/>
          <w:sz w:val="20"/>
          <w:szCs w:val="20"/>
          <w:lang w:eastAsia="en-US"/>
        </w:rPr>
        <w:t xml:space="preserve"> </w:t>
      </w:r>
      <w:r w:rsidRPr="001A480D">
        <w:rPr>
          <w:rFonts w:eastAsiaTheme="minorHAnsi"/>
          <w:b/>
          <w:color w:val="2E74B5" w:themeColor="accent1" w:themeShade="BF"/>
          <w:sz w:val="20"/>
          <w:szCs w:val="20"/>
          <w:lang w:eastAsia="en-US"/>
        </w:rPr>
        <w:t>Risque élevé</w:t>
      </w:r>
    </w:p>
    <w:p w:rsidR="00B23F03" w:rsidRPr="00B23F03" w:rsidRDefault="00B23F03"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sz w:val="20"/>
          <w:szCs w:val="20"/>
          <w:lang w:eastAsia="en-US"/>
        </w:rPr>
      </w:pPr>
      <w:r w:rsidRPr="00B23F03">
        <w:rPr>
          <w:rFonts w:eastAsiaTheme="minorHAnsi"/>
          <w:sz w:val="20"/>
          <w:szCs w:val="20"/>
          <w:lang w:eastAsia="en-US"/>
        </w:rPr>
        <w:t xml:space="preserve">L'économie de la RDC </w:t>
      </w:r>
      <w:r w:rsidR="001A480D">
        <w:rPr>
          <w:rFonts w:eastAsiaTheme="minorHAnsi"/>
          <w:sz w:val="20"/>
          <w:szCs w:val="20"/>
          <w:lang w:eastAsia="en-US"/>
        </w:rPr>
        <w:t>ralentit avec un</w:t>
      </w:r>
      <w:r w:rsidRPr="00B23F03">
        <w:rPr>
          <w:rFonts w:eastAsiaTheme="minorHAnsi"/>
          <w:sz w:val="20"/>
          <w:szCs w:val="20"/>
          <w:lang w:eastAsia="en-US"/>
        </w:rPr>
        <w:t xml:space="preserve"> PIB</w:t>
      </w:r>
      <w:r w:rsidR="001A480D">
        <w:rPr>
          <w:rFonts w:eastAsiaTheme="minorHAnsi"/>
          <w:sz w:val="20"/>
          <w:szCs w:val="20"/>
          <w:lang w:eastAsia="en-US"/>
        </w:rPr>
        <w:t xml:space="preserve"> qui n’a jamais été aussi bas depuis trois ans</w:t>
      </w:r>
      <w:r w:rsidRPr="00B23F03">
        <w:rPr>
          <w:rFonts w:eastAsiaTheme="minorHAnsi"/>
          <w:sz w:val="20"/>
          <w:szCs w:val="20"/>
          <w:lang w:eastAsia="en-US"/>
        </w:rPr>
        <w:t xml:space="preserve">. La faiblesse des prix des produits de base exercent une pression sur les finances publiques, forçant ainsi le gouvernement à réduire ses dépenses. En mai 2016, le cabinet a annoncé une réduction importante du budget 2016 et a également reconnu la nécessité de demander une aide financière internationale. </w:t>
      </w:r>
    </w:p>
    <w:p w:rsidR="00B23F03" w:rsidRPr="00B23F03" w:rsidRDefault="00B23F03" w:rsidP="00B23F03">
      <w:pPr>
        <w:contextualSpacing/>
        <w:jc w:val="both"/>
        <w:rPr>
          <w:rFonts w:eastAsiaTheme="minorHAnsi"/>
          <w:sz w:val="20"/>
          <w:szCs w:val="20"/>
          <w:lang w:eastAsia="en-US"/>
        </w:rPr>
      </w:pPr>
    </w:p>
    <w:p w:rsidR="00B23F03" w:rsidRPr="001A480D" w:rsidRDefault="00B23F03" w:rsidP="00B23F03">
      <w:pPr>
        <w:contextualSpacing/>
        <w:jc w:val="both"/>
        <w:rPr>
          <w:rFonts w:eastAsiaTheme="minorHAnsi"/>
          <w:b/>
          <w:color w:val="2E74B5" w:themeColor="accent1" w:themeShade="BF"/>
          <w:sz w:val="20"/>
          <w:szCs w:val="20"/>
          <w:lang w:eastAsia="en-US"/>
        </w:rPr>
      </w:pPr>
      <w:r w:rsidRPr="001A480D">
        <w:rPr>
          <w:rFonts w:eastAsiaTheme="minorHAnsi"/>
          <w:b/>
          <w:color w:val="2E74B5" w:themeColor="accent1" w:themeShade="BF"/>
          <w:sz w:val="20"/>
          <w:szCs w:val="20"/>
          <w:lang w:eastAsia="en-US"/>
        </w:rPr>
        <w:t>Stratégies et politiques</w:t>
      </w:r>
      <w:r w:rsidR="008F462A" w:rsidRPr="008F462A">
        <w:t xml:space="preserve"> </w:t>
      </w:r>
      <w:r w:rsidR="008F462A" w:rsidRPr="008F462A">
        <w:rPr>
          <w:rFonts w:eastAsiaTheme="minorHAnsi"/>
          <w:b/>
          <w:color w:val="2E74B5" w:themeColor="accent1" w:themeShade="BF"/>
          <w:sz w:val="20"/>
          <w:szCs w:val="20"/>
          <w:lang w:eastAsia="en-US"/>
        </w:rPr>
        <w:t>sectorielles</w:t>
      </w:r>
      <w:r w:rsidRPr="001A480D">
        <w:rPr>
          <w:rFonts w:eastAsiaTheme="minorHAnsi"/>
          <w:b/>
          <w:color w:val="2E74B5" w:themeColor="accent1" w:themeShade="BF"/>
          <w:sz w:val="20"/>
          <w:szCs w:val="20"/>
          <w:lang w:eastAsia="en-US"/>
        </w:rPr>
        <w:t xml:space="preserve"> - </w:t>
      </w:r>
      <w:r w:rsidR="001A480D">
        <w:rPr>
          <w:rFonts w:eastAsiaTheme="minorHAnsi"/>
          <w:b/>
          <w:color w:val="2E74B5" w:themeColor="accent1" w:themeShade="BF"/>
          <w:sz w:val="20"/>
          <w:szCs w:val="20"/>
          <w:lang w:eastAsia="en-US"/>
        </w:rPr>
        <w:t>Risque modéré</w:t>
      </w:r>
    </w:p>
    <w:p w:rsidR="00B23F03" w:rsidRPr="00B23F03" w:rsidRDefault="00B23F03"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sz w:val="20"/>
          <w:szCs w:val="20"/>
          <w:lang w:eastAsia="en-US"/>
        </w:rPr>
      </w:pPr>
      <w:r w:rsidRPr="00B23F03">
        <w:rPr>
          <w:rFonts w:eastAsiaTheme="minorHAnsi"/>
          <w:sz w:val="20"/>
          <w:szCs w:val="20"/>
          <w:lang w:eastAsia="en-US"/>
        </w:rPr>
        <w:t>Le</w:t>
      </w:r>
      <w:r w:rsidR="001A480D">
        <w:rPr>
          <w:rFonts w:eastAsiaTheme="minorHAnsi"/>
          <w:sz w:val="20"/>
          <w:szCs w:val="20"/>
          <w:lang w:eastAsia="en-US"/>
        </w:rPr>
        <w:t xml:space="preserve"> PIREDD Mai-Ndombe est parfaitement aligné avec</w:t>
      </w:r>
      <w:r w:rsidRPr="00B23F03">
        <w:rPr>
          <w:rFonts w:eastAsiaTheme="minorHAnsi"/>
          <w:sz w:val="20"/>
          <w:szCs w:val="20"/>
          <w:lang w:eastAsia="en-US"/>
        </w:rPr>
        <w:t xml:space="preserve"> </w:t>
      </w:r>
      <w:r w:rsidR="001A480D">
        <w:rPr>
          <w:rFonts w:eastAsiaTheme="minorHAnsi"/>
          <w:sz w:val="20"/>
          <w:szCs w:val="20"/>
          <w:lang w:eastAsia="en-US"/>
        </w:rPr>
        <w:t>l’engagement</w:t>
      </w:r>
      <w:r w:rsidRPr="00B23F03">
        <w:rPr>
          <w:rFonts w:eastAsiaTheme="minorHAnsi"/>
          <w:sz w:val="20"/>
          <w:szCs w:val="20"/>
          <w:lang w:eastAsia="en-US"/>
        </w:rPr>
        <w:t xml:space="preserve"> politique</w:t>
      </w:r>
      <w:r w:rsidR="001A480D">
        <w:rPr>
          <w:rFonts w:eastAsiaTheme="minorHAnsi"/>
          <w:sz w:val="20"/>
          <w:szCs w:val="20"/>
          <w:lang w:eastAsia="en-US"/>
        </w:rPr>
        <w:t xml:space="preserve"> de la RDC pour une</w:t>
      </w:r>
      <w:r w:rsidRPr="00B23F03">
        <w:rPr>
          <w:rFonts w:eastAsiaTheme="minorHAnsi"/>
          <w:sz w:val="20"/>
          <w:szCs w:val="20"/>
          <w:lang w:eastAsia="en-US"/>
        </w:rPr>
        <w:t xml:space="preserve"> croissance verte et la protection des forêts. Il est conforme aux priorités nationales de développement du pa</w:t>
      </w:r>
      <w:r w:rsidR="001A480D">
        <w:rPr>
          <w:rFonts w:eastAsiaTheme="minorHAnsi"/>
          <w:sz w:val="20"/>
          <w:szCs w:val="20"/>
          <w:lang w:eastAsia="en-US"/>
        </w:rPr>
        <w:t xml:space="preserve">ys, </w:t>
      </w:r>
      <w:r w:rsidR="00C17320">
        <w:rPr>
          <w:rFonts w:eastAsiaTheme="minorHAnsi"/>
          <w:sz w:val="20"/>
          <w:szCs w:val="20"/>
          <w:lang w:eastAsia="en-US"/>
        </w:rPr>
        <w:t>telles que précisées dans</w:t>
      </w:r>
      <w:r w:rsidR="001A480D">
        <w:rPr>
          <w:rFonts w:eastAsiaTheme="minorHAnsi"/>
          <w:sz w:val="20"/>
          <w:szCs w:val="20"/>
          <w:lang w:eastAsia="en-US"/>
        </w:rPr>
        <w:t xml:space="preserve"> le DSCRP-II, le Plan National de D</w:t>
      </w:r>
      <w:r w:rsidRPr="00B23F03">
        <w:rPr>
          <w:rFonts w:eastAsiaTheme="minorHAnsi"/>
          <w:sz w:val="20"/>
          <w:szCs w:val="20"/>
          <w:lang w:eastAsia="en-US"/>
        </w:rPr>
        <w:t>éveloppement</w:t>
      </w:r>
      <w:r w:rsidR="00C17320">
        <w:rPr>
          <w:rFonts w:eastAsiaTheme="minorHAnsi"/>
          <w:sz w:val="20"/>
          <w:szCs w:val="20"/>
          <w:lang w:eastAsia="en-US"/>
        </w:rPr>
        <w:t xml:space="preserve"> et</w:t>
      </w:r>
      <w:r w:rsidRPr="00B23F03">
        <w:rPr>
          <w:rFonts w:eastAsiaTheme="minorHAnsi"/>
          <w:sz w:val="20"/>
          <w:szCs w:val="20"/>
          <w:lang w:eastAsia="en-US"/>
        </w:rPr>
        <w:t xml:space="preserve"> la</w:t>
      </w:r>
      <w:r w:rsidR="00C17320">
        <w:rPr>
          <w:rFonts w:eastAsiaTheme="minorHAnsi"/>
          <w:sz w:val="20"/>
          <w:szCs w:val="20"/>
          <w:lang w:eastAsia="en-US"/>
        </w:rPr>
        <w:t xml:space="preserve"> matrice de gouvernance économique. Il est aussi le prolongement naturel de la stratégie nationale REDD+ et du plan d'investissement  national REDD+, c</w:t>
      </w:r>
      <w:r w:rsidRPr="00B23F03">
        <w:rPr>
          <w:rFonts w:eastAsiaTheme="minorHAnsi"/>
          <w:sz w:val="20"/>
          <w:szCs w:val="20"/>
          <w:lang w:eastAsia="en-US"/>
        </w:rPr>
        <w:t xml:space="preserve">es documents </w:t>
      </w:r>
      <w:r w:rsidR="00C17320">
        <w:rPr>
          <w:rFonts w:eastAsiaTheme="minorHAnsi"/>
          <w:sz w:val="20"/>
          <w:szCs w:val="20"/>
          <w:lang w:eastAsia="en-US"/>
        </w:rPr>
        <w:t xml:space="preserve">ayant </w:t>
      </w:r>
      <w:r w:rsidRPr="00B23F03">
        <w:rPr>
          <w:rFonts w:eastAsiaTheme="minorHAnsi"/>
          <w:sz w:val="20"/>
          <w:szCs w:val="20"/>
          <w:lang w:eastAsia="en-US"/>
        </w:rPr>
        <w:t xml:space="preserve">été approuvés au </w:t>
      </w:r>
      <w:r w:rsidR="00C17320">
        <w:rPr>
          <w:rFonts w:eastAsiaTheme="minorHAnsi"/>
          <w:sz w:val="20"/>
          <w:szCs w:val="20"/>
          <w:lang w:eastAsia="en-US"/>
        </w:rPr>
        <w:t>plus niveau de l’état.</w:t>
      </w:r>
    </w:p>
    <w:p w:rsidR="00B23F03" w:rsidRPr="00B23F03" w:rsidRDefault="00B23F03"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sz w:val="20"/>
          <w:szCs w:val="20"/>
          <w:lang w:eastAsia="en-US"/>
        </w:rPr>
      </w:pPr>
      <w:r w:rsidRPr="00B23F03">
        <w:rPr>
          <w:rFonts w:eastAsiaTheme="minorHAnsi"/>
          <w:sz w:val="20"/>
          <w:szCs w:val="20"/>
          <w:lang w:eastAsia="en-US"/>
        </w:rPr>
        <w:t xml:space="preserve">Les progrès sur les réformes du secteur </w:t>
      </w:r>
      <w:r w:rsidR="00C17320">
        <w:rPr>
          <w:rFonts w:eastAsiaTheme="minorHAnsi"/>
          <w:sz w:val="20"/>
          <w:szCs w:val="20"/>
          <w:lang w:eastAsia="en-US"/>
        </w:rPr>
        <w:t>sont</w:t>
      </w:r>
      <w:r w:rsidRPr="00B23F03">
        <w:rPr>
          <w:rFonts w:eastAsiaTheme="minorHAnsi"/>
          <w:sz w:val="20"/>
          <w:szCs w:val="20"/>
          <w:lang w:eastAsia="en-US"/>
        </w:rPr>
        <w:t xml:space="preserve"> </w:t>
      </w:r>
      <w:r w:rsidR="00C17320">
        <w:rPr>
          <w:rFonts w:eastAsiaTheme="minorHAnsi"/>
          <w:sz w:val="20"/>
          <w:szCs w:val="20"/>
          <w:lang w:eastAsia="en-US"/>
        </w:rPr>
        <w:t>suivis</w:t>
      </w:r>
      <w:r w:rsidRPr="00B23F03">
        <w:rPr>
          <w:rFonts w:eastAsiaTheme="minorHAnsi"/>
          <w:sz w:val="20"/>
          <w:szCs w:val="20"/>
          <w:lang w:eastAsia="en-US"/>
        </w:rPr>
        <w:t xml:space="preserve"> par des entités intersectoriel</w:t>
      </w:r>
      <w:r w:rsidR="00C17320">
        <w:rPr>
          <w:rFonts w:eastAsiaTheme="minorHAnsi"/>
          <w:sz w:val="20"/>
          <w:szCs w:val="20"/>
          <w:lang w:eastAsia="en-US"/>
        </w:rPr>
        <w:t>les</w:t>
      </w:r>
      <w:r w:rsidRPr="00B23F03">
        <w:rPr>
          <w:rFonts w:eastAsiaTheme="minorHAnsi"/>
          <w:sz w:val="20"/>
          <w:szCs w:val="20"/>
          <w:lang w:eastAsia="en-US"/>
        </w:rPr>
        <w:t xml:space="preserve">. Plus précisément, le </w:t>
      </w:r>
      <w:r w:rsidR="00C17320" w:rsidRPr="00B23F03">
        <w:rPr>
          <w:rFonts w:eastAsiaTheme="minorHAnsi"/>
          <w:sz w:val="20"/>
          <w:szCs w:val="20"/>
          <w:lang w:eastAsia="en-US"/>
        </w:rPr>
        <w:t>C</w:t>
      </w:r>
      <w:r w:rsidR="00C17320">
        <w:rPr>
          <w:rFonts w:eastAsiaTheme="minorHAnsi"/>
          <w:sz w:val="20"/>
          <w:szCs w:val="20"/>
          <w:lang w:eastAsia="en-US"/>
        </w:rPr>
        <w:t>omité Technique des Réformes (CTR), sous la supervision du M</w:t>
      </w:r>
      <w:r w:rsidRPr="00B23F03">
        <w:rPr>
          <w:rFonts w:eastAsiaTheme="minorHAnsi"/>
          <w:sz w:val="20"/>
          <w:szCs w:val="20"/>
          <w:lang w:eastAsia="en-US"/>
        </w:rPr>
        <w:t>inistère des Finances</w:t>
      </w:r>
      <w:r w:rsidR="00C17320">
        <w:rPr>
          <w:rFonts w:eastAsiaTheme="minorHAnsi"/>
          <w:sz w:val="20"/>
          <w:szCs w:val="20"/>
          <w:lang w:eastAsia="en-US"/>
        </w:rPr>
        <w:t>,</w:t>
      </w:r>
      <w:r w:rsidRPr="00B23F03">
        <w:rPr>
          <w:rFonts w:eastAsiaTheme="minorHAnsi"/>
          <w:sz w:val="20"/>
          <w:szCs w:val="20"/>
          <w:lang w:eastAsia="en-US"/>
        </w:rPr>
        <w:t xml:space="preserve"> surveille la</w:t>
      </w:r>
      <w:r w:rsidR="00C17320">
        <w:rPr>
          <w:rFonts w:eastAsiaTheme="minorHAnsi"/>
          <w:sz w:val="20"/>
          <w:szCs w:val="20"/>
          <w:lang w:eastAsia="en-US"/>
        </w:rPr>
        <w:t xml:space="preserve"> bonne </w:t>
      </w:r>
      <w:r w:rsidRPr="00B23F03">
        <w:rPr>
          <w:rFonts w:eastAsiaTheme="minorHAnsi"/>
          <w:sz w:val="20"/>
          <w:szCs w:val="20"/>
          <w:lang w:eastAsia="en-US"/>
        </w:rPr>
        <w:t>mise en œuvre de</w:t>
      </w:r>
      <w:r w:rsidR="00C17320">
        <w:rPr>
          <w:rFonts w:eastAsiaTheme="minorHAnsi"/>
          <w:sz w:val="20"/>
          <w:szCs w:val="20"/>
          <w:lang w:eastAsia="en-US"/>
        </w:rPr>
        <w:t>s activités de</w:t>
      </w:r>
      <w:r w:rsidRPr="00B23F03">
        <w:rPr>
          <w:rFonts w:eastAsiaTheme="minorHAnsi"/>
          <w:sz w:val="20"/>
          <w:szCs w:val="20"/>
          <w:lang w:eastAsia="en-US"/>
        </w:rPr>
        <w:t xml:space="preserve"> la </w:t>
      </w:r>
      <w:r w:rsidR="00C17320">
        <w:rPr>
          <w:rFonts w:eastAsiaTheme="minorHAnsi"/>
          <w:sz w:val="20"/>
          <w:szCs w:val="20"/>
          <w:lang w:eastAsia="en-US"/>
        </w:rPr>
        <w:t>matrice de g</w:t>
      </w:r>
      <w:r w:rsidRPr="00B23F03">
        <w:rPr>
          <w:rFonts w:eastAsiaTheme="minorHAnsi"/>
          <w:sz w:val="20"/>
          <w:szCs w:val="20"/>
          <w:lang w:eastAsia="en-US"/>
        </w:rPr>
        <w:t>ouvernance économique</w:t>
      </w:r>
      <w:r w:rsidR="00C17320">
        <w:rPr>
          <w:rFonts w:eastAsiaTheme="minorHAnsi"/>
          <w:sz w:val="20"/>
          <w:szCs w:val="20"/>
          <w:lang w:eastAsia="en-US"/>
        </w:rPr>
        <w:t>, quand le</w:t>
      </w:r>
      <w:r w:rsidRPr="00B23F03">
        <w:rPr>
          <w:rFonts w:eastAsiaTheme="minorHAnsi"/>
          <w:sz w:val="20"/>
          <w:szCs w:val="20"/>
          <w:lang w:eastAsia="en-US"/>
        </w:rPr>
        <w:t xml:space="preserve"> Comité </w:t>
      </w:r>
      <w:r w:rsidR="00C17320">
        <w:rPr>
          <w:rFonts w:eastAsiaTheme="minorHAnsi"/>
          <w:sz w:val="20"/>
          <w:szCs w:val="20"/>
          <w:lang w:eastAsia="en-US"/>
        </w:rPr>
        <w:t>de Pilotage</w:t>
      </w:r>
      <w:r w:rsidR="00F70609">
        <w:rPr>
          <w:rFonts w:eastAsiaTheme="minorHAnsi"/>
          <w:sz w:val="20"/>
          <w:szCs w:val="20"/>
          <w:lang w:eastAsia="en-US"/>
        </w:rPr>
        <w:t xml:space="preserve"> du Fonds National REDD</w:t>
      </w:r>
      <w:r w:rsidRPr="00B23F03">
        <w:rPr>
          <w:rFonts w:eastAsiaTheme="minorHAnsi"/>
          <w:sz w:val="20"/>
          <w:szCs w:val="20"/>
          <w:lang w:eastAsia="en-US"/>
        </w:rPr>
        <w:t>+ supervise</w:t>
      </w:r>
      <w:r w:rsidR="00C17320">
        <w:rPr>
          <w:rFonts w:eastAsiaTheme="minorHAnsi"/>
          <w:sz w:val="20"/>
          <w:szCs w:val="20"/>
          <w:lang w:eastAsia="en-US"/>
        </w:rPr>
        <w:t xml:space="preserve"> </w:t>
      </w:r>
      <w:r w:rsidRPr="00B23F03">
        <w:rPr>
          <w:rFonts w:eastAsiaTheme="minorHAnsi"/>
          <w:sz w:val="20"/>
          <w:szCs w:val="20"/>
          <w:lang w:eastAsia="en-US"/>
        </w:rPr>
        <w:t>la mise en œuvre du Plan</w:t>
      </w:r>
      <w:r w:rsidR="00F70609">
        <w:rPr>
          <w:rFonts w:eastAsiaTheme="minorHAnsi"/>
          <w:sz w:val="20"/>
          <w:szCs w:val="20"/>
          <w:lang w:eastAsia="en-US"/>
        </w:rPr>
        <w:t xml:space="preserve"> d'Investissement N</w:t>
      </w:r>
      <w:r w:rsidR="00C17320">
        <w:rPr>
          <w:rFonts w:eastAsiaTheme="minorHAnsi"/>
          <w:sz w:val="20"/>
          <w:szCs w:val="20"/>
          <w:lang w:eastAsia="en-US"/>
        </w:rPr>
        <w:t>ational REDD</w:t>
      </w:r>
      <w:r w:rsidRPr="00B23F03">
        <w:rPr>
          <w:rFonts w:eastAsiaTheme="minorHAnsi"/>
          <w:sz w:val="20"/>
          <w:szCs w:val="20"/>
          <w:lang w:eastAsia="en-US"/>
        </w:rPr>
        <w:t xml:space="preserve">+. Le fait que le </w:t>
      </w:r>
      <w:r w:rsidR="00C17320">
        <w:rPr>
          <w:rFonts w:eastAsiaTheme="minorHAnsi"/>
          <w:sz w:val="20"/>
          <w:szCs w:val="20"/>
          <w:lang w:eastAsia="en-US"/>
        </w:rPr>
        <w:t>PIREDD Mai-Ndombe soi</w:t>
      </w:r>
      <w:r w:rsidRPr="00B23F03">
        <w:rPr>
          <w:rFonts w:eastAsiaTheme="minorHAnsi"/>
          <w:sz w:val="20"/>
          <w:szCs w:val="20"/>
          <w:lang w:eastAsia="en-US"/>
        </w:rPr>
        <w:t>t intégré dans le</w:t>
      </w:r>
      <w:r w:rsidR="00F70609">
        <w:rPr>
          <w:rFonts w:eastAsiaTheme="minorHAnsi"/>
          <w:sz w:val="20"/>
          <w:szCs w:val="20"/>
          <w:lang w:eastAsia="en-US"/>
        </w:rPr>
        <w:t xml:space="preserve"> processus</w:t>
      </w:r>
      <w:r w:rsidRPr="00B23F03">
        <w:rPr>
          <w:rFonts w:eastAsiaTheme="minorHAnsi"/>
          <w:sz w:val="20"/>
          <w:szCs w:val="20"/>
          <w:lang w:eastAsia="en-US"/>
        </w:rPr>
        <w:t xml:space="preserve"> d'opérationna</w:t>
      </w:r>
      <w:r w:rsidR="00C17320">
        <w:rPr>
          <w:rFonts w:eastAsiaTheme="minorHAnsi"/>
          <w:sz w:val="20"/>
          <w:szCs w:val="20"/>
          <w:lang w:eastAsia="en-US"/>
        </w:rPr>
        <w:t>lisation du Fonds National REDD</w:t>
      </w:r>
      <w:r w:rsidRPr="00B23F03">
        <w:rPr>
          <w:rFonts w:eastAsiaTheme="minorHAnsi"/>
          <w:sz w:val="20"/>
          <w:szCs w:val="20"/>
          <w:lang w:eastAsia="en-US"/>
        </w:rPr>
        <w:t>+ réduit</w:t>
      </w:r>
      <w:r w:rsidR="00C17320">
        <w:rPr>
          <w:rFonts w:eastAsiaTheme="minorHAnsi"/>
          <w:sz w:val="20"/>
          <w:szCs w:val="20"/>
          <w:lang w:eastAsia="en-US"/>
        </w:rPr>
        <w:t xml:space="preserve"> incontestablement</w:t>
      </w:r>
      <w:r w:rsidRPr="00B23F03">
        <w:rPr>
          <w:rFonts w:eastAsiaTheme="minorHAnsi"/>
          <w:sz w:val="20"/>
          <w:szCs w:val="20"/>
          <w:lang w:eastAsia="en-US"/>
        </w:rPr>
        <w:t xml:space="preserve"> les risques sectoriels. </w:t>
      </w:r>
    </w:p>
    <w:p w:rsidR="00B23F03" w:rsidRPr="00B23F03" w:rsidRDefault="00B23F03" w:rsidP="00B23F03">
      <w:pPr>
        <w:contextualSpacing/>
        <w:jc w:val="both"/>
        <w:rPr>
          <w:rFonts w:eastAsiaTheme="minorHAnsi"/>
          <w:sz w:val="20"/>
          <w:szCs w:val="20"/>
          <w:lang w:eastAsia="en-US"/>
        </w:rPr>
      </w:pPr>
    </w:p>
    <w:p w:rsidR="00B23F03" w:rsidRPr="00F70609" w:rsidRDefault="00B23F03" w:rsidP="00B23F03">
      <w:pPr>
        <w:contextualSpacing/>
        <w:jc w:val="both"/>
        <w:rPr>
          <w:rFonts w:eastAsiaTheme="minorHAnsi"/>
          <w:b/>
          <w:color w:val="2E74B5" w:themeColor="accent1" w:themeShade="BF"/>
          <w:sz w:val="20"/>
          <w:szCs w:val="20"/>
          <w:lang w:eastAsia="en-US"/>
        </w:rPr>
      </w:pPr>
      <w:r w:rsidRPr="00F70609">
        <w:rPr>
          <w:rFonts w:eastAsiaTheme="minorHAnsi"/>
          <w:b/>
          <w:color w:val="2E74B5" w:themeColor="accent1" w:themeShade="BF"/>
          <w:sz w:val="20"/>
          <w:szCs w:val="20"/>
          <w:lang w:eastAsia="en-US"/>
        </w:rPr>
        <w:t xml:space="preserve">Conception technique du programme - </w:t>
      </w:r>
      <w:r w:rsidR="00F70609" w:rsidRPr="00F70609">
        <w:rPr>
          <w:rFonts w:eastAsiaTheme="minorHAnsi"/>
          <w:b/>
          <w:color w:val="2E74B5" w:themeColor="accent1" w:themeShade="BF"/>
          <w:sz w:val="20"/>
          <w:szCs w:val="20"/>
          <w:lang w:eastAsia="en-US"/>
        </w:rPr>
        <w:t>Risque modéré</w:t>
      </w:r>
    </w:p>
    <w:p w:rsidR="00B23F03" w:rsidRPr="00B23F03" w:rsidRDefault="00B23F03" w:rsidP="00B23F03">
      <w:pPr>
        <w:contextualSpacing/>
        <w:jc w:val="both"/>
        <w:rPr>
          <w:rFonts w:eastAsiaTheme="minorHAnsi"/>
          <w:sz w:val="20"/>
          <w:szCs w:val="20"/>
          <w:lang w:eastAsia="en-US"/>
        </w:rPr>
      </w:pPr>
    </w:p>
    <w:p w:rsidR="00B23F03" w:rsidRDefault="00F70609" w:rsidP="00F70609">
      <w:pPr>
        <w:contextualSpacing/>
        <w:jc w:val="both"/>
        <w:rPr>
          <w:rFonts w:eastAsiaTheme="minorHAnsi"/>
          <w:sz w:val="20"/>
          <w:szCs w:val="20"/>
          <w:lang w:eastAsia="en-US"/>
        </w:rPr>
      </w:pPr>
      <w:r>
        <w:rPr>
          <w:rFonts w:eastAsiaTheme="minorHAnsi"/>
          <w:sz w:val="20"/>
          <w:szCs w:val="20"/>
          <w:lang w:eastAsia="en-US"/>
        </w:rPr>
        <w:t>Le projet</w:t>
      </w:r>
      <w:r w:rsidR="00B23F03" w:rsidRPr="00B23F03">
        <w:rPr>
          <w:rFonts w:eastAsiaTheme="minorHAnsi"/>
          <w:sz w:val="20"/>
          <w:szCs w:val="20"/>
          <w:lang w:eastAsia="en-US"/>
        </w:rPr>
        <w:t xml:space="preserve"> </w:t>
      </w:r>
      <w:r>
        <w:rPr>
          <w:rFonts w:eastAsiaTheme="minorHAnsi"/>
          <w:sz w:val="20"/>
          <w:szCs w:val="20"/>
          <w:lang w:eastAsia="en-US"/>
        </w:rPr>
        <w:t xml:space="preserve">propose des activités traitant </w:t>
      </w:r>
      <w:r w:rsidR="00B23F03" w:rsidRPr="00B23F03">
        <w:rPr>
          <w:rFonts w:eastAsiaTheme="minorHAnsi"/>
          <w:sz w:val="20"/>
          <w:szCs w:val="20"/>
          <w:lang w:eastAsia="en-US"/>
        </w:rPr>
        <w:t xml:space="preserve">les principaux moteurs de la déforestation et de la dégradation des forêts. </w:t>
      </w:r>
      <w:r>
        <w:rPr>
          <w:rFonts w:eastAsiaTheme="minorHAnsi"/>
          <w:sz w:val="20"/>
          <w:szCs w:val="20"/>
          <w:lang w:eastAsia="en-US"/>
        </w:rPr>
        <w:t>Elles ont été identifiées après une analyse fine et détaillée de ces moteurs (voir sections précédentes</w:t>
      </w:r>
      <w:r w:rsidR="002E1AC0">
        <w:rPr>
          <w:rFonts w:eastAsiaTheme="minorHAnsi"/>
          <w:sz w:val="20"/>
          <w:szCs w:val="20"/>
          <w:lang w:eastAsia="en-US"/>
        </w:rPr>
        <w:t>) au cours d’un processus de maturation qui a duré plusieurs années. Ce dernier a été de plus un processus commun à plusieurs initiatives notamment celle du développement du Programme RE du Mai-Ndombe.</w:t>
      </w:r>
    </w:p>
    <w:p w:rsidR="00B83CA9" w:rsidRDefault="00B83CA9" w:rsidP="00F70609">
      <w:pPr>
        <w:contextualSpacing/>
        <w:jc w:val="both"/>
        <w:rPr>
          <w:rFonts w:eastAsiaTheme="minorHAnsi"/>
          <w:sz w:val="20"/>
          <w:szCs w:val="20"/>
          <w:lang w:eastAsia="en-US"/>
        </w:rPr>
      </w:pPr>
    </w:p>
    <w:p w:rsidR="00B83CA9" w:rsidRDefault="00B83CA9" w:rsidP="00F70609">
      <w:pPr>
        <w:contextualSpacing/>
        <w:jc w:val="both"/>
        <w:rPr>
          <w:rFonts w:eastAsiaTheme="minorHAnsi"/>
          <w:sz w:val="20"/>
          <w:szCs w:val="20"/>
          <w:lang w:eastAsia="en-US"/>
        </w:rPr>
      </w:pPr>
      <w:r>
        <w:rPr>
          <w:rFonts w:eastAsiaTheme="minorHAnsi"/>
          <w:sz w:val="20"/>
          <w:szCs w:val="20"/>
          <w:lang w:eastAsia="en-US"/>
        </w:rPr>
        <w:t>On peut néanmoins s’interroger sur les risques de conflits potentiels ayant trait à la distribution d’</w:t>
      </w:r>
      <w:r w:rsidRPr="00B83CA9">
        <w:rPr>
          <w:rFonts w:eastAsiaTheme="minorHAnsi"/>
          <w:sz w:val="20"/>
          <w:szCs w:val="20"/>
          <w:lang w:eastAsia="en-US"/>
        </w:rPr>
        <w:t>incitations pour</w:t>
      </w:r>
      <w:r>
        <w:rPr>
          <w:rFonts w:eastAsiaTheme="minorHAnsi"/>
          <w:sz w:val="20"/>
          <w:szCs w:val="20"/>
          <w:lang w:eastAsia="en-US"/>
        </w:rPr>
        <w:t xml:space="preserve"> la gestion durable de la Forêt au travers de mécanismes innovants que sont les PSE.</w:t>
      </w:r>
      <w:r w:rsidRPr="00B83CA9">
        <w:rPr>
          <w:rFonts w:eastAsiaTheme="minorHAnsi"/>
          <w:sz w:val="20"/>
          <w:szCs w:val="20"/>
          <w:lang w:eastAsia="en-US"/>
        </w:rPr>
        <w:t xml:space="preserve"> Le risque sera </w:t>
      </w:r>
      <w:r>
        <w:rPr>
          <w:rFonts w:eastAsiaTheme="minorHAnsi"/>
          <w:sz w:val="20"/>
          <w:szCs w:val="20"/>
          <w:lang w:eastAsia="en-US"/>
        </w:rPr>
        <w:t>atténué par la mise en place de</w:t>
      </w:r>
      <w:r w:rsidRPr="00B83CA9">
        <w:rPr>
          <w:rFonts w:eastAsiaTheme="minorHAnsi"/>
          <w:sz w:val="20"/>
          <w:szCs w:val="20"/>
          <w:lang w:eastAsia="en-US"/>
        </w:rPr>
        <w:t xml:space="preserve"> règles claires sur le partage des bénéfices avant le début des activités sur le terrain et une forte communication</w:t>
      </w:r>
      <w:r>
        <w:rPr>
          <w:rFonts w:eastAsiaTheme="minorHAnsi"/>
          <w:sz w:val="20"/>
          <w:szCs w:val="20"/>
          <w:lang w:eastAsia="en-US"/>
        </w:rPr>
        <w:t xml:space="preserve">. Le PIREDD Mai-Ndombe s’inspirera aussi des travaux en cours sur les plans de partage de bénéfices dans le cadre du développement du Programme RE du </w:t>
      </w:r>
      <w:r w:rsidR="0009077D">
        <w:rPr>
          <w:rFonts w:eastAsiaTheme="minorHAnsi"/>
          <w:sz w:val="20"/>
          <w:szCs w:val="20"/>
          <w:lang w:eastAsia="en-US"/>
        </w:rPr>
        <w:t>Mai-Ndombe</w:t>
      </w:r>
      <w:r>
        <w:rPr>
          <w:rFonts w:eastAsiaTheme="minorHAnsi"/>
          <w:sz w:val="20"/>
          <w:szCs w:val="20"/>
          <w:lang w:eastAsia="en-US"/>
        </w:rPr>
        <w:t>. L’alignement des pratiques est essentiel.</w:t>
      </w:r>
    </w:p>
    <w:p w:rsidR="00B23F03" w:rsidRPr="00B23F03" w:rsidRDefault="00B23F03" w:rsidP="00B23F03">
      <w:pPr>
        <w:contextualSpacing/>
        <w:jc w:val="both"/>
        <w:rPr>
          <w:rFonts w:eastAsiaTheme="minorHAnsi"/>
          <w:sz w:val="20"/>
          <w:szCs w:val="20"/>
          <w:lang w:eastAsia="en-US"/>
        </w:rPr>
      </w:pPr>
    </w:p>
    <w:p w:rsidR="00B23F03" w:rsidRPr="00F70609" w:rsidRDefault="00B83CA9" w:rsidP="00B23F03">
      <w:pPr>
        <w:contextualSpacing/>
        <w:jc w:val="both"/>
        <w:rPr>
          <w:rFonts w:eastAsiaTheme="minorHAnsi"/>
          <w:b/>
          <w:color w:val="2E74B5" w:themeColor="accent1" w:themeShade="BF"/>
          <w:sz w:val="20"/>
          <w:szCs w:val="20"/>
          <w:lang w:eastAsia="en-US"/>
        </w:rPr>
      </w:pPr>
      <w:r>
        <w:rPr>
          <w:rFonts w:eastAsiaTheme="minorHAnsi"/>
          <w:b/>
          <w:color w:val="2E74B5" w:themeColor="accent1" w:themeShade="BF"/>
          <w:sz w:val="20"/>
          <w:szCs w:val="20"/>
          <w:lang w:eastAsia="en-US"/>
        </w:rPr>
        <w:t>C</w:t>
      </w:r>
      <w:r w:rsidR="00B23F03" w:rsidRPr="00F70609">
        <w:rPr>
          <w:rFonts w:eastAsiaTheme="minorHAnsi"/>
          <w:b/>
          <w:color w:val="2E74B5" w:themeColor="accent1" w:themeShade="BF"/>
          <w:sz w:val="20"/>
          <w:szCs w:val="20"/>
          <w:lang w:eastAsia="en-US"/>
        </w:rPr>
        <w:t>apacités institutionne</w:t>
      </w:r>
      <w:r>
        <w:rPr>
          <w:rFonts w:eastAsiaTheme="minorHAnsi"/>
          <w:b/>
          <w:color w:val="2E74B5" w:themeColor="accent1" w:themeShade="BF"/>
          <w:sz w:val="20"/>
          <w:szCs w:val="20"/>
          <w:lang w:eastAsia="en-US"/>
        </w:rPr>
        <w:t>lles pour la mise en œuvre et</w:t>
      </w:r>
      <w:r w:rsidR="00B23F03" w:rsidRPr="00F70609">
        <w:rPr>
          <w:rFonts w:eastAsiaTheme="minorHAnsi"/>
          <w:b/>
          <w:color w:val="2E74B5" w:themeColor="accent1" w:themeShade="BF"/>
          <w:sz w:val="20"/>
          <w:szCs w:val="20"/>
          <w:lang w:eastAsia="en-US"/>
        </w:rPr>
        <w:t xml:space="preserve"> durabilité - </w:t>
      </w:r>
      <w:r w:rsidR="00F70609" w:rsidRPr="00F70609">
        <w:rPr>
          <w:rFonts w:eastAsiaTheme="minorHAnsi"/>
          <w:b/>
          <w:color w:val="2E74B5" w:themeColor="accent1" w:themeShade="BF"/>
          <w:sz w:val="20"/>
          <w:szCs w:val="20"/>
          <w:lang w:eastAsia="en-US"/>
        </w:rPr>
        <w:t>Risque élevé</w:t>
      </w:r>
    </w:p>
    <w:p w:rsidR="00B23F03" w:rsidRPr="00B23F03" w:rsidRDefault="00B23F03" w:rsidP="00B23F03">
      <w:pPr>
        <w:contextualSpacing/>
        <w:jc w:val="both"/>
        <w:rPr>
          <w:rFonts w:eastAsiaTheme="minorHAnsi"/>
          <w:sz w:val="20"/>
          <w:szCs w:val="20"/>
          <w:lang w:eastAsia="en-US"/>
        </w:rPr>
      </w:pPr>
    </w:p>
    <w:p w:rsidR="00B23F03" w:rsidRPr="00B23F03" w:rsidRDefault="0044536F" w:rsidP="00B23F03">
      <w:pPr>
        <w:contextualSpacing/>
        <w:jc w:val="both"/>
        <w:rPr>
          <w:rFonts w:eastAsiaTheme="minorHAnsi"/>
          <w:sz w:val="20"/>
          <w:szCs w:val="20"/>
          <w:lang w:eastAsia="en-US"/>
        </w:rPr>
      </w:pPr>
      <w:r>
        <w:rPr>
          <w:rFonts w:eastAsiaTheme="minorHAnsi"/>
          <w:sz w:val="20"/>
          <w:szCs w:val="20"/>
          <w:lang w:eastAsia="en-US"/>
        </w:rPr>
        <w:t>Les capacités institutionnelles sont faibles</w:t>
      </w:r>
      <w:r w:rsidR="00CE7704">
        <w:rPr>
          <w:rFonts w:eastAsiaTheme="minorHAnsi"/>
          <w:sz w:val="20"/>
          <w:szCs w:val="20"/>
          <w:lang w:eastAsia="en-US"/>
        </w:rPr>
        <w:t xml:space="preserve"> en RDC, et c’est encore plus vrai</w:t>
      </w:r>
      <w:r>
        <w:rPr>
          <w:rFonts w:eastAsiaTheme="minorHAnsi"/>
          <w:sz w:val="20"/>
          <w:szCs w:val="20"/>
          <w:lang w:eastAsia="en-US"/>
        </w:rPr>
        <w:t xml:space="preserve"> au niveau de la toute jeune province du Mai-Ndombe</w:t>
      </w:r>
      <w:r w:rsidR="00CE7704">
        <w:rPr>
          <w:rFonts w:eastAsiaTheme="minorHAnsi"/>
          <w:sz w:val="20"/>
          <w:szCs w:val="20"/>
          <w:lang w:eastAsia="en-US"/>
        </w:rPr>
        <w:t xml:space="preserve"> où tout doit être mis en place. Mais </w:t>
      </w:r>
      <w:r>
        <w:rPr>
          <w:rFonts w:eastAsiaTheme="minorHAnsi"/>
          <w:sz w:val="20"/>
          <w:szCs w:val="20"/>
          <w:lang w:eastAsia="en-US"/>
        </w:rPr>
        <w:t>s</w:t>
      </w:r>
      <w:r w:rsidR="002E1AC0">
        <w:rPr>
          <w:rFonts w:eastAsiaTheme="minorHAnsi"/>
          <w:sz w:val="20"/>
          <w:szCs w:val="20"/>
          <w:lang w:eastAsia="en-US"/>
        </w:rPr>
        <w:t>i le risque est élevé, l</w:t>
      </w:r>
      <w:r w:rsidR="00B23F03" w:rsidRPr="00B23F03">
        <w:rPr>
          <w:rFonts w:eastAsiaTheme="minorHAnsi"/>
          <w:sz w:val="20"/>
          <w:szCs w:val="20"/>
          <w:lang w:eastAsia="en-US"/>
        </w:rPr>
        <w:t xml:space="preserve">a stratégie globale du </w:t>
      </w:r>
      <w:r w:rsidR="00F70609">
        <w:rPr>
          <w:rFonts w:eastAsiaTheme="minorHAnsi"/>
          <w:sz w:val="20"/>
          <w:szCs w:val="20"/>
          <w:lang w:eastAsia="en-US"/>
        </w:rPr>
        <w:t>projet</w:t>
      </w:r>
      <w:r w:rsidR="002E1AC0">
        <w:rPr>
          <w:rFonts w:eastAsiaTheme="minorHAnsi"/>
          <w:sz w:val="20"/>
          <w:szCs w:val="20"/>
          <w:lang w:eastAsia="en-US"/>
        </w:rPr>
        <w:t xml:space="preserve"> propose des solutions. Cette dernière</w:t>
      </w:r>
      <w:r w:rsidR="00B23F03" w:rsidRPr="00B23F03">
        <w:rPr>
          <w:rFonts w:eastAsiaTheme="minorHAnsi"/>
          <w:sz w:val="20"/>
          <w:szCs w:val="20"/>
          <w:lang w:eastAsia="en-US"/>
        </w:rPr>
        <w:t xml:space="preserve"> </w:t>
      </w:r>
      <w:r w:rsidR="00F70609">
        <w:rPr>
          <w:rFonts w:eastAsiaTheme="minorHAnsi"/>
          <w:sz w:val="20"/>
          <w:szCs w:val="20"/>
          <w:lang w:eastAsia="en-US"/>
        </w:rPr>
        <w:t>repose sur</w:t>
      </w:r>
      <w:r w:rsidR="00B23F03" w:rsidRPr="00B23F03">
        <w:rPr>
          <w:rFonts w:eastAsiaTheme="minorHAnsi"/>
          <w:sz w:val="20"/>
          <w:szCs w:val="20"/>
          <w:lang w:eastAsia="en-US"/>
        </w:rPr>
        <w:t xml:space="preserve"> (i) </w:t>
      </w:r>
      <w:r w:rsidR="00F70609">
        <w:rPr>
          <w:rFonts w:eastAsiaTheme="minorHAnsi"/>
          <w:sz w:val="20"/>
          <w:szCs w:val="20"/>
          <w:lang w:eastAsia="en-US"/>
        </w:rPr>
        <w:t>une bonne coordination</w:t>
      </w:r>
      <w:r w:rsidR="00B23F03" w:rsidRPr="00B23F03">
        <w:rPr>
          <w:rFonts w:eastAsiaTheme="minorHAnsi"/>
          <w:sz w:val="20"/>
          <w:szCs w:val="20"/>
          <w:lang w:eastAsia="en-US"/>
        </w:rPr>
        <w:t xml:space="preserve"> </w:t>
      </w:r>
      <w:r w:rsidR="00F70609">
        <w:rPr>
          <w:rFonts w:eastAsiaTheme="minorHAnsi"/>
          <w:sz w:val="20"/>
          <w:szCs w:val="20"/>
          <w:lang w:eastAsia="en-US"/>
        </w:rPr>
        <w:t xml:space="preserve">avec les initiatives existantes </w:t>
      </w:r>
      <w:r w:rsidR="002E1AC0">
        <w:rPr>
          <w:rFonts w:eastAsiaTheme="minorHAnsi"/>
          <w:sz w:val="20"/>
          <w:szCs w:val="20"/>
          <w:lang w:eastAsia="en-US"/>
        </w:rPr>
        <w:t>pour éviter</w:t>
      </w:r>
      <w:r w:rsidR="00F70609">
        <w:rPr>
          <w:rFonts w:eastAsiaTheme="minorHAnsi"/>
          <w:sz w:val="20"/>
          <w:szCs w:val="20"/>
          <w:lang w:eastAsia="en-US"/>
        </w:rPr>
        <w:t xml:space="preserve"> la duplication de structures, de</w:t>
      </w:r>
      <w:r w:rsidR="00B23F03" w:rsidRPr="00B23F03">
        <w:rPr>
          <w:rFonts w:eastAsiaTheme="minorHAnsi"/>
          <w:sz w:val="20"/>
          <w:szCs w:val="20"/>
          <w:lang w:eastAsia="en-US"/>
        </w:rPr>
        <w:t xml:space="preserve"> fonctions </w:t>
      </w:r>
      <w:r w:rsidR="00F70609">
        <w:rPr>
          <w:rFonts w:eastAsiaTheme="minorHAnsi"/>
          <w:sz w:val="20"/>
          <w:szCs w:val="20"/>
          <w:lang w:eastAsia="en-US"/>
        </w:rPr>
        <w:t>et/ou d’</w:t>
      </w:r>
      <w:r w:rsidR="002E1AC0">
        <w:rPr>
          <w:rFonts w:eastAsiaTheme="minorHAnsi"/>
          <w:sz w:val="20"/>
          <w:szCs w:val="20"/>
          <w:lang w:eastAsia="en-US"/>
        </w:rPr>
        <w:t>activités, et (ii</w:t>
      </w:r>
      <w:r w:rsidR="00B23F03" w:rsidRPr="00B23F03">
        <w:rPr>
          <w:rFonts w:eastAsiaTheme="minorHAnsi"/>
          <w:sz w:val="20"/>
          <w:szCs w:val="20"/>
          <w:lang w:eastAsia="en-US"/>
        </w:rPr>
        <w:t xml:space="preserve">) </w:t>
      </w:r>
      <w:r w:rsidR="002E1AC0">
        <w:rPr>
          <w:rFonts w:eastAsiaTheme="minorHAnsi"/>
          <w:sz w:val="20"/>
          <w:szCs w:val="20"/>
          <w:lang w:eastAsia="en-US"/>
        </w:rPr>
        <w:t>un renforcement systématique d</w:t>
      </w:r>
      <w:r w:rsidR="00B23F03" w:rsidRPr="00B23F03">
        <w:rPr>
          <w:rFonts w:eastAsiaTheme="minorHAnsi"/>
          <w:sz w:val="20"/>
          <w:szCs w:val="20"/>
          <w:lang w:eastAsia="en-US"/>
        </w:rPr>
        <w:t>es capacités des parties prenantes du pro</w:t>
      </w:r>
      <w:r w:rsidR="002E1AC0">
        <w:rPr>
          <w:rFonts w:eastAsiaTheme="minorHAnsi"/>
          <w:sz w:val="20"/>
          <w:szCs w:val="20"/>
          <w:lang w:eastAsia="en-US"/>
        </w:rPr>
        <w:t>jet</w:t>
      </w:r>
      <w:r w:rsidR="00B23F03" w:rsidRPr="00B23F03">
        <w:rPr>
          <w:rFonts w:eastAsiaTheme="minorHAnsi"/>
          <w:sz w:val="20"/>
          <w:szCs w:val="20"/>
          <w:lang w:eastAsia="en-US"/>
        </w:rPr>
        <w:t xml:space="preserve"> pendant l'exécution du programme.</w:t>
      </w:r>
    </w:p>
    <w:p w:rsidR="00E97C3A" w:rsidRDefault="00E97C3A">
      <w:pPr>
        <w:spacing w:after="160" w:line="259" w:lineRule="auto"/>
        <w:rPr>
          <w:rFonts w:eastAsiaTheme="minorHAnsi"/>
          <w:b/>
          <w:color w:val="2E74B5" w:themeColor="accent1" w:themeShade="BF"/>
          <w:sz w:val="20"/>
          <w:szCs w:val="20"/>
          <w:lang w:eastAsia="en-US"/>
        </w:rPr>
      </w:pPr>
    </w:p>
    <w:p w:rsidR="00B23F03" w:rsidRPr="002E1AC0" w:rsidRDefault="002E1AC0" w:rsidP="00B23F03">
      <w:pPr>
        <w:contextualSpacing/>
        <w:jc w:val="both"/>
        <w:rPr>
          <w:rFonts w:eastAsiaTheme="minorHAnsi"/>
          <w:b/>
          <w:color w:val="2E74B5" w:themeColor="accent1" w:themeShade="BF"/>
          <w:sz w:val="20"/>
          <w:szCs w:val="20"/>
          <w:lang w:eastAsia="en-US"/>
        </w:rPr>
      </w:pPr>
      <w:r>
        <w:rPr>
          <w:rFonts w:eastAsiaTheme="minorHAnsi"/>
          <w:b/>
          <w:color w:val="2E74B5" w:themeColor="accent1" w:themeShade="BF"/>
          <w:sz w:val="20"/>
          <w:szCs w:val="20"/>
          <w:lang w:eastAsia="en-US"/>
        </w:rPr>
        <w:t xml:space="preserve">Arrangements fiduciaires </w:t>
      </w:r>
      <w:r w:rsidR="00B23F03" w:rsidRPr="002E1AC0">
        <w:rPr>
          <w:rFonts w:eastAsiaTheme="minorHAnsi"/>
          <w:b/>
          <w:color w:val="2E74B5" w:themeColor="accent1" w:themeShade="BF"/>
          <w:sz w:val="20"/>
          <w:szCs w:val="20"/>
          <w:lang w:eastAsia="en-US"/>
        </w:rPr>
        <w:t xml:space="preserve">- </w:t>
      </w:r>
      <w:r w:rsidRPr="002E1AC0">
        <w:rPr>
          <w:rFonts w:eastAsiaTheme="minorHAnsi"/>
          <w:b/>
          <w:color w:val="2E74B5" w:themeColor="accent1" w:themeShade="BF"/>
          <w:sz w:val="20"/>
          <w:szCs w:val="20"/>
          <w:lang w:eastAsia="en-US"/>
        </w:rPr>
        <w:t>Risque élevé</w:t>
      </w:r>
    </w:p>
    <w:p w:rsidR="00B05CED" w:rsidRDefault="00B05CED" w:rsidP="00B23F03">
      <w:pPr>
        <w:contextualSpacing/>
        <w:jc w:val="both"/>
        <w:rPr>
          <w:rFonts w:eastAsiaTheme="minorHAnsi"/>
          <w:sz w:val="20"/>
          <w:szCs w:val="20"/>
          <w:lang w:eastAsia="en-US"/>
        </w:rPr>
      </w:pPr>
    </w:p>
    <w:p w:rsidR="00B23F03" w:rsidRPr="00B23F03" w:rsidRDefault="00CE7704" w:rsidP="00B23F03">
      <w:pPr>
        <w:contextualSpacing/>
        <w:jc w:val="both"/>
        <w:rPr>
          <w:rFonts w:eastAsiaTheme="minorHAnsi"/>
          <w:sz w:val="20"/>
          <w:szCs w:val="20"/>
          <w:lang w:eastAsia="en-US"/>
        </w:rPr>
      </w:pPr>
      <w:r>
        <w:rPr>
          <w:rFonts w:eastAsiaTheme="minorHAnsi"/>
          <w:sz w:val="20"/>
          <w:szCs w:val="20"/>
          <w:lang w:eastAsia="en-US"/>
        </w:rPr>
        <w:t>Face aux</w:t>
      </w:r>
      <w:r w:rsidR="0044536F">
        <w:rPr>
          <w:rFonts w:eastAsiaTheme="minorHAnsi"/>
          <w:sz w:val="20"/>
          <w:szCs w:val="20"/>
          <w:lang w:eastAsia="en-US"/>
        </w:rPr>
        <w:t xml:space="preserve"> difficultés macroéconomiques que rencontrent aujourd’hui la RDC,</w:t>
      </w:r>
      <w:r>
        <w:rPr>
          <w:rFonts w:eastAsiaTheme="minorHAnsi"/>
          <w:sz w:val="20"/>
          <w:szCs w:val="20"/>
          <w:lang w:eastAsia="en-US"/>
        </w:rPr>
        <w:t xml:space="preserve"> et dans un contexte général de faible </w:t>
      </w:r>
      <w:r w:rsidR="0044536F">
        <w:rPr>
          <w:rFonts w:eastAsiaTheme="minorHAnsi"/>
          <w:sz w:val="20"/>
          <w:szCs w:val="20"/>
          <w:lang w:eastAsia="en-US"/>
        </w:rPr>
        <w:t xml:space="preserve"> gouvernance,  </w:t>
      </w:r>
      <w:r>
        <w:rPr>
          <w:rFonts w:eastAsiaTheme="minorHAnsi"/>
          <w:sz w:val="20"/>
          <w:szCs w:val="20"/>
          <w:lang w:eastAsia="en-US"/>
        </w:rPr>
        <w:t>certaines</w:t>
      </w:r>
      <w:r w:rsidR="0044536F">
        <w:rPr>
          <w:rFonts w:eastAsiaTheme="minorHAnsi"/>
          <w:sz w:val="20"/>
          <w:szCs w:val="20"/>
          <w:lang w:eastAsia="en-US"/>
        </w:rPr>
        <w:t xml:space="preserve"> élites</w:t>
      </w:r>
      <w:r>
        <w:rPr>
          <w:rFonts w:eastAsiaTheme="minorHAnsi"/>
          <w:sz w:val="20"/>
          <w:szCs w:val="20"/>
          <w:lang w:eastAsia="en-US"/>
        </w:rPr>
        <w:t xml:space="preserve"> pourraient être tentées d’utiliser tout ou partie des fonds </w:t>
      </w:r>
      <w:r w:rsidR="00B05CED">
        <w:rPr>
          <w:rFonts w:eastAsiaTheme="minorHAnsi"/>
          <w:sz w:val="20"/>
          <w:szCs w:val="20"/>
          <w:lang w:eastAsia="en-US"/>
        </w:rPr>
        <w:t>alloué</w:t>
      </w:r>
      <w:r>
        <w:rPr>
          <w:rFonts w:eastAsiaTheme="minorHAnsi"/>
          <w:sz w:val="20"/>
          <w:szCs w:val="20"/>
          <w:lang w:eastAsia="en-US"/>
        </w:rPr>
        <w:t xml:space="preserve">s à d’autres priorités nationales et/ou provinciales. </w:t>
      </w:r>
      <w:r w:rsidR="00B05CED">
        <w:rPr>
          <w:rFonts w:eastAsiaTheme="minorHAnsi"/>
          <w:sz w:val="20"/>
          <w:szCs w:val="20"/>
          <w:lang w:eastAsia="en-US"/>
        </w:rPr>
        <w:t>Les défis sont en effet importants dans de nombreux secteurs. Afin de minimiser ces tentations, il est proposé de recourir aux services d’u</w:t>
      </w:r>
      <w:r w:rsidR="0044536F">
        <w:rPr>
          <w:rFonts w:eastAsiaTheme="minorHAnsi"/>
          <w:sz w:val="20"/>
          <w:szCs w:val="20"/>
          <w:lang w:eastAsia="en-US"/>
        </w:rPr>
        <w:t>ne Agence Locale d’Exécution (ALE)</w:t>
      </w:r>
      <w:r w:rsidR="00B05CED">
        <w:rPr>
          <w:rFonts w:eastAsiaTheme="minorHAnsi"/>
          <w:sz w:val="20"/>
          <w:szCs w:val="20"/>
          <w:lang w:eastAsia="en-US"/>
        </w:rPr>
        <w:t xml:space="preserve"> indépendante. Elle</w:t>
      </w:r>
      <w:r w:rsidR="00B23F03" w:rsidRPr="00B23F03">
        <w:rPr>
          <w:rFonts w:eastAsiaTheme="minorHAnsi"/>
          <w:sz w:val="20"/>
          <w:szCs w:val="20"/>
          <w:lang w:eastAsia="en-US"/>
        </w:rPr>
        <w:t xml:space="preserve"> sera responsable de la gestion au jour le jour du programme, en particu</w:t>
      </w:r>
      <w:r w:rsidR="00B05CED">
        <w:rPr>
          <w:rFonts w:eastAsiaTheme="minorHAnsi"/>
          <w:sz w:val="20"/>
          <w:szCs w:val="20"/>
          <w:lang w:eastAsia="en-US"/>
        </w:rPr>
        <w:t>lier d</w:t>
      </w:r>
      <w:r w:rsidR="0044536F">
        <w:rPr>
          <w:rFonts w:eastAsiaTheme="minorHAnsi"/>
          <w:sz w:val="20"/>
          <w:szCs w:val="20"/>
          <w:lang w:eastAsia="en-US"/>
        </w:rPr>
        <w:t>es aspects fiduciaires.</w:t>
      </w:r>
      <w:r w:rsidR="00B05CED">
        <w:rPr>
          <w:rFonts w:eastAsiaTheme="minorHAnsi"/>
          <w:sz w:val="20"/>
          <w:szCs w:val="20"/>
          <w:lang w:eastAsia="en-US"/>
        </w:rPr>
        <w:t xml:space="preserve"> Sélectionnée par un appel d’offres international,  e</w:t>
      </w:r>
      <w:r w:rsidR="0044536F">
        <w:rPr>
          <w:rFonts w:eastAsiaTheme="minorHAnsi"/>
          <w:sz w:val="20"/>
          <w:szCs w:val="20"/>
          <w:lang w:eastAsia="en-US"/>
        </w:rPr>
        <w:t>lle agira sous la supervision et le contrôle de l’</w:t>
      </w:r>
      <w:r w:rsidR="00B05CED">
        <w:rPr>
          <w:rFonts w:eastAsiaTheme="minorHAnsi"/>
          <w:sz w:val="20"/>
          <w:szCs w:val="20"/>
          <w:lang w:eastAsia="en-US"/>
        </w:rPr>
        <w:t>état</w:t>
      </w:r>
      <w:r w:rsidR="0044536F">
        <w:rPr>
          <w:rFonts w:eastAsiaTheme="minorHAnsi"/>
          <w:sz w:val="20"/>
          <w:szCs w:val="20"/>
          <w:lang w:eastAsia="en-US"/>
        </w:rPr>
        <w:t xml:space="preserve"> congolais, </w:t>
      </w:r>
      <w:r w:rsidR="00B05CED">
        <w:rPr>
          <w:rFonts w:eastAsiaTheme="minorHAnsi"/>
          <w:sz w:val="20"/>
          <w:szCs w:val="20"/>
          <w:lang w:eastAsia="en-US"/>
        </w:rPr>
        <w:t>représenté</w:t>
      </w:r>
      <w:r w:rsidR="0044536F">
        <w:rPr>
          <w:rFonts w:eastAsiaTheme="minorHAnsi"/>
          <w:sz w:val="20"/>
          <w:szCs w:val="20"/>
          <w:lang w:eastAsia="en-US"/>
        </w:rPr>
        <w:t xml:space="preserve"> par l’UC-PIF</w:t>
      </w:r>
      <w:r w:rsidR="00B05CED">
        <w:rPr>
          <w:rFonts w:eastAsiaTheme="minorHAnsi"/>
          <w:sz w:val="20"/>
          <w:szCs w:val="20"/>
          <w:lang w:eastAsia="en-US"/>
        </w:rPr>
        <w:t xml:space="preserve"> dont la mission sera recentrée sur les fonctions régaliennes de l’état et la Province du Mai-Ndombe.</w:t>
      </w:r>
    </w:p>
    <w:p w:rsidR="00B23F03" w:rsidRPr="00B23F03" w:rsidRDefault="00B23F03" w:rsidP="00B23F03">
      <w:pPr>
        <w:contextualSpacing/>
        <w:jc w:val="both"/>
        <w:rPr>
          <w:rFonts w:eastAsiaTheme="minorHAnsi"/>
          <w:sz w:val="20"/>
          <w:szCs w:val="20"/>
          <w:lang w:eastAsia="en-US"/>
        </w:rPr>
      </w:pPr>
    </w:p>
    <w:p w:rsidR="00B23F03" w:rsidRPr="00B23F03" w:rsidRDefault="00B23F03" w:rsidP="00B05CED">
      <w:pPr>
        <w:contextualSpacing/>
        <w:jc w:val="both"/>
        <w:rPr>
          <w:rFonts w:eastAsiaTheme="minorHAnsi"/>
          <w:sz w:val="20"/>
          <w:szCs w:val="20"/>
          <w:lang w:eastAsia="en-US"/>
        </w:rPr>
      </w:pPr>
      <w:r w:rsidRPr="00B23F03">
        <w:rPr>
          <w:rFonts w:eastAsiaTheme="minorHAnsi"/>
          <w:sz w:val="20"/>
          <w:szCs w:val="20"/>
          <w:lang w:eastAsia="en-US"/>
        </w:rPr>
        <w:t>Le programme renforcera</w:t>
      </w:r>
      <w:r w:rsidR="00B05CED">
        <w:rPr>
          <w:rFonts w:eastAsiaTheme="minorHAnsi"/>
          <w:sz w:val="20"/>
          <w:szCs w:val="20"/>
          <w:lang w:eastAsia="en-US"/>
        </w:rPr>
        <w:t xml:space="preserve"> en outre</w:t>
      </w:r>
      <w:r w:rsidRPr="00B23F03">
        <w:rPr>
          <w:rFonts w:eastAsiaTheme="minorHAnsi"/>
          <w:sz w:val="20"/>
          <w:szCs w:val="20"/>
          <w:lang w:eastAsia="en-US"/>
        </w:rPr>
        <w:t xml:space="preserve"> les capacités au niveau provincial, de sorte que les fonctions remplies par l'</w:t>
      </w:r>
      <w:r w:rsidR="00B05CED">
        <w:rPr>
          <w:rFonts w:eastAsiaTheme="minorHAnsi"/>
          <w:sz w:val="20"/>
          <w:szCs w:val="20"/>
          <w:lang w:eastAsia="en-US"/>
        </w:rPr>
        <w:t>ALE puissent</w:t>
      </w:r>
      <w:r w:rsidRPr="00B23F03">
        <w:rPr>
          <w:rFonts w:eastAsiaTheme="minorHAnsi"/>
          <w:sz w:val="20"/>
          <w:szCs w:val="20"/>
          <w:lang w:eastAsia="en-US"/>
        </w:rPr>
        <w:t xml:space="preserve"> être progressivement </w:t>
      </w:r>
      <w:r w:rsidR="00B05CED">
        <w:rPr>
          <w:rFonts w:eastAsiaTheme="minorHAnsi"/>
          <w:sz w:val="20"/>
          <w:szCs w:val="20"/>
          <w:lang w:eastAsia="en-US"/>
        </w:rPr>
        <w:t>transférées au</w:t>
      </w:r>
      <w:r w:rsidRPr="00B23F03">
        <w:rPr>
          <w:rFonts w:eastAsiaTheme="minorHAnsi"/>
          <w:sz w:val="20"/>
          <w:szCs w:val="20"/>
          <w:lang w:eastAsia="en-US"/>
        </w:rPr>
        <w:t xml:space="preserve"> gouvernement provincial à </w:t>
      </w:r>
      <w:r w:rsidR="00B05CED">
        <w:rPr>
          <w:rFonts w:eastAsiaTheme="minorHAnsi"/>
          <w:sz w:val="20"/>
          <w:szCs w:val="20"/>
          <w:lang w:eastAsia="en-US"/>
        </w:rPr>
        <w:t>terme.</w:t>
      </w:r>
    </w:p>
    <w:p w:rsidR="00B23F03" w:rsidRPr="00B23F03" w:rsidRDefault="00B23F03" w:rsidP="00B23F03">
      <w:pPr>
        <w:contextualSpacing/>
        <w:jc w:val="both"/>
        <w:rPr>
          <w:rFonts w:eastAsiaTheme="minorHAnsi"/>
          <w:sz w:val="20"/>
          <w:szCs w:val="20"/>
          <w:lang w:eastAsia="en-US"/>
        </w:rPr>
      </w:pPr>
    </w:p>
    <w:p w:rsidR="00B23F03" w:rsidRPr="0044536F" w:rsidRDefault="00B23F03" w:rsidP="00B23F03">
      <w:pPr>
        <w:contextualSpacing/>
        <w:jc w:val="both"/>
        <w:rPr>
          <w:rFonts w:eastAsiaTheme="minorHAnsi"/>
          <w:b/>
          <w:color w:val="2E74B5" w:themeColor="accent1" w:themeShade="BF"/>
          <w:sz w:val="20"/>
          <w:szCs w:val="20"/>
          <w:lang w:eastAsia="en-US"/>
        </w:rPr>
      </w:pPr>
      <w:r w:rsidRPr="0044536F">
        <w:rPr>
          <w:rFonts w:eastAsiaTheme="minorHAnsi"/>
          <w:b/>
          <w:color w:val="2E74B5" w:themeColor="accent1" w:themeShade="BF"/>
          <w:sz w:val="20"/>
          <w:szCs w:val="20"/>
          <w:lang w:eastAsia="en-US"/>
        </w:rPr>
        <w:t xml:space="preserve">Environnement et social - </w:t>
      </w:r>
      <w:r w:rsidR="0044536F" w:rsidRPr="0044536F">
        <w:rPr>
          <w:rFonts w:eastAsiaTheme="minorHAnsi"/>
          <w:b/>
          <w:color w:val="2E74B5" w:themeColor="accent1" w:themeShade="BF"/>
          <w:sz w:val="20"/>
          <w:szCs w:val="20"/>
          <w:lang w:eastAsia="en-US"/>
        </w:rPr>
        <w:t xml:space="preserve">Risque </w:t>
      </w:r>
      <w:r w:rsidR="00F61BD3">
        <w:rPr>
          <w:rFonts w:eastAsiaTheme="minorHAnsi"/>
          <w:b/>
          <w:color w:val="2E74B5" w:themeColor="accent1" w:themeShade="BF"/>
          <w:sz w:val="20"/>
          <w:szCs w:val="20"/>
          <w:lang w:eastAsia="en-US"/>
        </w:rPr>
        <w:t>élevé</w:t>
      </w:r>
    </w:p>
    <w:p w:rsidR="00002059" w:rsidRPr="00B23F03" w:rsidRDefault="00002059" w:rsidP="00B23F03">
      <w:pPr>
        <w:contextualSpacing/>
        <w:jc w:val="both"/>
        <w:rPr>
          <w:rFonts w:eastAsiaTheme="minorHAnsi"/>
          <w:sz w:val="20"/>
          <w:szCs w:val="20"/>
          <w:lang w:eastAsia="en-US"/>
        </w:rPr>
      </w:pPr>
    </w:p>
    <w:p w:rsidR="00B23F03" w:rsidRDefault="00B05CED" w:rsidP="00B23F03">
      <w:pPr>
        <w:contextualSpacing/>
        <w:jc w:val="both"/>
        <w:rPr>
          <w:rFonts w:eastAsiaTheme="minorHAnsi"/>
          <w:sz w:val="20"/>
          <w:szCs w:val="20"/>
          <w:lang w:eastAsia="en-US"/>
        </w:rPr>
      </w:pPr>
      <w:r>
        <w:rPr>
          <w:rFonts w:eastAsiaTheme="minorHAnsi"/>
          <w:sz w:val="20"/>
          <w:szCs w:val="20"/>
          <w:lang w:eastAsia="en-US"/>
        </w:rPr>
        <w:t xml:space="preserve">La </w:t>
      </w:r>
      <w:r w:rsidR="00B23F03" w:rsidRPr="00B23F03">
        <w:rPr>
          <w:rFonts w:eastAsiaTheme="minorHAnsi"/>
          <w:sz w:val="20"/>
          <w:szCs w:val="20"/>
          <w:lang w:eastAsia="en-US"/>
        </w:rPr>
        <w:t>RDC a réalisé une évaluation stratégique soc</w:t>
      </w:r>
      <w:r w:rsidR="00F61BD3">
        <w:rPr>
          <w:rFonts w:eastAsiaTheme="minorHAnsi"/>
          <w:sz w:val="20"/>
          <w:szCs w:val="20"/>
          <w:lang w:eastAsia="en-US"/>
        </w:rPr>
        <w:t xml:space="preserve">iale et environnementale </w:t>
      </w:r>
      <w:r w:rsidR="00B23F03" w:rsidRPr="00B23F03">
        <w:rPr>
          <w:rFonts w:eastAsiaTheme="minorHAnsi"/>
          <w:sz w:val="20"/>
          <w:szCs w:val="20"/>
          <w:lang w:eastAsia="en-US"/>
        </w:rPr>
        <w:t>et mis au point un</w:t>
      </w:r>
      <w:r w:rsidR="00F61BD3">
        <w:rPr>
          <w:rFonts w:eastAsiaTheme="minorHAnsi"/>
          <w:sz w:val="20"/>
          <w:szCs w:val="20"/>
          <w:lang w:eastAsia="en-US"/>
        </w:rPr>
        <w:t xml:space="preserve"> cadre de gestion environnementale et sociale</w:t>
      </w:r>
      <w:r w:rsidR="002144EC">
        <w:rPr>
          <w:rFonts w:eastAsiaTheme="minorHAnsi"/>
          <w:sz w:val="20"/>
          <w:szCs w:val="20"/>
          <w:lang w:eastAsia="en-US"/>
        </w:rPr>
        <w:t xml:space="preserve"> de la REDD+ </w:t>
      </w:r>
      <w:r w:rsidR="00F61BD3">
        <w:rPr>
          <w:rFonts w:eastAsiaTheme="minorHAnsi"/>
          <w:sz w:val="20"/>
          <w:szCs w:val="20"/>
          <w:lang w:eastAsia="en-US"/>
        </w:rPr>
        <w:t>(</w:t>
      </w:r>
      <w:r w:rsidR="00B23F03" w:rsidRPr="00B23F03">
        <w:rPr>
          <w:rFonts w:eastAsiaTheme="minorHAnsi"/>
          <w:sz w:val="20"/>
          <w:szCs w:val="20"/>
          <w:lang w:eastAsia="en-US"/>
        </w:rPr>
        <w:t>CGES</w:t>
      </w:r>
      <w:r w:rsidR="00F61BD3">
        <w:rPr>
          <w:rFonts w:eastAsiaTheme="minorHAnsi"/>
          <w:sz w:val="20"/>
          <w:szCs w:val="20"/>
          <w:lang w:eastAsia="en-US"/>
        </w:rPr>
        <w:t>)</w:t>
      </w:r>
      <w:r w:rsidR="00F61BD3">
        <w:rPr>
          <w:rStyle w:val="FootnoteReference"/>
          <w:rFonts w:eastAsiaTheme="minorHAnsi"/>
          <w:sz w:val="20"/>
          <w:szCs w:val="20"/>
          <w:lang w:eastAsia="en-US"/>
        </w:rPr>
        <w:footnoteReference w:id="28"/>
      </w:r>
      <w:r w:rsidR="00B23F03" w:rsidRPr="00B23F03">
        <w:rPr>
          <w:rFonts w:eastAsiaTheme="minorHAnsi"/>
          <w:sz w:val="20"/>
          <w:szCs w:val="20"/>
          <w:lang w:eastAsia="en-US"/>
        </w:rPr>
        <w:t>. La RDC a également défini ses normes sociales et environnementales nationales afin de mettre en place son propre cadre réglementaire</w:t>
      </w:r>
      <w:r w:rsidR="00F61BD3">
        <w:rPr>
          <w:rFonts w:eastAsiaTheme="minorHAnsi"/>
          <w:sz w:val="20"/>
          <w:szCs w:val="20"/>
          <w:lang w:eastAsia="en-US"/>
        </w:rPr>
        <w:t>, en conformité avec les recommandations de la CCNUCC et des politiques opérationnelles de la Banque mondiale</w:t>
      </w:r>
      <w:r w:rsidR="002144EC">
        <w:rPr>
          <w:rFonts w:eastAsiaTheme="minorHAnsi"/>
          <w:sz w:val="20"/>
          <w:szCs w:val="20"/>
          <w:lang w:eastAsia="en-US"/>
        </w:rPr>
        <w:t>.</w:t>
      </w:r>
    </w:p>
    <w:p w:rsidR="002144EC" w:rsidRPr="00B23F03" w:rsidRDefault="002144EC" w:rsidP="00B23F03">
      <w:pPr>
        <w:contextualSpacing/>
        <w:jc w:val="both"/>
        <w:rPr>
          <w:rFonts w:eastAsiaTheme="minorHAnsi"/>
          <w:sz w:val="20"/>
          <w:szCs w:val="20"/>
          <w:lang w:eastAsia="en-US"/>
        </w:rPr>
      </w:pPr>
    </w:p>
    <w:p w:rsidR="00B23F03" w:rsidRDefault="002144EC" w:rsidP="00B23F03">
      <w:pPr>
        <w:contextualSpacing/>
        <w:jc w:val="both"/>
        <w:rPr>
          <w:rFonts w:eastAsiaTheme="minorHAnsi"/>
          <w:sz w:val="20"/>
          <w:szCs w:val="20"/>
          <w:lang w:eastAsia="en-US"/>
        </w:rPr>
      </w:pPr>
      <w:r w:rsidRPr="002144EC">
        <w:rPr>
          <w:rFonts w:eastAsiaTheme="minorHAnsi"/>
          <w:sz w:val="20"/>
          <w:szCs w:val="20"/>
          <w:lang w:eastAsia="en-US"/>
        </w:rPr>
        <w:t>Si la RDC a produit des efforts remarquables au cours des 5 dernières années en matière de sauvegardes environnementales et sociales afférentes au processus REDD+, le défi est désormais celui de la bonne application et/ou utilisation des instruments ainsi produits. C’est sur ces bases qu’il est envisagé un renforcement de l’UC-PIF avec le recrutement d’experts spécialistes en environne</w:t>
      </w:r>
      <w:r>
        <w:rPr>
          <w:rFonts w:eastAsiaTheme="minorHAnsi"/>
          <w:sz w:val="20"/>
          <w:szCs w:val="20"/>
          <w:lang w:eastAsia="en-US"/>
        </w:rPr>
        <w:t>ment et en développement social, et en sui</w:t>
      </w:r>
      <w:r w:rsidR="00732E44">
        <w:rPr>
          <w:rFonts w:eastAsiaTheme="minorHAnsi"/>
          <w:sz w:val="20"/>
          <w:szCs w:val="20"/>
          <w:lang w:eastAsia="en-US"/>
        </w:rPr>
        <w:t>vi</w:t>
      </w:r>
      <w:r>
        <w:rPr>
          <w:rFonts w:eastAsiaTheme="minorHAnsi"/>
          <w:sz w:val="20"/>
          <w:szCs w:val="20"/>
          <w:lang w:eastAsia="en-US"/>
        </w:rPr>
        <w:t xml:space="preserve"> et </w:t>
      </w:r>
      <w:r w:rsidR="00732E44">
        <w:rPr>
          <w:rFonts w:eastAsiaTheme="minorHAnsi"/>
          <w:sz w:val="20"/>
          <w:szCs w:val="20"/>
          <w:lang w:eastAsia="en-US"/>
        </w:rPr>
        <w:t>évaluation</w:t>
      </w:r>
      <w:r>
        <w:rPr>
          <w:rFonts w:eastAsiaTheme="minorHAnsi"/>
          <w:sz w:val="20"/>
          <w:szCs w:val="20"/>
          <w:lang w:eastAsia="en-US"/>
        </w:rPr>
        <w:t>.</w:t>
      </w:r>
    </w:p>
    <w:p w:rsidR="002144EC" w:rsidRDefault="002144EC" w:rsidP="00B23F03">
      <w:pPr>
        <w:contextualSpacing/>
        <w:jc w:val="both"/>
        <w:rPr>
          <w:rFonts w:eastAsiaTheme="minorHAnsi"/>
          <w:sz w:val="20"/>
          <w:szCs w:val="20"/>
          <w:lang w:eastAsia="en-US"/>
        </w:rPr>
      </w:pPr>
    </w:p>
    <w:p w:rsidR="002144EC" w:rsidRDefault="002144EC" w:rsidP="00B23F03">
      <w:pPr>
        <w:contextualSpacing/>
        <w:jc w:val="both"/>
        <w:rPr>
          <w:rFonts w:eastAsiaTheme="minorHAnsi"/>
          <w:sz w:val="20"/>
          <w:szCs w:val="20"/>
          <w:lang w:eastAsia="en-US"/>
        </w:rPr>
      </w:pPr>
      <w:r>
        <w:rPr>
          <w:rFonts w:eastAsiaTheme="minorHAnsi"/>
          <w:sz w:val="20"/>
          <w:szCs w:val="20"/>
          <w:lang w:eastAsia="en-US"/>
        </w:rPr>
        <w:t>En tant que financement additionnel du PGAPF, le PIREDD Mai-Ndombe bénéficiera des instruments de sauvegardes du PGAPF déjà validés par la Banque mondiale. Ils seront néanmoins amendés pour prendre en compte les spécificités du district du Mai-Ndombe.</w:t>
      </w:r>
    </w:p>
    <w:p w:rsidR="002144EC" w:rsidRPr="00B23F03" w:rsidRDefault="002144EC" w:rsidP="00B23F03">
      <w:pPr>
        <w:contextualSpacing/>
        <w:jc w:val="both"/>
        <w:rPr>
          <w:rFonts w:eastAsiaTheme="minorHAnsi"/>
          <w:sz w:val="20"/>
          <w:szCs w:val="20"/>
          <w:lang w:eastAsia="en-US"/>
        </w:rPr>
      </w:pPr>
    </w:p>
    <w:p w:rsidR="00B23F03" w:rsidRPr="00B23F03" w:rsidRDefault="00B23F03" w:rsidP="00B23F03">
      <w:pPr>
        <w:contextualSpacing/>
        <w:jc w:val="both"/>
        <w:rPr>
          <w:rFonts w:eastAsiaTheme="minorHAnsi"/>
          <w:sz w:val="20"/>
          <w:szCs w:val="20"/>
          <w:lang w:eastAsia="en-US"/>
        </w:rPr>
      </w:pPr>
    </w:p>
    <w:p w:rsidR="00B23F03" w:rsidRPr="002144EC" w:rsidRDefault="002144EC" w:rsidP="00B23F03">
      <w:pPr>
        <w:contextualSpacing/>
        <w:jc w:val="both"/>
        <w:rPr>
          <w:rFonts w:eastAsiaTheme="minorHAnsi"/>
          <w:b/>
          <w:color w:val="2E74B5" w:themeColor="accent1" w:themeShade="BF"/>
          <w:sz w:val="20"/>
          <w:szCs w:val="20"/>
          <w:lang w:eastAsia="en-US"/>
        </w:rPr>
      </w:pPr>
      <w:r w:rsidRPr="002144EC">
        <w:rPr>
          <w:rFonts w:eastAsiaTheme="minorHAnsi"/>
          <w:b/>
          <w:color w:val="2E74B5" w:themeColor="accent1" w:themeShade="BF"/>
          <w:sz w:val="20"/>
          <w:szCs w:val="20"/>
          <w:lang w:eastAsia="en-US"/>
        </w:rPr>
        <w:t>P</w:t>
      </w:r>
      <w:r w:rsidR="00B23F03" w:rsidRPr="002144EC">
        <w:rPr>
          <w:rFonts w:eastAsiaTheme="minorHAnsi"/>
          <w:b/>
          <w:color w:val="2E74B5" w:themeColor="accent1" w:themeShade="BF"/>
          <w:sz w:val="20"/>
          <w:szCs w:val="20"/>
          <w:lang w:eastAsia="en-US"/>
        </w:rPr>
        <w:t xml:space="preserve">arties prenantes - </w:t>
      </w:r>
      <w:r w:rsidRPr="002144EC">
        <w:rPr>
          <w:rFonts w:eastAsiaTheme="minorHAnsi"/>
          <w:b/>
          <w:color w:val="2E74B5" w:themeColor="accent1" w:themeShade="BF"/>
          <w:sz w:val="20"/>
          <w:szCs w:val="20"/>
          <w:lang w:eastAsia="en-US"/>
        </w:rPr>
        <w:t>Risque modéré</w:t>
      </w:r>
    </w:p>
    <w:p w:rsidR="00B23F03" w:rsidRPr="00B23F03" w:rsidRDefault="00B23F03" w:rsidP="00B23F03">
      <w:pPr>
        <w:contextualSpacing/>
        <w:jc w:val="both"/>
        <w:rPr>
          <w:rFonts w:eastAsiaTheme="minorHAnsi"/>
          <w:sz w:val="20"/>
          <w:szCs w:val="20"/>
          <w:lang w:eastAsia="en-US"/>
        </w:rPr>
      </w:pPr>
    </w:p>
    <w:p w:rsidR="008F462A" w:rsidRDefault="006D4B73" w:rsidP="00B83CA9">
      <w:pPr>
        <w:contextualSpacing/>
        <w:jc w:val="both"/>
        <w:rPr>
          <w:rFonts w:eastAsiaTheme="minorHAnsi"/>
          <w:sz w:val="20"/>
          <w:szCs w:val="20"/>
          <w:lang w:eastAsia="en-US"/>
        </w:rPr>
      </w:pPr>
      <w:r>
        <w:rPr>
          <w:rFonts w:eastAsiaTheme="minorHAnsi"/>
          <w:sz w:val="20"/>
          <w:szCs w:val="20"/>
          <w:lang w:eastAsia="en-US"/>
        </w:rPr>
        <w:t>Les</w:t>
      </w:r>
      <w:r w:rsidR="00B23F03" w:rsidRPr="00B23F03">
        <w:rPr>
          <w:rFonts w:eastAsiaTheme="minorHAnsi"/>
          <w:sz w:val="20"/>
          <w:szCs w:val="20"/>
          <w:lang w:eastAsia="en-US"/>
        </w:rPr>
        <w:t xml:space="preserve"> consultations avec </w:t>
      </w:r>
      <w:r>
        <w:rPr>
          <w:rFonts w:eastAsiaTheme="minorHAnsi"/>
          <w:sz w:val="20"/>
          <w:szCs w:val="20"/>
          <w:lang w:eastAsia="en-US"/>
        </w:rPr>
        <w:t>les</w:t>
      </w:r>
      <w:r w:rsidR="00B23F03" w:rsidRPr="00B23F03">
        <w:rPr>
          <w:rFonts w:eastAsiaTheme="minorHAnsi"/>
          <w:sz w:val="20"/>
          <w:szCs w:val="20"/>
          <w:lang w:eastAsia="en-US"/>
        </w:rPr>
        <w:t xml:space="preserve"> parties prenantes ont</w:t>
      </w:r>
      <w:r>
        <w:rPr>
          <w:rFonts w:eastAsiaTheme="minorHAnsi"/>
          <w:sz w:val="20"/>
          <w:szCs w:val="20"/>
          <w:lang w:eastAsia="en-US"/>
        </w:rPr>
        <w:t xml:space="preserve"> été nombreuses. Elles ont eu lieu</w:t>
      </w:r>
      <w:r w:rsidR="00B23F03" w:rsidRPr="00B23F03">
        <w:rPr>
          <w:rFonts w:eastAsiaTheme="minorHAnsi"/>
          <w:sz w:val="20"/>
          <w:szCs w:val="20"/>
          <w:lang w:eastAsia="en-US"/>
        </w:rPr>
        <w:t xml:space="preserve"> à différents niveaux, e</w:t>
      </w:r>
      <w:r>
        <w:rPr>
          <w:rFonts w:eastAsiaTheme="minorHAnsi"/>
          <w:sz w:val="20"/>
          <w:szCs w:val="20"/>
          <w:lang w:eastAsia="en-US"/>
        </w:rPr>
        <w:t xml:space="preserve">t dans le cadre de processus multiples (préparation du PGAPF, </w:t>
      </w:r>
      <w:r w:rsidR="00B23F03" w:rsidRPr="00B23F03">
        <w:rPr>
          <w:rFonts w:eastAsiaTheme="minorHAnsi"/>
          <w:sz w:val="20"/>
          <w:szCs w:val="20"/>
          <w:lang w:eastAsia="en-US"/>
        </w:rPr>
        <w:t>processus</w:t>
      </w:r>
      <w:r>
        <w:rPr>
          <w:rFonts w:eastAsiaTheme="minorHAnsi"/>
          <w:sz w:val="20"/>
          <w:szCs w:val="20"/>
          <w:lang w:eastAsia="en-US"/>
        </w:rPr>
        <w:t xml:space="preserve"> national de préparation à la de REDD</w:t>
      </w:r>
      <w:r w:rsidR="00B23F03" w:rsidRPr="00B23F03">
        <w:rPr>
          <w:rFonts w:eastAsiaTheme="minorHAnsi"/>
          <w:sz w:val="20"/>
          <w:szCs w:val="20"/>
          <w:lang w:eastAsia="en-US"/>
        </w:rPr>
        <w:t>+</w:t>
      </w:r>
      <w:r>
        <w:rPr>
          <w:rFonts w:eastAsiaTheme="minorHAnsi"/>
          <w:sz w:val="20"/>
          <w:szCs w:val="20"/>
          <w:lang w:eastAsia="en-US"/>
        </w:rPr>
        <w:t xml:space="preserve">, </w:t>
      </w:r>
      <w:r w:rsidR="00B23F03" w:rsidRPr="00B23F03">
        <w:rPr>
          <w:rFonts w:eastAsiaTheme="minorHAnsi"/>
          <w:sz w:val="20"/>
          <w:szCs w:val="20"/>
          <w:lang w:eastAsia="en-US"/>
        </w:rPr>
        <w:t xml:space="preserve"> conception du programme </w:t>
      </w:r>
      <w:r>
        <w:rPr>
          <w:rFonts w:eastAsiaTheme="minorHAnsi"/>
          <w:sz w:val="20"/>
          <w:szCs w:val="20"/>
          <w:lang w:eastAsia="en-US"/>
        </w:rPr>
        <w:t xml:space="preserve">RE du </w:t>
      </w:r>
      <w:r w:rsidR="0009077D">
        <w:rPr>
          <w:rFonts w:eastAsiaTheme="minorHAnsi"/>
          <w:sz w:val="20"/>
          <w:szCs w:val="20"/>
          <w:lang w:eastAsia="en-US"/>
        </w:rPr>
        <w:t>Mai-Ndombe</w:t>
      </w:r>
      <w:r>
        <w:rPr>
          <w:rFonts w:eastAsiaTheme="minorHAnsi"/>
          <w:sz w:val="20"/>
          <w:szCs w:val="20"/>
          <w:lang w:eastAsia="en-US"/>
        </w:rPr>
        <w:t>)</w:t>
      </w:r>
      <w:r w:rsidR="00B23F03" w:rsidRPr="00B23F03">
        <w:rPr>
          <w:rFonts w:eastAsiaTheme="minorHAnsi"/>
          <w:sz w:val="20"/>
          <w:szCs w:val="20"/>
          <w:lang w:eastAsia="en-US"/>
        </w:rPr>
        <w:t>. Depuis le début du processus de préparation à la REDD +, le gouvernement a établi un dialogue constructif avec la société civile et les organisations</w:t>
      </w:r>
      <w:r w:rsidR="008F462A">
        <w:rPr>
          <w:rFonts w:eastAsiaTheme="minorHAnsi"/>
          <w:sz w:val="20"/>
          <w:szCs w:val="20"/>
          <w:lang w:eastAsia="en-US"/>
        </w:rPr>
        <w:t xml:space="preserve"> des Peuples Autochtones, et l</w:t>
      </w:r>
      <w:r>
        <w:rPr>
          <w:rFonts w:eastAsiaTheme="minorHAnsi"/>
          <w:sz w:val="20"/>
          <w:szCs w:val="20"/>
          <w:lang w:eastAsia="en-US"/>
        </w:rPr>
        <w:t>a RDC peut aujourd’hui se féliciter de l’existence de  deux plateformes nationales</w:t>
      </w:r>
      <w:r w:rsidR="00B23F03" w:rsidRPr="00B23F03">
        <w:rPr>
          <w:rFonts w:eastAsiaTheme="minorHAnsi"/>
          <w:sz w:val="20"/>
          <w:szCs w:val="20"/>
          <w:lang w:eastAsia="en-US"/>
        </w:rPr>
        <w:t>, le «Groupe de t</w:t>
      </w:r>
      <w:r>
        <w:rPr>
          <w:rFonts w:eastAsiaTheme="minorHAnsi"/>
          <w:sz w:val="20"/>
          <w:szCs w:val="20"/>
          <w:lang w:eastAsia="en-US"/>
        </w:rPr>
        <w:t>ravail sur le climat et la REDD+ »</w:t>
      </w:r>
      <w:r w:rsidR="00B23F03" w:rsidRPr="00B23F03">
        <w:rPr>
          <w:rFonts w:eastAsiaTheme="minorHAnsi"/>
          <w:sz w:val="20"/>
          <w:szCs w:val="20"/>
          <w:lang w:eastAsia="en-US"/>
        </w:rPr>
        <w:t xml:space="preserve"> (GTCR</w:t>
      </w:r>
      <w:r w:rsidR="00732E44">
        <w:rPr>
          <w:rFonts w:eastAsiaTheme="minorHAnsi"/>
          <w:sz w:val="20"/>
          <w:szCs w:val="20"/>
          <w:lang w:eastAsia="en-US"/>
        </w:rPr>
        <w:t xml:space="preserve"> rénové</w:t>
      </w:r>
      <w:r w:rsidR="00B23F03" w:rsidRPr="00B23F03">
        <w:rPr>
          <w:rFonts w:eastAsiaTheme="minorHAnsi"/>
          <w:sz w:val="20"/>
          <w:szCs w:val="20"/>
          <w:lang w:eastAsia="en-US"/>
        </w:rPr>
        <w:t>)</w:t>
      </w:r>
      <w:r>
        <w:rPr>
          <w:rFonts w:eastAsiaTheme="minorHAnsi"/>
          <w:sz w:val="20"/>
          <w:szCs w:val="20"/>
          <w:lang w:eastAsia="en-US"/>
        </w:rPr>
        <w:t xml:space="preserve"> et le « Réseau des Populations Autochtones pour la Gestion Durable des Ecosystèmes F</w:t>
      </w:r>
      <w:r w:rsidRPr="006D4B73">
        <w:rPr>
          <w:rFonts w:eastAsiaTheme="minorHAnsi"/>
          <w:sz w:val="20"/>
          <w:szCs w:val="20"/>
          <w:lang w:eastAsia="en-US"/>
        </w:rPr>
        <w:t>orestiers</w:t>
      </w:r>
      <w:r w:rsidR="008F462A">
        <w:rPr>
          <w:rFonts w:eastAsiaTheme="minorHAnsi"/>
          <w:sz w:val="20"/>
          <w:szCs w:val="20"/>
          <w:lang w:eastAsia="en-US"/>
        </w:rPr>
        <w:t xml:space="preserve"> » (REPALEF), reconnues, légitimes et bien structurées. </w:t>
      </w:r>
      <w:r>
        <w:rPr>
          <w:rFonts w:eastAsiaTheme="minorHAnsi"/>
          <w:sz w:val="20"/>
          <w:szCs w:val="20"/>
          <w:lang w:eastAsia="en-US"/>
        </w:rPr>
        <w:t xml:space="preserve"> </w:t>
      </w:r>
      <w:r w:rsidR="008F462A">
        <w:rPr>
          <w:rFonts w:eastAsiaTheme="minorHAnsi"/>
          <w:sz w:val="20"/>
          <w:szCs w:val="20"/>
          <w:lang w:eastAsia="en-US"/>
        </w:rPr>
        <w:t>La RDC dispose ainsi d’interlocuteurs de choix dans toutes les phases de concertation et de discussions nécessaires à la conception et mise en œuvre de projets PIREDD. L</w:t>
      </w:r>
      <w:r w:rsidR="008F462A" w:rsidRPr="008F462A">
        <w:rPr>
          <w:rFonts w:eastAsiaTheme="minorHAnsi"/>
          <w:sz w:val="20"/>
          <w:szCs w:val="20"/>
          <w:lang w:eastAsia="en-US"/>
        </w:rPr>
        <w:t>’UC-PIF</w:t>
      </w:r>
      <w:r w:rsidR="008F462A">
        <w:rPr>
          <w:rFonts w:eastAsiaTheme="minorHAnsi"/>
          <w:sz w:val="20"/>
          <w:szCs w:val="20"/>
          <w:lang w:eastAsia="en-US"/>
        </w:rPr>
        <w:t xml:space="preserve"> continuera à favoriser les échanges avec ces deux plateformes.</w:t>
      </w:r>
    </w:p>
    <w:p w:rsidR="00B23F03" w:rsidRPr="00B23F03" w:rsidRDefault="00B23F03" w:rsidP="006D4B73">
      <w:pPr>
        <w:contextualSpacing/>
        <w:jc w:val="both"/>
        <w:rPr>
          <w:rFonts w:eastAsiaTheme="minorHAnsi"/>
          <w:sz w:val="20"/>
          <w:szCs w:val="20"/>
          <w:lang w:eastAsia="en-US"/>
        </w:rPr>
      </w:pPr>
    </w:p>
    <w:p w:rsidR="00D33E12" w:rsidRDefault="00D33E12">
      <w:pPr>
        <w:spacing w:after="160" w:line="259" w:lineRule="auto"/>
        <w:rPr>
          <w:rFonts w:eastAsiaTheme="minorHAnsi"/>
          <w:sz w:val="20"/>
          <w:szCs w:val="20"/>
          <w:lang w:eastAsia="en-US"/>
        </w:rPr>
      </w:pPr>
      <w:r>
        <w:rPr>
          <w:rFonts w:eastAsiaTheme="minorHAnsi"/>
          <w:sz w:val="20"/>
          <w:szCs w:val="20"/>
          <w:lang w:eastAsia="en-US"/>
        </w:rPr>
        <w:br w:type="page"/>
      </w:r>
    </w:p>
    <w:p w:rsidR="002E53FA" w:rsidRPr="000F2DE3" w:rsidRDefault="00837737" w:rsidP="002E53FA">
      <w:pPr>
        <w:contextualSpacing/>
        <w:jc w:val="both"/>
        <w:rPr>
          <w:rFonts w:eastAsiaTheme="minorHAnsi"/>
          <w:sz w:val="20"/>
          <w:szCs w:val="20"/>
          <w:lang w:eastAsia="en-US"/>
        </w:rPr>
      </w:pPr>
      <w:r w:rsidRPr="000F2DE3">
        <w:rPr>
          <w:noProof/>
        </w:rPr>
        <w:lastRenderedPageBreak/>
        <w:drawing>
          <wp:inline distT="0" distB="0" distL="0" distR="0">
            <wp:extent cx="6035040" cy="2621281"/>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0492" t="21303" r="29958" b="48159"/>
                    <a:stretch/>
                  </pic:blipFill>
                  <pic:spPr bwMode="auto">
                    <a:xfrm>
                      <a:off x="0" y="0"/>
                      <a:ext cx="6105100" cy="2651711"/>
                    </a:xfrm>
                    <a:prstGeom prst="rect">
                      <a:avLst/>
                    </a:prstGeom>
                    <a:ln>
                      <a:noFill/>
                    </a:ln>
                    <a:extLst>
                      <a:ext uri="{53640926-AAD7-44D8-BBD7-CCE9431645EC}">
                        <a14:shadowObscured xmlns:a14="http://schemas.microsoft.com/office/drawing/2010/main"/>
                      </a:ext>
                    </a:extLst>
                  </pic:spPr>
                </pic:pic>
              </a:graphicData>
            </a:graphic>
          </wp:inline>
        </w:drawing>
      </w:r>
    </w:p>
    <w:p w:rsidR="00D544C7" w:rsidRPr="000F2DE3" w:rsidRDefault="00D544C7" w:rsidP="00D544C7">
      <w:pPr>
        <w:pStyle w:val="Heading1"/>
        <w:numPr>
          <w:ilvl w:val="0"/>
          <w:numId w:val="0"/>
        </w:numPr>
        <w:rPr>
          <w:rFonts w:asciiTheme="minorHAnsi" w:eastAsiaTheme="minorHAnsi" w:hAnsiTheme="minorHAnsi" w:cstheme="minorBidi"/>
          <w:color w:val="auto"/>
          <w:sz w:val="20"/>
          <w:szCs w:val="20"/>
          <w:lang w:eastAsia="en-US"/>
        </w:rPr>
      </w:pPr>
      <w:bookmarkStart w:id="35" w:name="_Toc469036931"/>
      <w:r w:rsidRPr="000F2DE3">
        <w:rPr>
          <w:rFonts w:asciiTheme="minorHAnsi" w:eastAsiaTheme="minorHAnsi" w:hAnsiTheme="minorHAnsi" w:cstheme="minorBidi"/>
          <w:color w:val="auto"/>
          <w:sz w:val="20"/>
          <w:szCs w:val="20"/>
          <w:lang w:eastAsia="en-US"/>
        </w:rPr>
        <w:t>Exemples de mesures d’atténuation des risques identifiées, issues des leçons apprises de projets passés.</w:t>
      </w:r>
      <w:bookmarkEnd w:id="35"/>
    </w:p>
    <w:p w:rsidR="00D544C7" w:rsidRPr="000F2DE3" w:rsidRDefault="00D544C7" w:rsidP="00D544C7">
      <w:pPr>
        <w:rPr>
          <w:lang w:eastAsia="en-US"/>
        </w:rPr>
      </w:pPr>
    </w:p>
    <w:tbl>
      <w:tblPr>
        <w:tblStyle w:val="TableGrid"/>
        <w:tblW w:w="0" w:type="auto"/>
        <w:tblInd w:w="85" w:type="dxa"/>
        <w:tblLook w:val="04A0" w:firstRow="1" w:lastRow="0" w:firstColumn="1" w:lastColumn="0" w:noHBand="0" w:noVBand="1"/>
      </w:tblPr>
      <w:tblGrid>
        <w:gridCol w:w="4680"/>
        <w:gridCol w:w="4680"/>
      </w:tblGrid>
      <w:tr w:rsidR="00D544C7" w:rsidRPr="000F2DE3" w:rsidTr="00C7512C">
        <w:tc>
          <w:tcPr>
            <w:tcW w:w="4680" w:type="dxa"/>
            <w:shd w:val="clear" w:color="auto" w:fill="DEEAF6" w:themeFill="accent1" w:themeFillTint="33"/>
            <w:vAlign w:val="center"/>
          </w:tcPr>
          <w:p w:rsidR="00D544C7" w:rsidRPr="000F2DE3" w:rsidRDefault="00D544C7" w:rsidP="00C7512C">
            <w:pPr>
              <w:spacing w:after="0"/>
              <w:jc w:val="center"/>
              <w:rPr>
                <w:b/>
                <w:lang w:eastAsia="en-US"/>
              </w:rPr>
            </w:pPr>
            <w:r w:rsidRPr="000F2DE3">
              <w:rPr>
                <w:b/>
                <w:lang w:eastAsia="en-US"/>
              </w:rPr>
              <w:t>Catégorie de risque</w:t>
            </w:r>
          </w:p>
        </w:tc>
        <w:tc>
          <w:tcPr>
            <w:tcW w:w="4680" w:type="dxa"/>
            <w:shd w:val="clear" w:color="auto" w:fill="DEEAF6" w:themeFill="accent1" w:themeFillTint="33"/>
            <w:vAlign w:val="center"/>
          </w:tcPr>
          <w:p w:rsidR="00D544C7" w:rsidRPr="000F2DE3" w:rsidRDefault="00D544C7" w:rsidP="00C7512C">
            <w:pPr>
              <w:spacing w:after="0"/>
              <w:jc w:val="center"/>
              <w:rPr>
                <w:b/>
                <w:lang w:eastAsia="en-US"/>
              </w:rPr>
            </w:pPr>
            <w:r w:rsidRPr="000F2DE3">
              <w:rPr>
                <w:b/>
                <w:lang w:eastAsia="en-US"/>
              </w:rPr>
              <w:t>Mesure d’atténuation</w:t>
            </w:r>
          </w:p>
        </w:tc>
      </w:tr>
      <w:tr w:rsidR="00D544C7" w:rsidRPr="000F2DE3" w:rsidTr="00C7512C">
        <w:tc>
          <w:tcPr>
            <w:tcW w:w="4680" w:type="dxa"/>
          </w:tcPr>
          <w:p w:rsidR="00D544C7" w:rsidRPr="000F2DE3" w:rsidRDefault="00D544C7" w:rsidP="00C7512C">
            <w:pPr>
              <w:spacing w:after="0"/>
              <w:rPr>
                <w:lang w:eastAsia="en-US"/>
              </w:rPr>
            </w:pPr>
            <w:r w:rsidRPr="000F2DE3">
              <w:rPr>
                <w:lang w:eastAsia="en-US"/>
              </w:rPr>
              <w:t>Politique et gouvernance</w:t>
            </w:r>
          </w:p>
        </w:tc>
        <w:tc>
          <w:tcPr>
            <w:tcW w:w="4680" w:type="dxa"/>
          </w:tcPr>
          <w:p w:rsidR="00D544C7" w:rsidRPr="000F2DE3" w:rsidRDefault="00C7512C" w:rsidP="00C7512C">
            <w:pPr>
              <w:spacing w:after="0"/>
              <w:rPr>
                <w:lang w:eastAsia="en-US"/>
              </w:rPr>
            </w:pPr>
            <w:r w:rsidRPr="000F2DE3">
              <w:rPr>
                <w:lang w:eastAsia="en-US"/>
              </w:rPr>
              <w:t>Comités de pilotage aux niveaux national et provincial</w:t>
            </w:r>
          </w:p>
        </w:tc>
      </w:tr>
      <w:tr w:rsidR="00D544C7" w:rsidRPr="000F2DE3" w:rsidTr="00C7512C">
        <w:tc>
          <w:tcPr>
            <w:tcW w:w="4680" w:type="dxa"/>
          </w:tcPr>
          <w:p w:rsidR="00D544C7" w:rsidRPr="000F2DE3" w:rsidRDefault="00D544C7" w:rsidP="00C7512C">
            <w:pPr>
              <w:spacing w:after="0"/>
              <w:rPr>
                <w:lang w:eastAsia="en-US"/>
              </w:rPr>
            </w:pPr>
            <w:r w:rsidRPr="000F2DE3">
              <w:rPr>
                <w:lang w:eastAsia="en-US"/>
              </w:rPr>
              <w:t>Macroéconomique</w:t>
            </w:r>
          </w:p>
        </w:tc>
        <w:tc>
          <w:tcPr>
            <w:tcW w:w="4680" w:type="dxa"/>
          </w:tcPr>
          <w:p w:rsidR="00D544C7" w:rsidRPr="000F2DE3" w:rsidRDefault="00D544C7" w:rsidP="00C7512C">
            <w:pPr>
              <w:spacing w:after="0"/>
              <w:rPr>
                <w:lang w:eastAsia="en-US"/>
              </w:rPr>
            </w:pPr>
            <w:r w:rsidRPr="000F2DE3">
              <w:rPr>
                <w:lang w:eastAsia="en-US"/>
              </w:rPr>
              <w:t>Non applicable</w:t>
            </w:r>
          </w:p>
        </w:tc>
      </w:tr>
      <w:tr w:rsidR="00D544C7" w:rsidRPr="000F2DE3" w:rsidTr="00C7512C">
        <w:tc>
          <w:tcPr>
            <w:tcW w:w="4680" w:type="dxa"/>
          </w:tcPr>
          <w:p w:rsidR="00D544C7" w:rsidRPr="000F2DE3" w:rsidRDefault="00D544C7" w:rsidP="00C7512C">
            <w:pPr>
              <w:spacing w:after="0"/>
              <w:rPr>
                <w:lang w:eastAsia="en-US"/>
              </w:rPr>
            </w:pPr>
            <w:r w:rsidRPr="000F2DE3">
              <w:rPr>
                <w:lang w:eastAsia="en-US"/>
              </w:rPr>
              <w:t>Stratégies et politiques sectorielles</w:t>
            </w:r>
          </w:p>
        </w:tc>
        <w:tc>
          <w:tcPr>
            <w:tcW w:w="4680" w:type="dxa"/>
          </w:tcPr>
          <w:p w:rsidR="00D544C7" w:rsidRPr="000F2DE3" w:rsidRDefault="00C7512C" w:rsidP="00C7512C">
            <w:pPr>
              <w:spacing w:after="0"/>
              <w:rPr>
                <w:lang w:eastAsia="en-US"/>
              </w:rPr>
            </w:pPr>
            <w:r w:rsidRPr="000F2DE3">
              <w:rPr>
                <w:lang w:eastAsia="en-US"/>
              </w:rPr>
              <w:t>Non applicable</w:t>
            </w:r>
          </w:p>
        </w:tc>
      </w:tr>
      <w:tr w:rsidR="00D544C7" w:rsidRPr="000F2DE3" w:rsidTr="00C7512C">
        <w:tc>
          <w:tcPr>
            <w:tcW w:w="4680" w:type="dxa"/>
          </w:tcPr>
          <w:p w:rsidR="00D544C7" w:rsidRPr="000F2DE3" w:rsidRDefault="00D544C7" w:rsidP="00C7512C">
            <w:pPr>
              <w:spacing w:after="0"/>
              <w:rPr>
                <w:lang w:eastAsia="en-US"/>
              </w:rPr>
            </w:pPr>
            <w:r w:rsidRPr="000F2DE3">
              <w:rPr>
                <w:lang w:eastAsia="en-US"/>
              </w:rPr>
              <w:t>Conception technique du programme</w:t>
            </w:r>
          </w:p>
        </w:tc>
        <w:tc>
          <w:tcPr>
            <w:tcW w:w="4680" w:type="dxa"/>
          </w:tcPr>
          <w:p w:rsidR="00D544C7" w:rsidRPr="000F2DE3" w:rsidRDefault="00C7512C" w:rsidP="00C7512C">
            <w:pPr>
              <w:spacing w:after="0"/>
              <w:rPr>
                <w:lang w:eastAsia="en-US"/>
              </w:rPr>
            </w:pPr>
            <w:r w:rsidRPr="000F2DE3">
              <w:rPr>
                <w:lang w:eastAsia="en-US"/>
              </w:rPr>
              <w:t>Non applicable</w:t>
            </w:r>
          </w:p>
        </w:tc>
      </w:tr>
      <w:tr w:rsidR="00D544C7" w:rsidRPr="000F2DE3" w:rsidTr="00C7512C">
        <w:tc>
          <w:tcPr>
            <w:tcW w:w="4680" w:type="dxa"/>
          </w:tcPr>
          <w:p w:rsidR="00D544C7" w:rsidRPr="000F2DE3" w:rsidRDefault="00D544C7" w:rsidP="00C7512C">
            <w:pPr>
              <w:spacing w:after="0"/>
              <w:rPr>
                <w:lang w:eastAsia="en-US"/>
              </w:rPr>
            </w:pPr>
            <w:r w:rsidRPr="000F2DE3">
              <w:rPr>
                <w:lang w:eastAsia="en-US"/>
              </w:rPr>
              <w:t>Capacités institutionnelles pour la mise ne œuvre et durabilité</w:t>
            </w:r>
          </w:p>
        </w:tc>
        <w:tc>
          <w:tcPr>
            <w:tcW w:w="4680" w:type="dxa"/>
          </w:tcPr>
          <w:p w:rsidR="00C7512C" w:rsidRPr="000F2DE3" w:rsidRDefault="00C7512C" w:rsidP="00C7512C">
            <w:pPr>
              <w:spacing w:after="0"/>
              <w:rPr>
                <w:lang w:eastAsia="en-US"/>
              </w:rPr>
            </w:pPr>
            <w:r w:rsidRPr="000F2DE3">
              <w:rPr>
                <w:lang w:eastAsia="en-US"/>
              </w:rPr>
              <w:t>Sélection</w:t>
            </w:r>
            <w:r w:rsidR="00D544C7" w:rsidRPr="000F2DE3">
              <w:rPr>
                <w:lang w:eastAsia="en-US"/>
              </w:rPr>
              <w:t xml:space="preserve"> d’</w:t>
            </w:r>
            <w:r w:rsidRPr="000F2DE3">
              <w:rPr>
                <w:lang w:eastAsia="en-US"/>
              </w:rPr>
              <w:t>une agence locale d’exécution pour la mise en</w:t>
            </w:r>
            <w:r w:rsidR="00D544C7" w:rsidRPr="000F2DE3">
              <w:rPr>
                <w:lang w:eastAsia="en-US"/>
              </w:rPr>
              <w:t xml:space="preserve"> œuvre</w:t>
            </w:r>
            <w:r w:rsidRPr="000F2DE3">
              <w:rPr>
                <w:lang w:eastAsia="en-US"/>
              </w:rPr>
              <w:t xml:space="preserve"> des activités sous contrat de maitrise d’ouvrage déléguée</w:t>
            </w:r>
          </w:p>
          <w:p w:rsidR="00D544C7" w:rsidRPr="000F2DE3" w:rsidRDefault="00D544C7" w:rsidP="00C7512C">
            <w:pPr>
              <w:spacing w:after="0"/>
              <w:rPr>
                <w:lang w:eastAsia="en-US"/>
              </w:rPr>
            </w:pPr>
            <w:r w:rsidRPr="000F2DE3">
              <w:rPr>
                <w:lang w:eastAsia="en-US"/>
              </w:rPr>
              <w:t xml:space="preserve"> </w:t>
            </w:r>
          </w:p>
          <w:p w:rsidR="00C7512C" w:rsidRPr="000F2DE3" w:rsidRDefault="00C7512C" w:rsidP="00C7512C">
            <w:pPr>
              <w:spacing w:after="0"/>
              <w:rPr>
                <w:lang w:eastAsia="en-US"/>
              </w:rPr>
            </w:pPr>
            <w:r w:rsidRPr="000F2DE3">
              <w:rPr>
                <w:lang w:eastAsia="en-US"/>
              </w:rPr>
              <w:t>Alignement du PIREDD Mai-Ndombe avec le Programme de Réduction des Emissions du Mai-Ndombe pour la poursuite du financement des activités au-delà de la durée de vie du projet</w:t>
            </w:r>
          </w:p>
        </w:tc>
      </w:tr>
      <w:tr w:rsidR="00D544C7" w:rsidRPr="000F2DE3" w:rsidTr="00C7512C">
        <w:tc>
          <w:tcPr>
            <w:tcW w:w="4680" w:type="dxa"/>
          </w:tcPr>
          <w:p w:rsidR="00D544C7" w:rsidRPr="000F2DE3" w:rsidRDefault="00D544C7" w:rsidP="00C7512C">
            <w:pPr>
              <w:spacing w:after="0"/>
              <w:rPr>
                <w:lang w:eastAsia="en-US"/>
              </w:rPr>
            </w:pPr>
            <w:r w:rsidRPr="000F2DE3">
              <w:rPr>
                <w:lang w:eastAsia="en-US"/>
              </w:rPr>
              <w:t>Arrangements fiduciaires</w:t>
            </w:r>
          </w:p>
        </w:tc>
        <w:tc>
          <w:tcPr>
            <w:tcW w:w="4680" w:type="dxa"/>
          </w:tcPr>
          <w:p w:rsidR="00D544C7" w:rsidRPr="000F2DE3" w:rsidRDefault="00C7512C" w:rsidP="00C7512C">
            <w:pPr>
              <w:spacing w:after="0"/>
              <w:rPr>
                <w:lang w:eastAsia="en-US"/>
              </w:rPr>
            </w:pPr>
            <w:r w:rsidRPr="000F2DE3">
              <w:rPr>
                <w:lang w:eastAsia="en-US"/>
              </w:rPr>
              <w:t>Arrangements fiduciaires renforcés pour la supervision des moyens mis en œuvre par l’UC-PIF (Cf. annexe 6)</w:t>
            </w:r>
          </w:p>
        </w:tc>
      </w:tr>
      <w:tr w:rsidR="00D544C7" w:rsidRPr="000F2DE3" w:rsidTr="00C7512C">
        <w:tc>
          <w:tcPr>
            <w:tcW w:w="4680" w:type="dxa"/>
          </w:tcPr>
          <w:p w:rsidR="00D544C7" w:rsidRPr="000F2DE3" w:rsidRDefault="00D544C7" w:rsidP="00C7512C">
            <w:pPr>
              <w:spacing w:after="0"/>
              <w:rPr>
                <w:lang w:eastAsia="en-US"/>
              </w:rPr>
            </w:pPr>
            <w:r w:rsidRPr="000F2DE3">
              <w:rPr>
                <w:lang w:eastAsia="en-US"/>
              </w:rPr>
              <w:t>Environnemental et social</w:t>
            </w:r>
          </w:p>
        </w:tc>
        <w:tc>
          <w:tcPr>
            <w:tcW w:w="4680" w:type="dxa"/>
          </w:tcPr>
          <w:p w:rsidR="00D544C7" w:rsidRPr="000F2DE3" w:rsidRDefault="00C7512C" w:rsidP="00C7512C">
            <w:pPr>
              <w:spacing w:after="0"/>
              <w:rPr>
                <w:lang w:eastAsia="en-US"/>
              </w:rPr>
            </w:pPr>
            <w:r w:rsidRPr="000F2DE3">
              <w:rPr>
                <w:lang w:eastAsia="en-US"/>
              </w:rPr>
              <w:t xml:space="preserve">Experts dédiés pour la bonne mise en œuvre des instruments de sauvegardes sociales et environnementales, préalablement validés par la Banque mondiale </w:t>
            </w:r>
          </w:p>
        </w:tc>
      </w:tr>
      <w:tr w:rsidR="00D544C7" w:rsidTr="00C7512C">
        <w:tc>
          <w:tcPr>
            <w:tcW w:w="4680" w:type="dxa"/>
          </w:tcPr>
          <w:p w:rsidR="00D544C7" w:rsidRPr="000F2DE3" w:rsidRDefault="00D544C7" w:rsidP="00C7512C">
            <w:pPr>
              <w:spacing w:after="0"/>
              <w:rPr>
                <w:lang w:eastAsia="en-US"/>
              </w:rPr>
            </w:pPr>
            <w:r w:rsidRPr="000F2DE3">
              <w:rPr>
                <w:lang w:eastAsia="en-US"/>
              </w:rPr>
              <w:t>Parties prenantes</w:t>
            </w:r>
          </w:p>
        </w:tc>
        <w:tc>
          <w:tcPr>
            <w:tcW w:w="4680" w:type="dxa"/>
          </w:tcPr>
          <w:p w:rsidR="00D544C7" w:rsidRDefault="00C7512C" w:rsidP="00C7512C">
            <w:pPr>
              <w:spacing w:after="0"/>
              <w:rPr>
                <w:lang w:eastAsia="en-US"/>
              </w:rPr>
            </w:pPr>
            <w:r w:rsidRPr="000F2DE3">
              <w:rPr>
                <w:lang w:eastAsia="en-US"/>
              </w:rPr>
              <w:t>Structuration du milieu au travers notamment de la structuration des CLD et CART</w:t>
            </w:r>
          </w:p>
        </w:tc>
      </w:tr>
    </w:tbl>
    <w:p w:rsidR="00D544C7" w:rsidRDefault="00D544C7" w:rsidP="00D544C7">
      <w:pPr>
        <w:rPr>
          <w:lang w:eastAsia="en-US"/>
        </w:rPr>
      </w:pPr>
    </w:p>
    <w:p w:rsidR="00D544C7" w:rsidRPr="00D544C7" w:rsidRDefault="00D544C7" w:rsidP="00D544C7">
      <w:pPr>
        <w:rPr>
          <w:lang w:eastAsia="en-US"/>
        </w:rPr>
      </w:pPr>
    </w:p>
    <w:p w:rsidR="00986D23" w:rsidRDefault="00986D23">
      <w:pPr>
        <w:spacing w:after="160" w:line="259" w:lineRule="auto"/>
        <w:rPr>
          <w:rFonts w:asciiTheme="majorHAnsi" w:eastAsiaTheme="majorEastAsia" w:hAnsiTheme="majorHAnsi" w:cstheme="majorBidi"/>
          <w:color w:val="2E74B5" w:themeColor="accent1" w:themeShade="BF"/>
          <w:sz w:val="32"/>
          <w:szCs w:val="32"/>
        </w:rPr>
      </w:pPr>
      <w:r>
        <w:br w:type="page"/>
      </w:r>
    </w:p>
    <w:p w:rsidR="009B30E2" w:rsidRPr="00401544" w:rsidRDefault="009B30E2" w:rsidP="00B277C0">
      <w:pPr>
        <w:pStyle w:val="Heading1"/>
        <w:ind w:left="360"/>
      </w:pPr>
      <w:bookmarkStart w:id="36" w:name="_Toc469036932"/>
      <w:r w:rsidRPr="00401544">
        <w:lastRenderedPageBreak/>
        <w:t>Gestion socio-environnementale : risques et mesures d’atténuation</w:t>
      </w:r>
      <w:bookmarkEnd w:id="36"/>
    </w:p>
    <w:p w:rsidR="004C5C9A" w:rsidRPr="00056DE0" w:rsidRDefault="004C5C9A" w:rsidP="00C40F71">
      <w:pPr>
        <w:contextualSpacing/>
        <w:jc w:val="both"/>
        <w:rPr>
          <w:sz w:val="20"/>
          <w:szCs w:val="20"/>
        </w:rPr>
      </w:pPr>
    </w:p>
    <w:p w:rsidR="00590DB3" w:rsidRDefault="00C35CAE" w:rsidP="00590DB3">
      <w:pPr>
        <w:autoSpaceDE w:val="0"/>
        <w:autoSpaceDN w:val="0"/>
        <w:adjustRightInd w:val="0"/>
        <w:spacing w:after="0" w:line="240" w:lineRule="auto"/>
        <w:jc w:val="both"/>
        <w:rPr>
          <w:sz w:val="20"/>
          <w:szCs w:val="20"/>
          <w:lang w:val="fr-CD"/>
        </w:rPr>
      </w:pPr>
      <w:r w:rsidRPr="00C35CAE">
        <w:rPr>
          <w:sz w:val="20"/>
          <w:szCs w:val="20"/>
          <w:lang w:val="fr-CD"/>
        </w:rPr>
        <w:t>Globalement, les impacts sociaux et environnementaux de ce projet devraient être positifs, en term</w:t>
      </w:r>
      <w:r w:rsidR="00B65273">
        <w:rPr>
          <w:sz w:val="20"/>
          <w:szCs w:val="20"/>
          <w:lang w:val="fr-CD"/>
        </w:rPr>
        <w:t>es de création d'emplois d</w:t>
      </w:r>
      <w:r w:rsidRPr="00C35CAE">
        <w:rPr>
          <w:sz w:val="20"/>
          <w:szCs w:val="20"/>
          <w:lang w:val="fr-CD"/>
        </w:rPr>
        <w:t>’augmentation des revenus</w:t>
      </w:r>
      <w:r w:rsidR="00B65273">
        <w:rPr>
          <w:sz w:val="20"/>
          <w:szCs w:val="20"/>
          <w:lang w:val="fr-CD"/>
        </w:rPr>
        <w:t xml:space="preserve"> pour les communautés rurales, d</w:t>
      </w:r>
      <w:r w:rsidRPr="00C35CAE">
        <w:rPr>
          <w:sz w:val="20"/>
          <w:szCs w:val="20"/>
          <w:lang w:val="fr-CD"/>
        </w:rPr>
        <w:t xml:space="preserve">'autonomisation des communautés forestières, </w:t>
      </w:r>
      <w:r w:rsidR="00B65273">
        <w:rPr>
          <w:sz w:val="20"/>
          <w:szCs w:val="20"/>
          <w:lang w:val="fr-CD"/>
        </w:rPr>
        <w:t xml:space="preserve">de </w:t>
      </w:r>
      <w:r w:rsidRPr="00C35CAE">
        <w:rPr>
          <w:sz w:val="20"/>
          <w:szCs w:val="20"/>
          <w:lang w:val="fr-CD"/>
        </w:rPr>
        <w:t xml:space="preserve">sécurisation des droits fonciers, </w:t>
      </w:r>
      <w:r w:rsidR="00B65273">
        <w:rPr>
          <w:sz w:val="20"/>
          <w:szCs w:val="20"/>
          <w:lang w:val="fr-CD"/>
        </w:rPr>
        <w:t>de</w:t>
      </w:r>
      <w:r w:rsidR="00045435" w:rsidRPr="00045435">
        <w:rPr>
          <w:sz w:val="20"/>
          <w:szCs w:val="20"/>
          <w:lang w:val="fr-CD"/>
        </w:rPr>
        <w:t xml:space="preserve"> promotio</w:t>
      </w:r>
      <w:r w:rsidR="00045435">
        <w:rPr>
          <w:sz w:val="20"/>
          <w:szCs w:val="20"/>
          <w:lang w:val="fr-CD"/>
        </w:rPr>
        <w:t xml:space="preserve">n des pratiques </w:t>
      </w:r>
      <w:r w:rsidR="00045435" w:rsidRPr="00045435">
        <w:rPr>
          <w:sz w:val="20"/>
          <w:szCs w:val="20"/>
          <w:lang w:val="fr-CD"/>
        </w:rPr>
        <w:t>d'utilisation durable des terres</w:t>
      </w:r>
      <w:r w:rsidR="00B65273">
        <w:rPr>
          <w:sz w:val="20"/>
          <w:szCs w:val="20"/>
          <w:lang w:val="fr-CD"/>
        </w:rPr>
        <w:t>, de</w:t>
      </w:r>
      <w:r w:rsidRPr="00C35CAE">
        <w:rPr>
          <w:sz w:val="20"/>
          <w:szCs w:val="20"/>
          <w:lang w:val="fr-CD"/>
        </w:rPr>
        <w:t xml:space="preserve"> </w:t>
      </w:r>
      <w:r w:rsidR="00B65273">
        <w:rPr>
          <w:sz w:val="20"/>
          <w:szCs w:val="20"/>
          <w:lang w:val="fr-CD"/>
        </w:rPr>
        <w:t>conservation des habitats naturels, et de</w:t>
      </w:r>
      <w:r w:rsidRPr="00C35CAE">
        <w:rPr>
          <w:sz w:val="20"/>
          <w:szCs w:val="20"/>
          <w:lang w:val="fr-CD"/>
        </w:rPr>
        <w:t xml:space="preserve"> protection de la biodiversité.</w:t>
      </w:r>
    </w:p>
    <w:p w:rsidR="00C35CAE" w:rsidRDefault="00C35CAE" w:rsidP="00590DB3">
      <w:pPr>
        <w:autoSpaceDE w:val="0"/>
        <w:autoSpaceDN w:val="0"/>
        <w:adjustRightInd w:val="0"/>
        <w:spacing w:after="0" w:line="240" w:lineRule="auto"/>
        <w:jc w:val="both"/>
        <w:rPr>
          <w:sz w:val="20"/>
          <w:szCs w:val="20"/>
          <w:lang w:val="fr-CD"/>
        </w:rPr>
      </w:pPr>
    </w:p>
    <w:p w:rsidR="00585FDA" w:rsidRPr="00590DB3" w:rsidRDefault="00585FDA" w:rsidP="00585FDA">
      <w:pPr>
        <w:autoSpaceDE w:val="0"/>
        <w:autoSpaceDN w:val="0"/>
        <w:adjustRightInd w:val="0"/>
        <w:spacing w:after="0" w:line="240" w:lineRule="auto"/>
        <w:jc w:val="both"/>
        <w:rPr>
          <w:rFonts w:eastAsiaTheme="minorHAnsi" w:cs="Times New Roman"/>
          <w:b/>
          <w:sz w:val="20"/>
          <w:szCs w:val="20"/>
          <w:lang w:val="fr-CD" w:eastAsia="en-US"/>
        </w:rPr>
      </w:pPr>
      <w:r w:rsidRPr="00590DB3">
        <w:rPr>
          <w:rFonts w:eastAsiaTheme="minorHAnsi" w:cs="Times New Roman"/>
          <w:b/>
          <w:sz w:val="20"/>
          <w:szCs w:val="20"/>
          <w:lang w:val="fr-CD" w:eastAsia="en-US"/>
        </w:rPr>
        <w:t>Social:</w:t>
      </w:r>
    </w:p>
    <w:p w:rsidR="00585FDA" w:rsidRPr="00590DB3" w:rsidRDefault="00585FDA" w:rsidP="00585FDA">
      <w:pPr>
        <w:autoSpaceDE w:val="0"/>
        <w:autoSpaceDN w:val="0"/>
        <w:adjustRightInd w:val="0"/>
        <w:spacing w:after="0" w:line="240" w:lineRule="auto"/>
        <w:jc w:val="both"/>
        <w:rPr>
          <w:rFonts w:eastAsiaTheme="minorHAnsi" w:cs="Times New Roman"/>
          <w:sz w:val="20"/>
          <w:szCs w:val="20"/>
          <w:lang w:val="fr-CD" w:eastAsia="en-US"/>
        </w:rPr>
      </w:pPr>
    </w:p>
    <w:p w:rsidR="00585FDA" w:rsidRDefault="00585FDA" w:rsidP="00585FDA">
      <w:pPr>
        <w:autoSpaceDE w:val="0"/>
        <w:autoSpaceDN w:val="0"/>
        <w:adjustRightInd w:val="0"/>
        <w:spacing w:after="0" w:line="240" w:lineRule="auto"/>
        <w:jc w:val="both"/>
        <w:rPr>
          <w:rFonts w:eastAsiaTheme="minorHAnsi" w:cs="Times New Roman"/>
          <w:sz w:val="20"/>
          <w:szCs w:val="20"/>
          <w:lang w:eastAsia="en-US"/>
        </w:rPr>
      </w:pPr>
      <w:r>
        <w:rPr>
          <w:rFonts w:eastAsiaTheme="minorHAnsi" w:cs="Times New Roman"/>
          <w:sz w:val="20"/>
          <w:szCs w:val="20"/>
          <w:lang w:eastAsia="en-US"/>
        </w:rPr>
        <w:t xml:space="preserve">Les principaux risques sociaux comprennent: </w:t>
      </w:r>
    </w:p>
    <w:p w:rsidR="00585FDA" w:rsidRDefault="00585FDA" w:rsidP="002E3A02">
      <w:pPr>
        <w:pStyle w:val="ListParagraph"/>
        <w:numPr>
          <w:ilvl w:val="0"/>
          <w:numId w:val="20"/>
        </w:numPr>
        <w:autoSpaceDE w:val="0"/>
        <w:autoSpaceDN w:val="0"/>
        <w:adjustRightInd w:val="0"/>
        <w:jc w:val="both"/>
        <w:rPr>
          <w:rFonts w:asciiTheme="minorHAnsi" w:eastAsiaTheme="minorHAnsi" w:hAnsiTheme="minorHAnsi"/>
          <w:sz w:val="20"/>
          <w:szCs w:val="20"/>
          <w:lang w:eastAsia="en-US"/>
        </w:rPr>
      </w:pPr>
      <w:r>
        <w:rPr>
          <w:rFonts w:asciiTheme="minorHAnsi" w:eastAsiaTheme="minorHAnsi" w:hAnsiTheme="minorHAnsi"/>
          <w:sz w:val="20"/>
          <w:szCs w:val="20"/>
          <w:lang w:eastAsia="en-US"/>
        </w:rPr>
        <w:t xml:space="preserve">conflit sur l'utilisation des terres découlant des activités d'agroforesterie / reboisement; </w:t>
      </w:r>
    </w:p>
    <w:p w:rsidR="00585FDA" w:rsidRDefault="00585FDA" w:rsidP="002E3A02">
      <w:pPr>
        <w:pStyle w:val="ListParagraph"/>
        <w:numPr>
          <w:ilvl w:val="0"/>
          <w:numId w:val="20"/>
        </w:numPr>
        <w:autoSpaceDE w:val="0"/>
        <w:autoSpaceDN w:val="0"/>
        <w:adjustRightInd w:val="0"/>
        <w:jc w:val="both"/>
        <w:rPr>
          <w:rFonts w:asciiTheme="minorHAnsi" w:eastAsiaTheme="minorHAnsi" w:hAnsiTheme="minorHAnsi"/>
          <w:sz w:val="20"/>
          <w:szCs w:val="20"/>
          <w:lang w:eastAsia="en-US"/>
        </w:rPr>
      </w:pPr>
      <w:r>
        <w:rPr>
          <w:rFonts w:asciiTheme="minorHAnsi" w:eastAsiaTheme="minorHAnsi" w:hAnsiTheme="minorHAnsi"/>
          <w:sz w:val="20"/>
          <w:szCs w:val="20"/>
          <w:lang w:eastAsia="en-US"/>
        </w:rPr>
        <w:t xml:space="preserve">la capture d'élite des avantages du projet; et </w:t>
      </w:r>
    </w:p>
    <w:p w:rsidR="00585FDA" w:rsidRDefault="00585FDA" w:rsidP="002E3A02">
      <w:pPr>
        <w:pStyle w:val="ListParagraph"/>
        <w:numPr>
          <w:ilvl w:val="0"/>
          <w:numId w:val="20"/>
        </w:numPr>
        <w:autoSpaceDE w:val="0"/>
        <w:autoSpaceDN w:val="0"/>
        <w:adjustRightInd w:val="0"/>
        <w:jc w:val="both"/>
        <w:rPr>
          <w:rFonts w:asciiTheme="minorHAnsi" w:eastAsiaTheme="minorHAnsi" w:hAnsiTheme="minorHAnsi"/>
          <w:sz w:val="20"/>
          <w:szCs w:val="20"/>
          <w:lang w:eastAsia="en-US"/>
        </w:rPr>
      </w:pPr>
      <w:r>
        <w:rPr>
          <w:rFonts w:asciiTheme="minorHAnsi" w:eastAsiaTheme="minorHAnsi" w:hAnsiTheme="minorHAnsi"/>
          <w:sz w:val="20"/>
          <w:szCs w:val="20"/>
          <w:lang w:eastAsia="en-US"/>
        </w:rPr>
        <w:t xml:space="preserve">des attentes élevées de la part des communautés. </w:t>
      </w:r>
    </w:p>
    <w:p w:rsidR="00585FDA" w:rsidRDefault="00585FDA" w:rsidP="00585FDA">
      <w:pPr>
        <w:autoSpaceDE w:val="0"/>
        <w:autoSpaceDN w:val="0"/>
        <w:adjustRightInd w:val="0"/>
        <w:spacing w:after="0"/>
        <w:jc w:val="both"/>
        <w:rPr>
          <w:rFonts w:eastAsiaTheme="minorHAnsi"/>
          <w:sz w:val="20"/>
          <w:szCs w:val="20"/>
          <w:lang w:eastAsia="en-US"/>
        </w:rPr>
      </w:pPr>
    </w:p>
    <w:p w:rsidR="00585FDA" w:rsidRDefault="00585FDA" w:rsidP="00585FDA">
      <w:pPr>
        <w:autoSpaceDE w:val="0"/>
        <w:autoSpaceDN w:val="0"/>
        <w:adjustRightInd w:val="0"/>
        <w:spacing w:after="0"/>
        <w:jc w:val="both"/>
        <w:rPr>
          <w:rFonts w:eastAsiaTheme="minorHAnsi"/>
          <w:sz w:val="20"/>
          <w:szCs w:val="20"/>
          <w:lang w:eastAsia="en-US"/>
        </w:rPr>
      </w:pPr>
      <w:r>
        <w:rPr>
          <w:rFonts w:eastAsiaTheme="minorHAnsi"/>
          <w:sz w:val="20"/>
          <w:szCs w:val="20"/>
          <w:lang w:eastAsia="en-US"/>
        </w:rPr>
        <w:t xml:space="preserve">Les activités d'atténuation pour ces comprennent: </w:t>
      </w:r>
    </w:p>
    <w:p w:rsidR="00585FDA" w:rsidRDefault="00585FDA" w:rsidP="002E3A02">
      <w:pPr>
        <w:pStyle w:val="ListParagraph"/>
        <w:numPr>
          <w:ilvl w:val="0"/>
          <w:numId w:val="20"/>
        </w:numPr>
        <w:autoSpaceDE w:val="0"/>
        <w:autoSpaceDN w:val="0"/>
        <w:adjustRightInd w:val="0"/>
        <w:jc w:val="both"/>
        <w:rPr>
          <w:rFonts w:asciiTheme="minorHAnsi" w:eastAsiaTheme="minorHAnsi" w:hAnsiTheme="minorHAnsi"/>
          <w:sz w:val="20"/>
          <w:szCs w:val="20"/>
          <w:lang w:eastAsia="en-US"/>
        </w:rPr>
      </w:pPr>
      <w:r>
        <w:rPr>
          <w:rFonts w:asciiTheme="minorHAnsi" w:eastAsiaTheme="minorHAnsi" w:hAnsiTheme="minorHAnsi"/>
          <w:sz w:val="20"/>
          <w:szCs w:val="20"/>
          <w:lang w:eastAsia="en-US"/>
        </w:rPr>
        <w:t xml:space="preserve">l'appui aux structures de dialogue (tels que </w:t>
      </w:r>
      <w:r w:rsidR="00F55A4B">
        <w:rPr>
          <w:rFonts w:asciiTheme="minorHAnsi" w:eastAsiaTheme="minorHAnsi" w:hAnsiTheme="minorHAnsi"/>
          <w:sz w:val="20"/>
          <w:szCs w:val="20"/>
          <w:lang w:eastAsia="en-US"/>
        </w:rPr>
        <w:t>CARTs et</w:t>
      </w:r>
      <w:r>
        <w:rPr>
          <w:rFonts w:asciiTheme="minorHAnsi" w:eastAsiaTheme="minorHAnsi" w:hAnsiTheme="minorHAnsi"/>
          <w:sz w:val="20"/>
          <w:szCs w:val="20"/>
          <w:lang w:eastAsia="en-US"/>
        </w:rPr>
        <w:t xml:space="preserve"> CLD</w:t>
      </w:r>
      <w:r w:rsidR="00F55A4B">
        <w:rPr>
          <w:rFonts w:asciiTheme="minorHAnsi" w:eastAsiaTheme="minorHAnsi" w:hAnsiTheme="minorHAnsi"/>
          <w:sz w:val="20"/>
          <w:szCs w:val="20"/>
          <w:lang w:eastAsia="en-US"/>
        </w:rPr>
        <w:t>s</w:t>
      </w:r>
      <w:r>
        <w:rPr>
          <w:rFonts w:asciiTheme="minorHAnsi" w:eastAsiaTheme="minorHAnsi" w:hAnsiTheme="minorHAnsi"/>
          <w:sz w:val="20"/>
          <w:szCs w:val="20"/>
          <w:lang w:eastAsia="en-US"/>
        </w:rPr>
        <w:t xml:space="preserve">), et aux bénéficiaires admissibles dans la négociation avec les autorités traditionnelles des terres («chefs de terre») et le gouvernement sur les questions liées à l'accès à la terre; </w:t>
      </w:r>
    </w:p>
    <w:p w:rsidR="00585FDA" w:rsidRDefault="00585FDA" w:rsidP="002E3A02">
      <w:pPr>
        <w:pStyle w:val="ListParagraph"/>
        <w:numPr>
          <w:ilvl w:val="0"/>
          <w:numId w:val="20"/>
        </w:numPr>
        <w:autoSpaceDE w:val="0"/>
        <w:autoSpaceDN w:val="0"/>
        <w:adjustRightInd w:val="0"/>
        <w:jc w:val="both"/>
        <w:rPr>
          <w:rFonts w:asciiTheme="minorHAnsi" w:eastAsiaTheme="minorHAnsi" w:hAnsiTheme="minorHAnsi"/>
          <w:sz w:val="20"/>
          <w:szCs w:val="20"/>
          <w:lang w:eastAsia="en-US"/>
        </w:rPr>
      </w:pPr>
      <w:r>
        <w:rPr>
          <w:rFonts w:asciiTheme="minorHAnsi" w:eastAsiaTheme="minorHAnsi" w:hAnsiTheme="minorHAnsi"/>
          <w:sz w:val="20"/>
          <w:szCs w:val="20"/>
          <w:lang w:eastAsia="en-US"/>
        </w:rPr>
        <w:t xml:space="preserve">l'appui au maintien de la transparence du financement au niveau Village / Secteur ainsi que le soutien aux processus participatifs dans la définition des plans d'investissement au niveau Village; et </w:t>
      </w:r>
    </w:p>
    <w:p w:rsidR="00585FDA" w:rsidRDefault="00585FDA" w:rsidP="002E3A02">
      <w:pPr>
        <w:pStyle w:val="ListParagraph"/>
        <w:numPr>
          <w:ilvl w:val="0"/>
          <w:numId w:val="20"/>
        </w:numPr>
        <w:autoSpaceDE w:val="0"/>
        <w:autoSpaceDN w:val="0"/>
        <w:adjustRightInd w:val="0"/>
        <w:jc w:val="both"/>
        <w:rPr>
          <w:rFonts w:asciiTheme="minorHAnsi" w:eastAsiaTheme="minorHAnsi" w:hAnsiTheme="minorHAnsi"/>
          <w:sz w:val="20"/>
          <w:szCs w:val="20"/>
          <w:lang w:eastAsia="en-US"/>
        </w:rPr>
      </w:pPr>
      <w:r>
        <w:rPr>
          <w:rFonts w:asciiTheme="minorHAnsi" w:eastAsiaTheme="minorHAnsi" w:hAnsiTheme="minorHAnsi"/>
          <w:sz w:val="20"/>
          <w:szCs w:val="20"/>
          <w:lang w:eastAsia="en-US"/>
        </w:rPr>
        <w:t>une communication claire et adéquate des résultats attendus et les risques du projet tout au long de la préparation et l'exécution des projets.</w:t>
      </w:r>
    </w:p>
    <w:p w:rsidR="00585FDA" w:rsidRPr="007E1D4F" w:rsidRDefault="00585FDA" w:rsidP="00585FDA">
      <w:pPr>
        <w:autoSpaceDE w:val="0"/>
        <w:autoSpaceDN w:val="0"/>
        <w:adjustRightInd w:val="0"/>
        <w:spacing w:after="0" w:line="240" w:lineRule="auto"/>
        <w:jc w:val="both"/>
        <w:rPr>
          <w:rFonts w:eastAsiaTheme="minorHAnsi" w:cs="Times New Roman"/>
          <w:sz w:val="20"/>
          <w:szCs w:val="20"/>
          <w:lang w:eastAsia="en-US"/>
        </w:rPr>
      </w:pPr>
    </w:p>
    <w:p w:rsidR="00585FDA" w:rsidRPr="00590DB3" w:rsidRDefault="00585FDA" w:rsidP="00585FDA">
      <w:pPr>
        <w:autoSpaceDE w:val="0"/>
        <w:autoSpaceDN w:val="0"/>
        <w:adjustRightInd w:val="0"/>
        <w:spacing w:after="0" w:line="240" w:lineRule="auto"/>
        <w:jc w:val="both"/>
        <w:rPr>
          <w:rFonts w:eastAsiaTheme="minorHAnsi" w:cs="Times New Roman"/>
          <w:b/>
          <w:sz w:val="20"/>
          <w:szCs w:val="20"/>
          <w:lang w:val="fr-CD" w:eastAsia="en-US"/>
        </w:rPr>
      </w:pPr>
      <w:r w:rsidRPr="00590DB3">
        <w:rPr>
          <w:rFonts w:eastAsiaTheme="minorHAnsi" w:cs="Times New Roman"/>
          <w:b/>
          <w:sz w:val="20"/>
          <w:szCs w:val="20"/>
          <w:lang w:val="fr-CD" w:eastAsia="en-US"/>
        </w:rPr>
        <w:t>Environnemental:</w:t>
      </w:r>
    </w:p>
    <w:p w:rsidR="00585FDA" w:rsidRPr="00590DB3" w:rsidRDefault="00585FDA" w:rsidP="00585FDA">
      <w:pPr>
        <w:autoSpaceDE w:val="0"/>
        <w:autoSpaceDN w:val="0"/>
        <w:adjustRightInd w:val="0"/>
        <w:spacing w:after="0" w:line="240" w:lineRule="auto"/>
        <w:jc w:val="both"/>
        <w:rPr>
          <w:rFonts w:eastAsiaTheme="minorHAnsi" w:cs="Times New Roman"/>
          <w:sz w:val="20"/>
          <w:szCs w:val="20"/>
          <w:lang w:val="fr-CD" w:eastAsia="en-US"/>
        </w:rPr>
      </w:pPr>
    </w:p>
    <w:p w:rsidR="00585FDA" w:rsidRPr="00C85B29" w:rsidRDefault="00585FDA" w:rsidP="00585FDA">
      <w:pPr>
        <w:spacing w:line="240" w:lineRule="auto"/>
        <w:jc w:val="both"/>
        <w:rPr>
          <w:rFonts w:eastAsiaTheme="minorHAnsi" w:cs="Times New Roman"/>
          <w:sz w:val="20"/>
          <w:szCs w:val="20"/>
          <w:lang w:val="fr-CD" w:eastAsia="en-US"/>
        </w:rPr>
      </w:pPr>
      <w:r w:rsidRPr="00C85B29">
        <w:rPr>
          <w:rFonts w:eastAsiaTheme="minorHAnsi" w:cs="Times New Roman"/>
          <w:sz w:val="20"/>
          <w:szCs w:val="20"/>
          <w:lang w:val="fr-CD" w:eastAsia="en-US"/>
        </w:rPr>
        <w:t>Les impacts globaux du projet sur l'environnement devraient être positifs. Les taux de déforestation dans la zone d'intervention du projet (dans la p</w:t>
      </w:r>
      <w:r w:rsidR="00B65273">
        <w:rPr>
          <w:rFonts w:eastAsiaTheme="minorHAnsi" w:cs="Times New Roman"/>
          <w:sz w:val="20"/>
          <w:szCs w:val="20"/>
          <w:lang w:val="fr-CD" w:eastAsia="en-US"/>
        </w:rPr>
        <w:t>rovince du Mai-</w:t>
      </w:r>
      <w:r w:rsidRPr="00C85B29">
        <w:rPr>
          <w:rFonts w:eastAsiaTheme="minorHAnsi" w:cs="Times New Roman"/>
          <w:sz w:val="20"/>
          <w:szCs w:val="20"/>
          <w:lang w:val="fr-CD" w:eastAsia="en-US"/>
        </w:rPr>
        <w:t xml:space="preserve">Ndombe) sont bien au-dessus de la moyenne nationale et principalement tirée par la culture </w:t>
      </w:r>
      <w:r w:rsidR="00B65273">
        <w:rPr>
          <w:rFonts w:eastAsiaTheme="minorHAnsi" w:cs="Times New Roman"/>
          <w:sz w:val="20"/>
          <w:szCs w:val="20"/>
          <w:lang w:val="fr-CD" w:eastAsia="en-US"/>
        </w:rPr>
        <w:t>sur brulis dans les forêts et la production de</w:t>
      </w:r>
      <w:r w:rsidRPr="00C85B29">
        <w:rPr>
          <w:rFonts w:eastAsiaTheme="minorHAnsi" w:cs="Times New Roman"/>
          <w:sz w:val="20"/>
          <w:szCs w:val="20"/>
          <w:lang w:val="fr-CD" w:eastAsia="en-US"/>
        </w:rPr>
        <w:t xml:space="preserve"> charbon de bois pour le marché de Kinshasa. En soutenant une meilleure planification de l'utilisation des ressources nat</w:t>
      </w:r>
      <w:r w:rsidR="00B65273">
        <w:rPr>
          <w:rFonts w:eastAsiaTheme="minorHAnsi" w:cs="Times New Roman"/>
          <w:sz w:val="20"/>
          <w:szCs w:val="20"/>
          <w:lang w:val="fr-CD" w:eastAsia="en-US"/>
        </w:rPr>
        <w:t>urelles dans la province du Mai-Ndombe, et l</w:t>
      </w:r>
      <w:r w:rsidRPr="00C85B29">
        <w:rPr>
          <w:rFonts w:eastAsiaTheme="minorHAnsi" w:cs="Times New Roman"/>
          <w:sz w:val="20"/>
          <w:szCs w:val="20"/>
          <w:lang w:val="fr-CD" w:eastAsia="en-US"/>
        </w:rPr>
        <w:t>'agroforesterie, le projet vise à réduire la pressio</w:t>
      </w:r>
      <w:r w:rsidR="00B65273">
        <w:rPr>
          <w:rFonts w:eastAsiaTheme="minorHAnsi" w:cs="Times New Roman"/>
          <w:sz w:val="20"/>
          <w:szCs w:val="20"/>
          <w:lang w:val="fr-CD" w:eastAsia="en-US"/>
        </w:rPr>
        <w:t>n sur les forêts naturelles.</w:t>
      </w:r>
    </w:p>
    <w:p w:rsidR="00837737" w:rsidRDefault="00590DB3" w:rsidP="00986D23">
      <w:pPr>
        <w:autoSpaceDE w:val="0"/>
        <w:autoSpaceDN w:val="0"/>
        <w:adjustRightInd w:val="0"/>
        <w:spacing w:after="0" w:line="240" w:lineRule="auto"/>
        <w:rPr>
          <w:sz w:val="20"/>
          <w:szCs w:val="20"/>
          <w:lang w:val="fr-CD"/>
        </w:rPr>
      </w:pPr>
      <w:r w:rsidRPr="003C700A">
        <w:rPr>
          <w:sz w:val="20"/>
          <w:szCs w:val="20"/>
          <w:lang w:val="fr-CD"/>
        </w:rPr>
        <w:t xml:space="preserve">Le projet </w:t>
      </w:r>
      <w:r w:rsidR="00B65273" w:rsidRPr="003C700A">
        <w:rPr>
          <w:sz w:val="20"/>
          <w:szCs w:val="20"/>
          <w:lang w:val="fr-CD"/>
        </w:rPr>
        <w:t>utilisera les instruments de sauvegardes environnementales et sociales du PGAPF</w:t>
      </w:r>
      <w:r w:rsidR="00575B80">
        <w:rPr>
          <w:sz w:val="20"/>
          <w:szCs w:val="20"/>
          <w:lang w:val="fr-CD"/>
        </w:rPr>
        <w:t>, notamment le</w:t>
      </w:r>
      <w:r w:rsidR="00C35CAE" w:rsidRPr="003C700A">
        <w:rPr>
          <w:sz w:val="20"/>
          <w:szCs w:val="20"/>
          <w:lang w:val="fr-CD"/>
        </w:rPr>
        <w:t xml:space="preserve"> Cadre de Gestion Environnementale et S</w:t>
      </w:r>
      <w:r w:rsidR="003C700A" w:rsidRPr="003C700A">
        <w:rPr>
          <w:sz w:val="20"/>
          <w:szCs w:val="20"/>
          <w:lang w:val="fr-CD"/>
        </w:rPr>
        <w:t>ociale</w:t>
      </w:r>
      <w:r w:rsidR="003C700A">
        <w:rPr>
          <w:sz w:val="20"/>
          <w:szCs w:val="20"/>
          <w:lang w:val="fr-CD"/>
        </w:rPr>
        <w:t xml:space="preserve"> (CGES)</w:t>
      </w:r>
      <w:r w:rsidR="00575B80" w:rsidRPr="00575B80">
        <w:t xml:space="preserve"> </w:t>
      </w:r>
      <w:r w:rsidR="00575B80">
        <w:t xml:space="preserve">qui </w:t>
      </w:r>
      <w:r w:rsidR="00575B80">
        <w:rPr>
          <w:sz w:val="20"/>
          <w:szCs w:val="20"/>
          <w:lang w:val="fr-CD"/>
        </w:rPr>
        <w:t>sera adapté au contexte du district du Mai-</w:t>
      </w:r>
      <w:r w:rsidR="00575B80" w:rsidRPr="00575B80">
        <w:rPr>
          <w:sz w:val="20"/>
          <w:szCs w:val="20"/>
          <w:lang w:val="fr-CD"/>
        </w:rPr>
        <w:t>Ndombe</w:t>
      </w:r>
      <w:r w:rsidR="00575B80">
        <w:rPr>
          <w:sz w:val="20"/>
          <w:szCs w:val="20"/>
          <w:lang w:val="fr-CD"/>
        </w:rPr>
        <w:t xml:space="preserve">. Le CGES est l’instrument </w:t>
      </w:r>
      <w:r w:rsidR="003C700A" w:rsidRPr="003C700A">
        <w:rPr>
          <w:sz w:val="20"/>
          <w:szCs w:val="20"/>
          <w:lang w:val="fr-CD"/>
        </w:rPr>
        <w:t xml:space="preserve"> </w:t>
      </w:r>
      <w:r w:rsidR="00575B80">
        <w:rPr>
          <w:sz w:val="20"/>
          <w:szCs w:val="20"/>
          <w:lang w:val="fr-CD"/>
        </w:rPr>
        <w:t xml:space="preserve">qui </w:t>
      </w:r>
      <w:r w:rsidR="00B65273" w:rsidRPr="003C700A">
        <w:rPr>
          <w:sz w:val="20"/>
          <w:szCs w:val="20"/>
          <w:lang w:val="fr-CD"/>
        </w:rPr>
        <w:t>guidera</w:t>
      </w:r>
      <w:r w:rsidR="00C35CAE" w:rsidRPr="003C700A">
        <w:rPr>
          <w:sz w:val="20"/>
          <w:szCs w:val="20"/>
          <w:lang w:val="fr-CD"/>
        </w:rPr>
        <w:t xml:space="preserve"> la gestion des risques environnementaux et sociaux, </w:t>
      </w:r>
      <w:r w:rsidR="003C700A">
        <w:rPr>
          <w:sz w:val="20"/>
          <w:szCs w:val="20"/>
          <w:lang w:val="fr-CD"/>
        </w:rPr>
        <w:t xml:space="preserve">tout comme </w:t>
      </w:r>
      <w:r w:rsidR="00575B80">
        <w:rPr>
          <w:sz w:val="20"/>
          <w:szCs w:val="20"/>
          <w:lang w:val="fr-CD"/>
        </w:rPr>
        <w:t>les 5</w:t>
      </w:r>
      <w:r w:rsidR="003C700A" w:rsidRPr="003C700A">
        <w:rPr>
          <w:sz w:val="20"/>
          <w:szCs w:val="20"/>
          <w:lang w:val="fr-CD"/>
        </w:rPr>
        <w:t xml:space="preserve"> cadres et plans spécifiques</w:t>
      </w:r>
      <w:r w:rsidR="00575B80">
        <w:rPr>
          <w:sz w:val="20"/>
          <w:szCs w:val="20"/>
          <w:lang w:val="fr-CD"/>
        </w:rPr>
        <w:t xml:space="preserve"> additionnels</w:t>
      </w:r>
      <w:r w:rsidR="003C700A" w:rsidRPr="003C700A">
        <w:rPr>
          <w:sz w:val="20"/>
          <w:szCs w:val="20"/>
          <w:lang w:val="fr-CD"/>
        </w:rPr>
        <w:t> :</w:t>
      </w:r>
    </w:p>
    <w:p w:rsidR="00986D23" w:rsidRPr="00986D23" w:rsidRDefault="00986D23" w:rsidP="00986D23">
      <w:pPr>
        <w:autoSpaceDE w:val="0"/>
        <w:autoSpaceDN w:val="0"/>
        <w:adjustRightInd w:val="0"/>
        <w:spacing w:after="0" w:line="240" w:lineRule="auto"/>
        <w:rPr>
          <w:sz w:val="20"/>
          <w:szCs w:val="20"/>
          <w:lang w:val="fr-CD"/>
        </w:rPr>
      </w:pPr>
    </w:p>
    <w:p w:rsidR="009B375C" w:rsidRPr="00DE41D7" w:rsidRDefault="003C700A" w:rsidP="003C700A">
      <w:pPr>
        <w:autoSpaceDE w:val="0"/>
        <w:autoSpaceDN w:val="0"/>
        <w:adjustRightInd w:val="0"/>
        <w:spacing w:after="0" w:line="240" w:lineRule="auto"/>
        <w:rPr>
          <w:rStyle w:val="Hyperlink"/>
          <w:rFonts w:eastAsiaTheme="minorHAnsi" w:cs="Times New Roman"/>
          <w:color w:val="auto"/>
          <w:sz w:val="20"/>
          <w:szCs w:val="20"/>
          <w:u w:val="none"/>
          <w:lang w:val="fr-CD" w:eastAsia="en-US"/>
        </w:rPr>
      </w:pPr>
      <w:r w:rsidRPr="003C700A">
        <w:rPr>
          <w:rFonts w:eastAsiaTheme="minorHAnsi" w:cs="Times New Roman"/>
          <w:sz w:val="20"/>
          <w:szCs w:val="20"/>
          <w:lang w:val="fr-CD" w:eastAsia="en-US"/>
        </w:rPr>
        <w:t>Cadre de Gestion Environnementale et Sociale</w:t>
      </w:r>
    </w:p>
    <w:p w:rsidR="009B375C" w:rsidRPr="009B375C" w:rsidRDefault="0003745E" w:rsidP="003C700A">
      <w:pPr>
        <w:autoSpaceDE w:val="0"/>
        <w:autoSpaceDN w:val="0"/>
        <w:adjustRightInd w:val="0"/>
        <w:spacing w:after="0" w:line="240" w:lineRule="auto"/>
        <w:rPr>
          <w:rStyle w:val="Hyperlink"/>
          <w:color w:val="0070C0"/>
          <w:sz w:val="20"/>
          <w:szCs w:val="20"/>
          <w:lang w:val="fr-CD"/>
        </w:rPr>
      </w:pPr>
      <w:hyperlink r:id="rId22" w:history="1">
        <w:r w:rsidR="009B375C" w:rsidRPr="009B375C">
          <w:rPr>
            <w:rStyle w:val="Hyperlink"/>
            <w:color w:val="0070C0"/>
            <w:sz w:val="20"/>
            <w:szCs w:val="20"/>
            <w:lang w:val="fr-CD"/>
          </w:rPr>
          <w:t>http://documents.banquemondiale.org/curated/fr/2014/03/19394419/congo-democratic-republic-improved-forested-landscape-management-project-environmental-assessment-vol-2-3-cadre-de-gestion-environnementale-sociale</w:t>
        </w:r>
      </w:hyperlink>
    </w:p>
    <w:p w:rsidR="00594D19" w:rsidRPr="003C700A" w:rsidRDefault="00594D19" w:rsidP="003C700A">
      <w:pPr>
        <w:autoSpaceDE w:val="0"/>
        <w:autoSpaceDN w:val="0"/>
        <w:adjustRightInd w:val="0"/>
        <w:spacing w:after="0" w:line="240" w:lineRule="auto"/>
        <w:rPr>
          <w:rFonts w:eastAsiaTheme="minorHAnsi" w:cs="Times New Roman"/>
          <w:sz w:val="20"/>
          <w:szCs w:val="20"/>
          <w:lang w:val="fr-CD" w:eastAsia="en-US"/>
        </w:rPr>
      </w:pPr>
    </w:p>
    <w:p w:rsidR="009B375C" w:rsidRDefault="003C700A" w:rsidP="003C700A">
      <w:pPr>
        <w:autoSpaceDE w:val="0"/>
        <w:autoSpaceDN w:val="0"/>
        <w:adjustRightInd w:val="0"/>
        <w:spacing w:after="0" w:line="240" w:lineRule="auto"/>
        <w:rPr>
          <w:rFonts w:eastAsiaTheme="minorHAnsi" w:cs="Times New Roman"/>
          <w:sz w:val="20"/>
          <w:szCs w:val="20"/>
          <w:lang w:val="fr-CD" w:eastAsia="en-US"/>
        </w:rPr>
      </w:pPr>
      <w:r w:rsidRPr="003C700A">
        <w:rPr>
          <w:rFonts w:eastAsiaTheme="minorHAnsi" w:cs="Times New Roman"/>
          <w:sz w:val="20"/>
          <w:szCs w:val="20"/>
          <w:lang w:val="fr-CD" w:eastAsia="en-US"/>
        </w:rPr>
        <w:t>Plan de Gestion des pestes et pesticides</w:t>
      </w:r>
    </w:p>
    <w:p w:rsidR="009B375C" w:rsidRPr="009B375C" w:rsidRDefault="0003745E" w:rsidP="003C700A">
      <w:pPr>
        <w:autoSpaceDE w:val="0"/>
        <w:autoSpaceDN w:val="0"/>
        <w:adjustRightInd w:val="0"/>
        <w:spacing w:after="0" w:line="240" w:lineRule="auto"/>
        <w:rPr>
          <w:rFonts w:eastAsiaTheme="minorHAnsi" w:cs="Times New Roman"/>
          <w:color w:val="0070C0"/>
          <w:sz w:val="20"/>
          <w:szCs w:val="20"/>
          <w:lang w:val="fr-CD" w:eastAsia="en-US"/>
        </w:rPr>
      </w:pPr>
      <w:hyperlink r:id="rId23" w:history="1">
        <w:r w:rsidR="009B375C" w:rsidRPr="009B375C">
          <w:rPr>
            <w:rStyle w:val="Hyperlink"/>
            <w:rFonts w:eastAsiaTheme="minorHAnsi" w:cs="Times New Roman"/>
            <w:color w:val="0070C0"/>
            <w:sz w:val="20"/>
            <w:szCs w:val="20"/>
            <w:lang w:val="fr-CD" w:eastAsia="en-US"/>
          </w:rPr>
          <w:t>http://documents.banquemondiale.org/curated/fr/2014/03/19394418/congo-democratic-republic-improved-forested-landscape-management-project-environmental-assessment-vol-1-3-plan-de-gestion-des-pestes-pesticides</w:t>
        </w:r>
      </w:hyperlink>
    </w:p>
    <w:p w:rsidR="003C700A" w:rsidRPr="003C700A" w:rsidRDefault="003C700A" w:rsidP="003C700A">
      <w:pPr>
        <w:autoSpaceDE w:val="0"/>
        <w:autoSpaceDN w:val="0"/>
        <w:adjustRightInd w:val="0"/>
        <w:spacing w:after="0" w:line="240" w:lineRule="auto"/>
        <w:rPr>
          <w:rFonts w:eastAsiaTheme="minorHAnsi" w:cs="Times New Roman"/>
          <w:sz w:val="20"/>
          <w:szCs w:val="20"/>
          <w:lang w:val="fr-CD" w:eastAsia="en-US"/>
        </w:rPr>
      </w:pPr>
    </w:p>
    <w:p w:rsidR="009B375C" w:rsidRDefault="003C700A" w:rsidP="003C700A">
      <w:pPr>
        <w:autoSpaceDE w:val="0"/>
        <w:autoSpaceDN w:val="0"/>
        <w:adjustRightInd w:val="0"/>
        <w:spacing w:after="0" w:line="240" w:lineRule="auto"/>
        <w:rPr>
          <w:rFonts w:eastAsiaTheme="minorHAnsi" w:cs="Times New Roman"/>
          <w:b/>
          <w:sz w:val="20"/>
          <w:szCs w:val="20"/>
          <w:lang w:val="fr-CD" w:eastAsia="en-US"/>
        </w:rPr>
      </w:pPr>
      <w:r w:rsidRPr="003C700A">
        <w:rPr>
          <w:rFonts w:eastAsiaTheme="minorHAnsi" w:cs="Times New Roman"/>
          <w:sz w:val="20"/>
          <w:szCs w:val="20"/>
          <w:lang w:val="fr-CD" w:eastAsia="en-US"/>
        </w:rPr>
        <w:t>Cadre de gestion des ressources culturelles physiques</w:t>
      </w:r>
    </w:p>
    <w:p w:rsidR="003C700A" w:rsidRDefault="0003745E" w:rsidP="00DE41D7">
      <w:pPr>
        <w:autoSpaceDE w:val="0"/>
        <w:autoSpaceDN w:val="0"/>
        <w:adjustRightInd w:val="0"/>
        <w:spacing w:after="0" w:line="240" w:lineRule="auto"/>
        <w:rPr>
          <w:rStyle w:val="Hyperlink"/>
          <w:color w:val="0070C0"/>
        </w:rPr>
      </w:pPr>
      <w:hyperlink r:id="rId24" w:history="1">
        <w:r w:rsidR="009B375C" w:rsidRPr="009B375C">
          <w:rPr>
            <w:rStyle w:val="Hyperlink"/>
            <w:color w:val="0070C0"/>
            <w:sz w:val="20"/>
            <w:szCs w:val="20"/>
            <w:lang w:val="fr-CD"/>
          </w:rPr>
          <w:t>http://documents.banquemondiale.org/curated/fr/2014/03/19394409/congo-democratic-republic-improved-forested-landscape-management-project-environmental-assessment-vol-3-3-cadre-de-gestion-des-ressources-culturelles-physiques</w:t>
        </w:r>
      </w:hyperlink>
    </w:p>
    <w:p w:rsidR="00DE41D7" w:rsidRPr="00DE41D7" w:rsidRDefault="00DE41D7" w:rsidP="00DE41D7">
      <w:pPr>
        <w:autoSpaceDE w:val="0"/>
        <w:autoSpaceDN w:val="0"/>
        <w:adjustRightInd w:val="0"/>
        <w:spacing w:after="0" w:line="240" w:lineRule="auto"/>
        <w:rPr>
          <w:color w:val="0070C0"/>
          <w:u w:val="single"/>
        </w:rPr>
      </w:pPr>
    </w:p>
    <w:p w:rsidR="009B375C" w:rsidRPr="003C700A" w:rsidRDefault="003C700A" w:rsidP="00590DB3">
      <w:pPr>
        <w:autoSpaceDE w:val="0"/>
        <w:autoSpaceDN w:val="0"/>
        <w:adjustRightInd w:val="0"/>
        <w:spacing w:after="0" w:line="240" w:lineRule="auto"/>
        <w:jc w:val="both"/>
        <w:rPr>
          <w:rFonts w:eastAsiaTheme="minorHAnsi" w:cs="Times New Roman"/>
          <w:sz w:val="20"/>
          <w:szCs w:val="20"/>
          <w:lang w:val="fr-CD" w:eastAsia="en-US"/>
        </w:rPr>
      </w:pPr>
      <w:r w:rsidRPr="003C700A">
        <w:rPr>
          <w:rFonts w:eastAsiaTheme="minorHAnsi" w:cs="Times New Roman"/>
          <w:sz w:val="20"/>
          <w:szCs w:val="20"/>
          <w:lang w:val="fr-CD" w:eastAsia="en-US"/>
        </w:rPr>
        <w:t>Cadre de politique de réinstallation</w:t>
      </w:r>
    </w:p>
    <w:p w:rsidR="003C700A" w:rsidRPr="009B375C" w:rsidRDefault="0003745E" w:rsidP="00590DB3">
      <w:pPr>
        <w:autoSpaceDE w:val="0"/>
        <w:autoSpaceDN w:val="0"/>
        <w:adjustRightInd w:val="0"/>
        <w:spacing w:after="0" w:line="240" w:lineRule="auto"/>
        <w:jc w:val="both"/>
        <w:rPr>
          <w:rStyle w:val="Hyperlink"/>
          <w:color w:val="0070C0"/>
          <w:sz w:val="20"/>
          <w:szCs w:val="20"/>
          <w:lang w:val="fr-CD"/>
        </w:rPr>
      </w:pPr>
      <w:hyperlink r:id="rId25" w:history="1">
        <w:r w:rsidR="009B375C" w:rsidRPr="009B375C">
          <w:rPr>
            <w:rStyle w:val="Hyperlink"/>
            <w:color w:val="0070C0"/>
            <w:sz w:val="20"/>
            <w:szCs w:val="20"/>
            <w:lang w:val="fr-CD"/>
          </w:rPr>
          <w:t>http://documents.banquemondiale.org/curated/fr/2014/03/19399764/congo-democratic-republic-improved-forested-landscape-management-project-resettlement-plan-vol-1-2-cadre-de-politique-de-reinstallation</w:t>
        </w:r>
      </w:hyperlink>
    </w:p>
    <w:p w:rsidR="009B375C" w:rsidRPr="003C700A" w:rsidRDefault="009B375C" w:rsidP="00590DB3">
      <w:pPr>
        <w:autoSpaceDE w:val="0"/>
        <w:autoSpaceDN w:val="0"/>
        <w:adjustRightInd w:val="0"/>
        <w:spacing w:after="0" w:line="240" w:lineRule="auto"/>
        <w:jc w:val="both"/>
        <w:rPr>
          <w:rFonts w:eastAsiaTheme="minorHAnsi" w:cs="Times New Roman"/>
          <w:b/>
          <w:sz w:val="20"/>
          <w:szCs w:val="20"/>
          <w:lang w:val="fr-CD" w:eastAsia="en-US"/>
        </w:rPr>
      </w:pPr>
    </w:p>
    <w:p w:rsidR="003C700A" w:rsidRPr="00DE41D7" w:rsidRDefault="003C700A" w:rsidP="00590DB3">
      <w:pPr>
        <w:autoSpaceDE w:val="0"/>
        <w:autoSpaceDN w:val="0"/>
        <w:adjustRightInd w:val="0"/>
        <w:spacing w:after="0" w:line="240" w:lineRule="auto"/>
        <w:jc w:val="both"/>
        <w:rPr>
          <w:rStyle w:val="Hyperlink"/>
          <w:rFonts w:eastAsiaTheme="minorHAnsi" w:cs="Times New Roman"/>
          <w:color w:val="auto"/>
          <w:sz w:val="20"/>
          <w:szCs w:val="20"/>
          <w:u w:val="none"/>
          <w:lang w:val="fr-CD" w:eastAsia="en-US"/>
        </w:rPr>
      </w:pPr>
      <w:r w:rsidRPr="003C700A">
        <w:rPr>
          <w:rFonts w:eastAsiaTheme="minorHAnsi" w:cs="Times New Roman"/>
          <w:sz w:val="20"/>
          <w:szCs w:val="20"/>
          <w:lang w:val="fr-CD" w:eastAsia="en-US"/>
        </w:rPr>
        <w:t>Cadre fonctionnel</w:t>
      </w:r>
    </w:p>
    <w:p w:rsidR="00DE41D7" w:rsidRPr="00DE41D7" w:rsidRDefault="0003745E" w:rsidP="00590DB3">
      <w:pPr>
        <w:autoSpaceDE w:val="0"/>
        <w:autoSpaceDN w:val="0"/>
        <w:adjustRightInd w:val="0"/>
        <w:spacing w:after="0" w:line="240" w:lineRule="auto"/>
        <w:jc w:val="both"/>
        <w:rPr>
          <w:rStyle w:val="Hyperlink"/>
          <w:color w:val="0070C0"/>
          <w:sz w:val="20"/>
          <w:szCs w:val="20"/>
          <w:lang w:val="fr-CD"/>
        </w:rPr>
      </w:pPr>
      <w:hyperlink r:id="rId26" w:history="1">
        <w:r w:rsidR="00DE41D7" w:rsidRPr="00DE41D7">
          <w:rPr>
            <w:rStyle w:val="Hyperlink"/>
            <w:color w:val="0070C0"/>
            <w:sz w:val="20"/>
            <w:szCs w:val="20"/>
            <w:lang w:val="fr-CD"/>
          </w:rPr>
          <w:t>http://documents.banquemondiale.org/curated/fr/2014/03/19399765/congo-democratic-republic-improved-forested-landscape-management-project-resettlement-plan-vol-2-2-cadre-fonctionnel</w:t>
        </w:r>
      </w:hyperlink>
    </w:p>
    <w:p w:rsidR="00DE41D7" w:rsidRDefault="00DE41D7" w:rsidP="00590DB3">
      <w:pPr>
        <w:autoSpaceDE w:val="0"/>
        <w:autoSpaceDN w:val="0"/>
        <w:adjustRightInd w:val="0"/>
        <w:spacing w:after="0" w:line="240" w:lineRule="auto"/>
        <w:jc w:val="both"/>
        <w:rPr>
          <w:rFonts w:eastAsiaTheme="minorHAnsi" w:cs="Times New Roman"/>
          <w:b/>
          <w:sz w:val="20"/>
          <w:szCs w:val="20"/>
          <w:lang w:val="fr-CD" w:eastAsia="en-US"/>
        </w:rPr>
      </w:pPr>
    </w:p>
    <w:p w:rsidR="003C700A" w:rsidRPr="00DE41D7" w:rsidRDefault="003C700A" w:rsidP="00590DB3">
      <w:pPr>
        <w:autoSpaceDE w:val="0"/>
        <w:autoSpaceDN w:val="0"/>
        <w:adjustRightInd w:val="0"/>
        <w:spacing w:after="0" w:line="240" w:lineRule="auto"/>
        <w:jc w:val="both"/>
        <w:rPr>
          <w:rStyle w:val="Hyperlink"/>
          <w:rFonts w:eastAsiaTheme="minorHAnsi" w:cs="Times New Roman"/>
          <w:color w:val="auto"/>
          <w:sz w:val="20"/>
          <w:szCs w:val="20"/>
          <w:u w:val="none"/>
          <w:lang w:val="fr-CD" w:eastAsia="en-US"/>
        </w:rPr>
      </w:pPr>
      <w:r w:rsidRPr="003C700A">
        <w:rPr>
          <w:rFonts w:eastAsiaTheme="minorHAnsi" w:cs="Times New Roman"/>
          <w:sz w:val="20"/>
          <w:szCs w:val="20"/>
          <w:lang w:val="fr-CD" w:eastAsia="en-US"/>
        </w:rPr>
        <w:lastRenderedPageBreak/>
        <w:t>Plan pour les Peuples Autochtones</w:t>
      </w:r>
    </w:p>
    <w:p w:rsidR="00DE41D7" w:rsidRPr="00DE41D7" w:rsidRDefault="0003745E" w:rsidP="00590DB3">
      <w:pPr>
        <w:autoSpaceDE w:val="0"/>
        <w:autoSpaceDN w:val="0"/>
        <w:adjustRightInd w:val="0"/>
        <w:spacing w:after="0" w:line="240" w:lineRule="auto"/>
        <w:jc w:val="both"/>
        <w:rPr>
          <w:rStyle w:val="Hyperlink"/>
          <w:color w:val="0070C0"/>
        </w:rPr>
      </w:pPr>
      <w:hyperlink r:id="rId27" w:history="1">
        <w:r w:rsidR="00DE41D7" w:rsidRPr="00DE41D7">
          <w:rPr>
            <w:rStyle w:val="Hyperlink"/>
            <w:color w:val="0070C0"/>
            <w:sz w:val="20"/>
            <w:szCs w:val="20"/>
            <w:lang w:val="fr-CD"/>
          </w:rPr>
          <w:t>http://documents.banquemondiale.org/curated/fr/2014/03/19407483/congo-democratic-republic-improved-forested-landscape-management-project-indigenous-peoples-plan</w:t>
        </w:r>
      </w:hyperlink>
    </w:p>
    <w:p w:rsidR="00B65273" w:rsidRDefault="00B65273" w:rsidP="00590DB3">
      <w:pPr>
        <w:autoSpaceDE w:val="0"/>
        <w:autoSpaceDN w:val="0"/>
        <w:adjustRightInd w:val="0"/>
        <w:spacing w:after="0" w:line="240" w:lineRule="auto"/>
        <w:jc w:val="both"/>
        <w:rPr>
          <w:rFonts w:eastAsiaTheme="minorHAnsi" w:cs="Times New Roman"/>
          <w:b/>
          <w:sz w:val="20"/>
          <w:szCs w:val="20"/>
          <w:lang w:eastAsia="en-US"/>
        </w:rPr>
      </w:pPr>
    </w:p>
    <w:tbl>
      <w:tblPr>
        <w:tblW w:w="9090" w:type="dxa"/>
        <w:tblInd w:w="-5" w:type="dxa"/>
        <w:tblLook w:val="04A0" w:firstRow="1" w:lastRow="0" w:firstColumn="1" w:lastColumn="0" w:noHBand="0" w:noVBand="1"/>
      </w:tblPr>
      <w:tblGrid>
        <w:gridCol w:w="4260"/>
        <w:gridCol w:w="1440"/>
        <w:gridCol w:w="3390"/>
      </w:tblGrid>
      <w:tr w:rsidR="003F49B9" w:rsidRPr="00C85B29" w:rsidTr="00B5304D">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F49B9" w:rsidRPr="00C85B29" w:rsidRDefault="003F49B9" w:rsidP="00B5304D">
            <w:pPr>
              <w:spacing w:after="0" w:line="240" w:lineRule="auto"/>
              <w:jc w:val="center"/>
              <w:rPr>
                <w:rFonts w:ascii="Calibri" w:eastAsia="Times New Roman" w:hAnsi="Calibri" w:cs="Times New Roman"/>
                <w:b/>
                <w:bCs/>
                <w:color w:val="000000"/>
                <w:sz w:val="20"/>
                <w:szCs w:val="20"/>
                <w:lang w:val="en-US" w:eastAsia="en-US"/>
              </w:rPr>
            </w:pPr>
            <w:r w:rsidRPr="00C85B29">
              <w:rPr>
                <w:rFonts w:ascii="Calibri" w:eastAsia="Times New Roman" w:hAnsi="Calibri" w:cs="Times New Roman"/>
                <w:b/>
                <w:bCs/>
                <w:color w:val="000000"/>
                <w:sz w:val="20"/>
                <w:szCs w:val="20"/>
                <w:lang w:val="fr-CD" w:eastAsia="en-US"/>
              </w:rPr>
              <w:t xml:space="preserve">Politique  de sauvegarde </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rsidR="003F49B9" w:rsidRPr="00C85B29" w:rsidRDefault="003F49B9" w:rsidP="00B5304D">
            <w:pPr>
              <w:spacing w:after="0" w:line="240" w:lineRule="auto"/>
              <w:jc w:val="center"/>
              <w:rPr>
                <w:rFonts w:ascii="Calibri" w:eastAsia="Times New Roman" w:hAnsi="Calibri" w:cs="Times New Roman"/>
                <w:b/>
                <w:bCs/>
                <w:color w:val="000000"/>
                <w:sz w:val="20"/>
                <w:szCs w:val="20"/>
                <w:lang w:val="en-US" w:eastAsia="en-US"/>
              </w:rPr>
            </w:pPr>
            <w:r w:rsidRPr="00C85B29">
              <w:rPr>
                <w:rFonts w:ascii="Calibri" w:eastAsia="Times New Roman" w:hAnsi="Calibri" w:cs="Times New Roman"/>
                <w:b/>
                <w:bCs/>
                <w:color w:val="000000"/>
                <w:sz w:val="20"/>
                <w:szCs w:val="20"/>
                <w:lang w:val="fr-CD" w:eastAsia="en-US"/>
              </w:rPr>
              <w:t>Déclenchée</w:t>
            </w:r>
          </w:p>
        </w:tc>
        <w:tc>
          <w:tcPr>
            <w:tcW w:w="3390" w:type="dxa"/>
            <w:tcBorders>
              <w:top w:val="single" w:sz="4" w:space="0" w:color="auto"/>
              <w:left w:val="nil"/>
              <w:bottom w:val="single" w:sz="4" w:space="0" w:color="auto"/>
              <w:right w:val="single" w:sz="4" w:space="0" w:color="auto"/>
            </w:tcBorders>
            <w:shd w:val="clear" w:color="000000" w:fill="D9D9D9"/>
            <w:noWrap/>
            <w:vAlign w:val="center"/>
            <w:hideMark/>
          </w:tcPr>
          <w:p w:rsidR="003F49B9" w:rsidRPr="00C85B29" w:rsidRDefault="003F49B9" w:rsidP="00B5304D">
            <w:pPr>
              <w:spacing w:after="0" w:line="240" w:lineRule="auto"/>
              <w:jc w:val="center"/>
              <w:rPr>
                <w:rFonts w:ascii="Calibri" w:eastAsia="Times New Roman" w:hAnsi="Calibri" w:cs="Times New Roman"/>
                <w:b/>
                <w:bCs/>
                <w:color w:val="000000"/>
                <w:sz w:val="20"/>
                <w:szCs w:val="20"/>
                <w:lang w:val="en-US" w:eastAsia="en-US"/>
              </w:rPr>
            </w:pPr>
            <w:r w:rsidRPr="00C85B29">
              <w:rPr>
                <w:rFonts w:ascii="Calibri" w:eastAsia="Times New Roman" w:hAnsi="Calibri" w:cs="Times New Roman"/>
                <w:b/>
                <w:bCs/>
                <w:color w:val="000000"/>
                <w:sz w:val="20"/>
                <w:szCs w:val="20"/>
                <w:lang w:val="fr-CD" w:eastAsia="en-US"/>
              </w:rPr>
              <w:t>Explication (Optionnelle)</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Evaluation environnementale OP/BP 4.01</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Oui</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Habitats naturels OP/BP 4.04</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Oui</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Forêts OP/BP 4.36</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Oui</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Lutte antiparasitaire OP 4.09</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Oui</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2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eastAsia="en-US"/>
              </w:rPr>
            </w:pPr>
            <w:r w:rsidRPr="00C85B29">
              <w:rPr>
                <w:rFonts w:ascii="Calibri" w:eastAsia="Times New Roman" w:hAnsi="Calibri" w:cs="Times New Roman"/>
                <w:color w:val="000000"/>
                <w:sz w:val="20"/>
                <w:szCs w:val="20"/>
                <w:lang w:val="fr-CD" w:eastAsia="en-US"/>
              </w:rPr>
              <w:t>Ressources Culturelles Physiques OP/BP 4.11</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Oui</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Peuples autochtones OP/BP 4.10</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Oui</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0E36DA" w:rsidP="00575B80">
            <w:pPr>
              <w:spacing w:after="0" w:line="240" w:lineRule="auto"/>
              <w:rPr>
                <w:rFonts w:ascii="Calibri" w:eastAsia="Times New Roman" w:hAnsi="Calibri" w:cs="Times New Roman"/>
                <w:color w:val="000000"/>
                <w:sz w:val="20"/>
                <w:szCs w:val="20"/>
                <w:lang w:eastAsia="en-US"/>
              </w:rPr>
            </w:pPr>
            <w:r w:rsidRPr="000E36DA">
              <w:rPr>
                <w:rFonts w:ascii="Calibri" w:eastAsia="Times New Roman" w:hAnsi="Calibri" w:cs="Times New Roman"/>
                <w:color w:val="000000"/>
                <w:sz w:val="20"/>
                <w:szCs w:val="20"/>
                <w:lang w:eastAsia="en-US"/>
              </w:rPr>
              <w:t>C</w:t>
            </w:r>
            <w:r w:rsidRPr="000E36DA">
              <w:rPr>
                <w:rFonts w:eastAsiaTheme="minorHAnsi" w:cs="Times New Roman"/>
                <w:sz w:val="20"/>
                <w:szCs w:val="20"/>
                <w:lang w:eastAsia="en-US"/>
              </w:rPr>
              <w:t>onsultations spécifiques en vue d’identifier les investissements</w:t>
            </w:r>
            <w:r w:rsidR="00575B80">
              <w:rPr>
                <w:rFonts w:eastAsiaTheme="minorHAnsi" w:cs="Times New Roman"/>
                <w:sz w:val="20"/>
                <w:szCs w:val="20"/>
                <w:lang w:eastAsia="en-US"/>
              </w:rPr>
              <w:t xml:space="preserve"> prioritaires</w:t>
            </w:r>
            <w:r w:rsidRPr="000E36DA">
              <w:rPr>
                <w:rFonts w:eastAsiaTheme="minorHAnsi" w:cs="Times New Roman"/>
                <w:sz w:val="20"/>
                <w:szCs w:val="20"/>
                <w:lang w:eastAsia="en-US"/>
              </w:rPr>
              <w:t xml:space="preserve"> de</w:t>
            </w:r>
            <w:r w:rsidR="00575B80">
              <w:rPr>
                <w:rFonts w:eastAsiaTheme="minorHAnsi" w:cs="Times New Roman"/>
                <w:sz w:val="20"/>
                <w:szCs w:val="20"/>
                <w:lang w:eastAsia="en-US"/>
              </w:rPr>
              <w:t xml:space="preserve">s Plans de Développement des Peuples Autochtones (PDPA) </w:t>
            </w:r>
            <w:r w:rsidRPr="000E36DA">
              <w:rPr>
                <w:rFonts w:eastAsiaTheme="minorHAnsi" w:cs="Times New Roman"/>
                <w:sz w:val="20"/>
                <w:szCs w:val="20"/>
                <w:lang w:eastAsia="en-US"/>
              </w:rPr>
              <w:t xml:space="preserve"> établis par le P</w:t>
            </w:r>
            <w:r w:rsidR="00575B80">
              <w:rPr>
                <w:rFonts w:eastAsiaTheme="minorHAnsi" w:cs="Times New Roman"/>
                <w:sz w:val="20"/>
                <w:szCs w:val="20"/>
                <w:lang w:eastAsia="en-US"/>
              </w:rPr>
              <w:t xml:space="preserve">rojet </w:t>
            </w:r>
            <w:r w:rsidR="00575B80" w:rsidRPr="000E36DA">
              <w:rPr>
                <w:rFonts w:eastAsiaTheme="minorHAnsi" w:cs="Times New Roman"/>
                <w:sz w:val="20"/>
                <w:szCs w:val="20"/>
                <w:lang w:eastAsia="en-US"/>
              </w:rPr>
              <w:t>F</w:t>
            </w:r>
            <w:r w:rsidR="00575B80">
              <w:rPr>
                <w:rFonts w:eastAsiaTheme="minorHAnsi" w:cs="Times New Roman"/>
                <w:sz w:val="20"/>
                <w:szCs w:val="20"/>
                <w:lang w:eastAsia="en-US"/>
              </w:rPr>
              <w:t xml:space="preserve">orêt </w:t>
            </w:r>
            <w:r w:rsidRPr="000E36DA">
              <w:rPr>
                <w:rFonts w:eastAsiaTheme="minorHAnsi" w:cs="Times New Roman"/>
                <w:sz w:val="20"/>
                <w:szCs w:val="20"/>
                <w:lang w:eastAsia="en-US"/>
              </w:rPr>
              <w:t>C</w:t>
            </w:r>
            <w:r w:rsidR="00575B80">
              <w:rPr>
                <w:rFonts w:eastAsiaTheme="minorHAnsi" w:cs="Times New Roman"/>
                <w:sz w:val="20"/>
                <w:szCs w:val="20"/>
                <w:lang w:eastAsia="en-US"/>
              </w:rPr>
              <w:t>onservation de la Nature (PFCN)</w:t>
            </w:r>
            <w:r>
              <w:rPr>
                <w:rFonts w:eastAsiaTheme="minorHAnsi" w:cs="Times New Roman"/>
                <w:sz w:val="20"/>
                <w:szCs w:val="20"/>
                <w:lang w:eastAsia="en-US"/>
              </w:rPr>
              <w:t>,</w:t>
            </w:r>
            <w:r w:rsidRPr="000E36DA">
              <w:rPr>
                <w:rFonts w:eastAsiaTheme="minorHAnsi" w:cs="Times New Roman"/>
                <w:sz w:val="20"/>
                <w:szCs w:val="20"/>
                <w:lang w:eastAsia="en-US"/>
              </w:rPr>
              <w:t xml:space="preserve"> et pour l’établissement potentiel de concession forestière</w:t>
            </w:r>
            <w:r w:rsidR="00575B80">
              <w:rPr>
                <w:rFonts w:eastAsiaTheme="minorHAnsi" w:cs="Times New Roman"/>
                <w:sz w:val="20"/>
                <w:szCs w:val="20"/>
                <w:lang w:eastAsia="en-US"/>
              </w:rPr>
              <w:t>s</w:t>
            </w:r>
            <w:r w:rsidRPr="000E36DA">
              <w:rPr>
                <w:rFonts w:eastAsiaTheme="minorHAnsi" w:cs="Times New Roman"/>
                <w:sz w:val="20"/>
                <w:szCs w:val="20"/>
                <w:lang w:eastAsia="en-US"/>
              </w:rPr>
              <w:t xml:space="preserve"> des communautés locales</w:t>
            </w:r>
            <w:r w:rsidR="00575B80">
              <w:rPr>
                <w:rFonts w:eastAsiaTheme="minorHAnsi" w:cs="Times New Roman"/>
                <w:sz w:val="20"/>
                <w:szCs w:val="20"/>
                <w:lang w:eastAsia="en-US"/>
              </w:rPr>
              <w:t>.</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Relocalisation involontaire OP/BP 4.12</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Oui</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eastAsia="en-US"/>
              </w:rPr>
            </w:pPr>
            <w:r w:rsidRPr="00C85B29">
              <w:rPr>
                <w:rFonts w:ascii="Calibri" w:eastAsia="Times New Roman" w:hAnsi="Calibri" w:cs="Times New Roman"/>
                <w:color w:val="000000"/>
                <w:sz w:val="20"/>
                <w:szCs w:val="20"/>
                <w:lang w:eastAsia="en-US"/>
              </w:rPr>
              <w:t>Sécurité des barrages OP/BP 4.37</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Non</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60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eastAsia="en-US"/>
              </w:rPr>
            </w:pPr>
            <w:r w:rsidRPr="00C85B29">
              <w:rPr>
                <w:rFonts w:ascii="Calibri" w:eastAsia="Times New Roman" w:hAnsi="Calibri" w:cs="Times New Roman"/>
                <w:color w:val="000000"/>
                <w:sz w:val="20"/>
                <w:szCs w:val="20"/>
                <w:lang w:eastAsia="en-US"/>
              </w:rPr>
              <w:t>Projets sur les Voies navigables internationales OP/BP 7.50</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Non</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r w:rsidR="003F49B9" w:rsidRPr="00C85B29" w:rsidTr="00B5304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rPr>
                <w:rFonts w:ascii="Calibri" w:eastAsia="Times New Roman" w:hAnsi="Calibri" w:cs="Times New Roman"/>
                <w:color w:val="000000"/>
                <w:sz w:val="20"/>
                <w:szCs w:val="20"/>
                <w:lang w:eastAsia="en-US"/>
              </w:rPr>
            </w:pPr>
            <w:r w:rsidRPr="00C85B29">
              <w:rPr>
                <w:rFonts w:ascii="Calibri" w:eastAsia="Times New Roman" w:hAnsi="Calibri" w:cs="Times New Roman"/>
                <w:color w:val="000000"/>
                <w:sz w:val="20"/>
                <w:szCs w:val="20"/>
                <w:lang w:eastAsia="en-US"/>
              </w:rPr>
              <w:t>Projets dans les zones contestées OP/BP 7.60</w:t>
            </w:r>
          </w:p>
        </w:tc>
        <w:tc>
          <w:tcPr>
            <w:tcW w:w="1440" w:type="dxa"/>
            <w:tcBorders>
              <w:top w:val="nil"/>
              <w:left w:val="nil"/>
              <w:bottom w:val="single" w:sz="4" w:space="0" w:color="auto"/>
              <w:right w:val="single" w:sz="4" w:space="0" w:color="auto"/>
            </w:tcBorders>
            <w:shd w:val="clear" w:color="auto" w:fill="auto"/>
            <w:noWrap/>
            <w:vAlign w:val="center"/>
            <w:hideMark/>
          </w:tcPr>
          <w:p w:rsidR="003F49B9" w:rsidRPr="00C85B29" w:rsidRDefault="003F49B9" w:rsidP="00B5304D">
            <w:pPr>
              <w:spacing w:after="0" w:line="240" w:lineRule="auto"/>
              <w:jc w:val="center"/>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fr-CD" w:eastAsia="en-US"/>
              </w:rPr>
              <w:t>Non</w:t>
            </w:r>
          </w:p>
        </w:tc>
        <w:tc>
          <w:tcPr>
            <w:tcW w:w="3390" w:type="dxa"/>
            <w:tcBorders>
              <w:top w:val="nil"/>
              <w:left w:val="nil"/>
              <w:bottom w:val="single" w:sz="4" w:space="0" w:color="auto"/>
              <w:right w:val="single" w:sz="4" w:space="0" w:color="auto"/>
            </w:tcBorders>
            <w:shd w:val="clear" w:color="auto" w:fill="auto"/>
            <w:noWrap/>
            <w:vAlign w:val="bottom"/>
            <w:hideMark/>
          </w:tcPr>
          <w:p w:rsidR="003F49B9" w:rsidRPr="00C85B29" w:rsidRDefault="003F49B9" w:rsidP="00B5304D">
            <w:pPr>
              <w:spacing w:after="0" w:line="240" w:lineRule="auto"/>
              <w:rPr>
                <w:rFonts w:ascii="Calibri" w:eastAsia="Times New Roman" w:hAnsi="Calibri" w:cs="Times New Roman"/>
                <w:color w:val="000000"/>
                <w:sz w:val="20"/>
                <w:szCs w:val="20"/>
                <w:lang w:val="en-US" w:eastAsia="en-US"/>
              </w:rPr>
            </w:pPr>
            <w:r w:rsidRPr="00C85B29">
              <w:rPr>
                <w:rFonts w:ascii="Calibri" w:eastAsia="Times New Roman" w:hAnsi="Calibri" w:cs="Times New Roman"/>
                <w:color w:val="000000"/>
                <w:sz w:val="20"/>
                <w:szCs w:val="20"/>
                <w:lang w:val="en-US" w:eastAsia="en-US"/>
              </w:rPr>
              <w:t> </w:t>
            </w:r>
          </w:p>
        </w:tc>
      </w:tr>
    </w:tbl>
    <w:p w:rsidR="00D33E12" w:rsidRDefault="00D33E12">
      <w:pPr>
        <w:spacing w:after="160" w:line="259" w:lineRule="auto"/>
        <w:rPr>
          <w:rFonts w:asciiTheme="majorHAnsi" w:eastAsiaTheme="majorEastAsia" w:hAnsiTheme="majorHAnsi" w:cstheme="majorBidi"/>
          <w:color w:val="2E74B5" w:themeColor="accent1" w:themeShade="BF"/>
          <w:sz w:val="32"/>
          <w:szCs w:val="32"/>
        </w:rPr>
      </w:pPr>
    </w:p>
    <w:p w:rsidR="00DE41D7" w:rsidRDefault="00DE41D7">
      <w:pPr>
        <w:spacing w:after="160" w:line="259" w:lineRule="auto"/>
        <w:rPr>
          <w:rFonts w:asciiTheme="majorHAnsi" w:eastAsiaTheme="majorEastAsia" w:hAnsiTheme="majorHAnsi" w:cstheme="majorBidi"/>
          <w:color w:val="2E74B5" w:themeColor="accent1" w:themeShade="BF"/>
          <w:sz w:val="32"/>
          <w:szCs w:val="32"/>
        </w:rPr>
      </w:pPr>
      <w:r>
        <w:br w:type="page"/>
      </w:r>
    </w:p>
    <w:p w:rsidR="009B30E2" w:rsidRPr="00401544" w:rsidRDefault="009B30E2" w:rsidP="00B277C0">
      <w:pPr>
        <w:pStyle w:val="Heading1"/>
        <w:ind w:left="360"/>
      </w:pPr>
      <w:bookmarkStart w:id="37" w:name="_Toc469036933"/>
      <w:r w:rsidRPr="00401544">
        <w:lastRenderedPageBreak/>
        <w:t>Contrôle, évaluation et information</w:t>
      </w:r>
      <w:bookmarkEnd w:id="37"/>
      <w:r w:rsidRPr="00401544">
        <w:t xml:space="preserve"> </w:t>
      </w:r>
    </w:p>
    <w:p w:rsidR="00401544" w:rsidRDefault="00401544" w:rsidP="00C40F71">
      <w:pPr>
        <w:tabs>
          <w:tab w:val="right" w:pos="765"/>
        </w:tabs>
        <w:contextualSpacing/>
        <w:jc w:val="lowKashida"/>
        <w:rPr>
          <w:rFonts w:eastAsiaTheme="minorHAnsi"/>
          <w:bCs/>
          <w:sz w:val="20"/>
          <w:szCs w:val="20"/>
          <w:lang w:eastAsia="en-US"/>
        </w:rPr>
      </w:pPr>
    </w:p>
    <w:p w:rsidR="005F3E2D" w:rsidRPr="00302B2C" w:rsidRDefault="00E501DA" w:rsidP="005F3E2D">
      <w:pPr>
        <w:rPr>
          <w:sz w:val="20"/>
          <w:szCs w:val="20"/>
        </w:rPr>
      </w:pPr>
      <w:r w:rsidRPr="00E501DA">
        <w:rPr>
          <w:sz w:val="20"/>
          <w:szCs w:val="20"/>
        </w:rPr>
        <w:t>Le</w:t>
      </w:r>
      <w:r w:rsidR="000A77D6">
        <w:rPr>
          <w:sz w:val="20"/>
          <w:szCs w:val="20"/>
        </w:rPr>
        <w:t xml:space="preserve">s </w:t>
      </w:r>
      <w:r w:rsidR="00302B2C">
        <w:rPr>
          <w:sz w:val="20"/>
          <w:szCs w:val="20"/>
        </w:rPr>
        <w:t>procédures de supervision et d’évaluation du</w:t>
      </w:r>
      <w:r w:rsidRPr="00E501DA">
        <w:rPr>
          <w:sz w:val="20"/>
          <w:szCs w:val="20"/>
        </w:rPr>
        <w:t xml:space="preserve"> PIREDD Mai-Ndombe </w:t>
      </w:r>
      <w:r w:rsidR="00302B2C">
        <w:rPr>
          <w:sz w:val="20"/>
          <w:szCs w:val="20"/>
        </w:rPr>
        <w:t xml:space="preserve">suivront les procédures habituelles de la Banque mondiale, avec notamment une mission d’évaluation </w:t>
      </w:r>
      <w:r w:rsidR="00E87F2C">
        <w:rPr>
          <w:sz w:val="20"/>
          <w:szCs w:val="20"/>
        </w:rPr>
        <w:t>à</w:t>
      </w:r>
      <w:r w:rsidR="00302B2C">
        <w:rPr>
          <w:sz w:val="20"/>
          <w:szCs w:val="20"/>
        </w:rPr>
        <w:t xml:space="preserve"> </w:t>
      </w:r>
      <w:r w:rsidR="00843B3A">
        <w:rPr>
          <w:sz w:val="20"/>
          <w:szCs w:val="20"/>
        </w:rPr>
        <w:t>mi période</w:t>
      </w:r>
      <w:r w:rsidR="00302B2C">
        <w:rPr>
          <w:sz w:val="20"/>
          <w:szCs w:val="20"/>
        </w:rPr>
        <w:t>.</w:t>
      </w:r>
    </w:p>
    <w:p w:rsidR="00E501DA" w:rsidRPr="00DE41D7" w:rsidRDefault="0003745E" w:rsidP="00DE41D7">
      <w:pPr>
        <w:autoSpaceDE w:val="0"/>
        <w:autoSpaceDN w:val="0"/>
        <w:adjustRightInd w:val="0"/>
        <w:spacing w:after="0" w:line="240" w:lineRule="auto"/>
        <w:jc w:val="both"/>
        <w:rPr>
          <w:rStyle w:val="Hyperlink"/>
          <w:color w:val="0070C0"/>
          <w:sz w:val="20"/>
          <w:szCs w:val="20"/>
          <w:lang w:val="fr-CD"/>
        </w:rPr>
      </w:pPr>
      <w:hyperlink r:id="rId28" w:history="1">
        <w:r w:rsidR="00DE41D7" w:rsidRPr="00DE41D7">
          <w:rPr>
            <w:rStyle w:val="Hyperlink"/>
            <w:color w:val="0070C0"/>
            <w:sz w:val="20"/>
            <w:szCs w:val="20"/>
            <w:lang w:val="fr-CD"/>
          </w:rPr>
          <w:t>http://web.worldbank.org/WBSITE/EXTERNAL/ACCUEILEXTN/EXTPPFRENCH/0,,contentMDK:20220468~hlPK:385824~menuPK:64130631~pagePK:64130495~piPK:64130272~theSitePK:385794,00.html</w:t>
        </w:r>
      </w:hyperlink>
    </w:p>
    <w:p w:rsidR="00DE41D7" w:rsidRDefault="00DE41D7" w:rsidP="00594D19">
      <w:pPr>
        <w:spacing w:after="0"/>
        <w:rPr>
          <w:sz w:val="20"/>
          <w:szCs w:val="20"/>
        </w:rPr>
      </w:pPr>
    </w:p>
    <w:p w:rsidR="00E501DA" w:rsidRPr="00E501DA" w:rsidRDefault="00302B2C" w:rsidP="00594D19">
      <w:pPr>
        <w:spacing w:after="0"/>
        <w:rPr>
          <w:sz w:val="20"/>
          <w:szCs w:val="20"/>
        </w:rPr>
      </w:pPr>
      <w:r>
        <w:rPr>
          <w:sz w:val="20"/>
          <w:szCs w:val="20"/>
        </w:rPr>
        <w:t>Par dérogation à la pratique habituelle, les règles de supervision en matière de gestion fiduciaires seront été renforcées (voir ANNEXE</w:t>
      </w:r>
      <w:r w:rsidR="00E87F2C">
        <w:rPr>
          <w:sz w:val="20"/>
          <w:szCs w:val="20"/>
        </w:rPr>
        <w:t xml:space="preserve"> 6)</w:t>
      </w:r>
    </w:p>
    <w:p w:rsidR="009B30E2" w:rsidRPr="00401544" w:rsidRDefault="009B30E2" w:rsidP="00B277C0">
      <w:pPr>
        <w:pStyle w:val="Heading1"/>
        <w:ind w:left="360"/>
      </w:pPr>
      <w:bookmarkStart w:id="38" w:name="_Toc469036934"/>
      <w:r w:rsidRPr="00401544">
        <w:t>Plan de consultation effectué et/ou programmée</w:t>
      </w:r>
      <w:bookmarkEnd w:id="38"/>
      <w:r w:rsidR="005F3E2D" w:rsidRPr="00401544">
        <w:tab/>
      </w:r>
    </w:p>
    <w:p w:rsidR="007A2C1D" w:rsidRDefault="006E024D" w:rsidP="000916BF">
      <w:pPr>
        <w:jc w:val="both"/>
        <w:rPr>
          <w:sz w:val="20"/>
          <w:szCs w:val="20"/>
          <w:lang w:val="fr-CD"/>
        </w:rPr>
      </w:pPr>
      <w:r>
        <w:rPr>
          <w:sz w:val="20"/>
          <w:szCs w:val="20"/>
          <w:lang w:val="fr-CD"/>
        </w:rPr>
        <w:t>Les populations du district du Mai-Ndombe ont été soumises à rude épreuve en matière de consultation ces dernières années. Elles ont accompagné le développement des outils  de l</w:t>
      </w:r>
      <w:r w:rsidR="000916BF">
        <w:rPr>
          <w:sz w:val="20"/>
          <w:szCs w:val="20"/>
          <w:lang w:val="fr-CD"/>
        </w:rPr>
        <w:t xml:space="preserve">a REDD+, </w:t>
      </w:r>
      <w:r>
        <w:rPr>
          <w:sz w:val="20"/>
          <w:szCs w:val="20"/>
          <w:lang w:val="fr-CD"/>
        </w:rPr>
        <w:t xml:space="preserve">notamment </w:t>
      </w:r>
      <w:r w:rsidR="00FD256B">
        <w:rPr>
          <w:sz w:val="20"/>
          <w:szCs w:val="20"/>
          <w:lang w:val="fr-CD"/>
        </w:rPr>
        <w:t xml:space="preserve">le CGES </w:t>
      </w:r>
      <w:r w:rsidR="000916BF">
        <w:rPr>
          <w:sz w:val="20"/>
          <w:szCs w:val="20"/>
          <w:lang w:val="fr-CD"/>
        </w:rPr>
        <w:t>et ses plans et</w:t>
      </w:r>
      <w:r w:rsidR="00843B3A">
        <w:rPr>
          <w:sz w:val="20"/>
          <w:szCs w:val="20"/>
          <w:lang w:val="fr-CD"/>
        </w:rPr>
        <w:t xml:space="preserve"> cadres</w:t>
      </w:r>
      <w:r w:rsidR="000916BF">
        <w:rPr>
          <w:sz w:val="20"/>
          <w:szCs w:val="20"/>
          <w:lang w:val="fr-CD"/>
        </w:rPr>
        <w:t xml:space="preserve"> spécifiques, mais aussi le développement </w:t>
      </w:r>
      <w:r>
        <w:rPr>
          <w:sz w:val="20"/>
          <w:szCs w:val="20"/>
          <w:lang w:val="fr-CD"/>
        </w:rPr>
        <w:t>du Programme de Réduction des Emi</w:t>
      </w:r>
      <w:r w:rsidR="000916BF">
        <w:rPr>
          <w:sz w:val="20"/>
          <w:szCs w:val="20"/>
          <w:lang w:val="fr-CD"/>
        </w:rPr>
        <w:t>ssions du Mai-Ndombe qui imposait quant à lui des concertations pour définir les principes du plan de partage des bénéfices à intervenir.</w:t>
      </w:r>
    </w:p>
    <w:p w:rsidR="000916BF" w:rsidRDefault="000916BF" w:rsidP="000916BF">
      <w:pPr>
        <w:jc w:val="both"/>
        <w:rPr>
          <w:sz w:val="20"/>
          <w:szCs w:val="20"/>
          <w:lang w:val="fr-CD"/>
        </w:rPr>
      </w:pPr>
      <w:r>
        <w:rPr>
          <w:sz w:val="20"/>
          <w:szCs w:val="20"/>
          <w:lang w:val="fr-CD"/>
        </w:rPr>
        <w:t>A ce jour, les populations du Mai-Ndombe souhaitent des actions concrètes. Elles le demandent avec force et d’autant plus violemment qu’elles n’ont rien vu venir jusqu’à maintenant.</w:t>
      </w:r>
    </w:p>
    <w:p w:rsidR="00555F5D" w:rsidRDefault="000916BF" w:rsidP="000916BF">
      <w:pPr>
        <w:jc w:val="both"/>
        <w:rPr>
          <w:sz w:val="20"/>
          <w:szCs w:val="20"/>
        </w:rPr>
      </w:pPr>
      <w:r>
        <w:rPr>
          <w:sz w:val="20"/>
          <w:szCs w:val="20"/>
          <w:lang w:val="fr-CD"/>
        </w:rPr>
        <w:t xml:space="preserve">Ils convient donc désormais de procéder au plus vite à des actions de terrain </w:t>
      </w:r>
      <w:r>
        <w:rPr>
          <w:sz w:val="20"/>
          <w:szCs w:val="20"/>
        </w:rPr>
        <w:t>qui  satisferont</w:t>
      </w:r>
      <w:r w:rsidRPr="000916BF">
        <w:rPr>
          <w:sz w:val="20"/>
          <w:szCs w:val="20"/>
        </w:rPr>
        <w:t xml:space="preserve"> leurs attentes</w:t>
      </w:r>
      <w:r>
        <w:rPr>
          <w:sz w:val="20"/>
          <w:szCs w:val="20"/>
        </w:rPr>
        <w:t>.</w:t>
      </w:r>
    </w:p>
    <w:p w:rsidR="00C40F71" w:rsidRPr="00555F5D" w:rsidRDefault="00555F5D" w:rsidP="000916BF">
      <w:pPr>
        <w:jc w:val="both"/>
        <w:rPr>
          <w:sz w:val="20"/>
          <w:szCs w:val="20"/>
        </w:rPr>
      </w:pPr>
      <w:r>
        <w:rPr>
          <w:sz w:val="20"/>
          <w:szCs w:val="20"/>
        </w:rPr>
        <w:t>Sans attendre, la finalisation des PDD</w:t>
      </w:r>
      <w:r w:rsidR="008C7495">
        <w:rPr>
          <w:sz w:val="20"/>
          <w:szCs w:val="20"/>
        </w:rPr>
        <w:t xml:space="preserve"> et PSG</w:t>
      </w:r>
      <w:r>
        <w:rPr>
          <w:sz w:val="20"/>
          <w:szCs w:val="20"/>
        </w:rPr>
        <w:t xml:space="preserve"> et la réalisation des investissements correspondants, le projet lancera des actions précoces sur la base des</w:t>
      </w:r>
      <w:r w:rsidRPr="00555F5D">
        <w:t xml:space="preserve"> </w:t>
      </w:r>
      <w:r w:rsidRPr="00555F5D">
        <w:rPr>
          <w:sz w:val="20"/>
          <w:szCs w:val="20"/>
        </w:rPr>
        <w:t xml:space="preserve">Plans de Développement des Peuples Autochtones (PDPA) </w:t>
      </w:r>
      <w:r>
        <w:rPr>
          <w:sz w:val="20"/>
          <w:szCs w:val="20"/>
        </w:rPr>
        <w:t xml:space="preserve">existants et </w:t>
      </w:r>
      <w:r w:rsidRPr="00555F5D">
        <w:rPr>
          <w:sz w:val="20"/>
          <w:szCs w:val="20"/>
        </w:rPr>
        <w:t>financés par le PFCN de la Banque mondiale.</w:t>
      </w:r>
      <w:r>
        <w:rPr>
          <w:sz w:val="20"/>
          <w:szCs w:val="20"/>
        </w:rPr>
        <w:t xml:space="preserve"> Des consultations seront néanmoins nécessaires</w:t>
      </w:r>
      <w:r w:rsidR="000916BF">
        <w:rPr>
          <w:sz w:val="20"/>
          <w:szCs w:val="20"/>
        </w:rPr>
        <w:t xml:space="preserve"> </w:t>
      </w:r>
      <w:r>
        <w:rPr>
          <w:sz w:val="20"/>
          <w:szCs w:val="20"/>
        </w:rPr>
        <w:t>pour</w:t>
      </w:r>
      <w:r w:rsidR="000916BF">
        <w:rPr>
          <w:sz w:val="20"/>
          <w:szCs w:val="20"/>
        </w:rPr>
        <w:t xml:space="preserve"> </w:t>
      </w:r>
      <w:r w:rsidR="000916BF">
        <w:rPr>
          <w:sz w:val="20"/>
          <w:szCs w:val="20"/>
          <w:lang w:val="fr-CD"/>
        </w:rPr>
        <w:t>l’identification des priorités</w:t>
      </w:r>
      <w:r>
        <w:rPr>
          <w:sz w:val="20"/>
          <w:szCs w:val="20"/>
          <w:lang w:val="fr-CD"/>
        </w:rPr>
        <w:t xml:space="preserve">. </w:t>
      </w:r>
      <w:r w:rsidR="000916BF">
        <w:rPr>
          <w:sz w:val="20"/>
          <w:szCs w:val="20"/>
          <w:lang w:val="fr-CD"/>
        </w:rPr>
        <w:t>U</w:t>
      </w:r>
      <w:r w:rsidR="006E024D" w:rsidRPr="006E024D">
        <w:rPr>
          <w:sz w:val="20"/>
          <w:szCs w:val="20"/>
          <w:lang w:val="fr-CD"/>
        </w:rPr>
        <w:t>ne</w:t>
      </w:r>
      <w:r w:rsidR="000916BF">
        <w:rPr>
          <w:sz w:val="20"/>
          <w:szCs w:val="20"/>
          <w:lang w:val="fr-CD"/>
        </w:rPr>
        <w:t xml:space="preserve"> vingtaine de micro-projets </w:t>
      </w:r>
      <w:r w:rsidR="006E024D" w:rsidRPr="006E024D">
        <w:rPr>
          <w:sz w:val="20"/>
          <w:szCs w:val="20"/>
          <w:lang w:val="fr-CD"/>
        </w:rPr>
        <w:t>seront</w:t>
      </w:r>
      <w:r>
        <w:rPr>
          <w:sz w:val="20"/>
          <w:szCs w:val="20"/>
          <w:lang w:val="fr-CD"/>
        </w:rPr>
        <w:t xml:space="preserve"> ainsi</w:t>
      </w:r>
      <w:r w:rsidR="006E024D" w:rsidRPr="006E024D">
        <w:rPr>
          <w:sz w:val="20"/>
          <w:szCs w:val="20"/>
          <w:lang w:val="fr-CD"/>
        </w:rPr>
        <w:t xml:space="preserve"> identifiés au cours d’un processus de consultation</w:t>
      </w:r>
      <w:r w:rsidR="000916BF">
        <w:rPr>
          <w:sz w:val="20"/>
          <w:szCs w:val="20"/>
          <w:lang w:val="fr-CD"/>
        </w:rPr>
        <w:t xml:space="preserve"> rapide</w:t>
      </w:r>
      <w:r w:rsidR="006E024D" w:rsidRPr="006E024D">
        <w:rPr>
          <w:sz w:val="20"/>
          <w:szCs w:val="20"/>
          <w:lang w:val="fr-CD"/>
        </w:rPr>
        <w:t xml:space="preserve"> qui associera les intéressés, mais aussi les représentants du REPALEF e</w:t>
      </w:r>
      <w:r w:rsidR="000916BF">
        <w:rPr>
          <w:sz w:val="20"/>
          <w:szCs w:val="20"/>
          <w:lang w:val="fr-CD"/>
        </w:rPr>
        <w:t>t du Mécanisme Spécial de Dons.</w:t>
      </w:r>
    </w:p>
    <w:p w:rsidR="00C96C58" w:rsidRPr="009D052E" w:rsidRDefault="00C40F71" w:rsidP="009D052E">
      <w:pPr>
        <w:pStyle w:val="Heading1"/>
        <w:ind w:left="360"/>
      </w:pPr>
      <w:bookmarkStart w:id="39" w:name="_Toc469036935"/>
      <w:r w:rsidRPr="00401544">
        <w:t>Cadre Juridique</w:t>
      </w:r>
      <w:bookmarkEnd w:id="39"/>
    </w:p>
    <w:p w:rsidR="00C96C58" w:rsidRPr="000A77D6" w:rsidRDefault="000A77D6" w:rsidP="000A77D6">
      <w:pPr>
        <w:jc w:val="both"/>
        <w:rPr>
          <w:sz w:val="20"/>
          <w:szCs w:val="20"/>
        </w:rPr>
      </w:pPr>
      <w:r w:rsidRPr="000A77D6">
        <w:rPr>
          <w:sz w:val="20"/>
          <w:szCs w:val="20"/>
        </w:rPr>
        <w:t xml:space="preserve">La </w:t>
      </w:r>
      <w:r>
        <w:rPr>
          <w:sz w:val="20"/>
          <w:szCs w:val="20"/>
        </w:rPr>
        <w:t xml:space="preserve">présente section détaille </w:t>
      </w:r>
      <w:r w:rsidR="00C96C58">
        <w:rPr>
          <w:sz w:val="20"/>
          <w:szCs w:val="20"/>
        </w:rPr>
        <w:t xml:space="preserve">le cadre juridique qui régira les conditions de mise en œuvre du PIREDD Mai-Ndombe par la Banque mondiale. </w:t>
      </w:r>
      <w:r w:rsidR="00C96C58" w:rsidRPr="00C96C58">
        <w:rPr>
          <w:sz w:val="20"/>
          <w:szCs w:val="20"/>
        </w:rPr>
        <w:t>Il apparait qu</w:t>
      </w:r>
      <w:r w:rsidR="00C96C58">
        <w:rPr>
          <w:sz w:val="20"/>
          <w:szCs w:val="20"/>
        </w:rPr>
        <w:t xml:space="preserve">’il n’y aura </w:t>
      </w:r>
      <w:r w:rsidR="00C96C58" w:rsidRPr="00C96C58">
        <w:rPr>
          <w:sz w:val="20"/>
          <w:szCs w:val="20"/>
        </w:rPr>
        <w:t>pas d’accord juridique</w:t>
      </w:r>
      <w:r w:rsidR="00C96C58">
        <w:rPr>
          <w:sz w:val="20"/>
          <w:szCs w:val="20"/>
        </w:rPr>
        <w:t xml:space="preserve"> entre la Banque mondiale et</w:t>
      </w:r>
      <w:r w:rsidR="00C96C58" w:rsidRPr="00C96C58">
        <w:rPr>
          <w:sz w:val="20"/>
          <w:szCs w:val="20"/>
        </w:rPr>
        <w:t xml:space="preserve"> le gouvernement de</w:t>
      </w:r>
      <w:r w:rsidR="00C96C58">
        <w:rPr>
          <w:sz w:val="20"/>
          <w:szCs w:val="20"/>
        </w:rPr>
        <w:t xml:space="preserve"> la</w:t>
      </w:r>
      <w:r w:rsidR="00C96C58" w:rsidRPr="00C96C58">
        <w:rPr>
          <w:sz w:val="20"/>
          <w:szCs w:val="20"/>
        </w:rPr>
        <w:t xml:space="preserve"> RDC pour</w:t>
      </w:r>
      <w:r w:rsidR="00C96C58">
        <w:rPr>
          <w:sz w:val="20"/>
          <w:szCs w:val="20"/>
        </w:rPr>
        <w:t xml:space="preserve"> traiter des obligations des parties relatives au transfert des fonds depuis le Fonds National REDD+ </w:t>
      </w:r>
      <w:r w:rsidR="009D052E">
        <w:rPr>
          <w:sz w:val="20"/>
          <w:szCs w:val="20"/>
        </w:rPr>
        <w:t xml:space="preserve">(FONAREDD) </w:t>
      </w:r>
      <w:r w:rsidR="00C96C58">
        <w:rPr>
          <w:sz w:val="20"/>
          <w:szCs w:val="20"/>
        </w:rPr>
        <w:t xml:space="preserve">vers la Banque mondiale. </w:t>
      </w:r>
      <w:r w:rsidR="009D052E">
        <w:rPr>
          <w:sz w:val="20"/>
          <w:szCs w:val="20"/>
        </w:rPr>
        <w:t>C’est l’Accord A</w:t>
      </w:r>
      <w:r w:rsidR="00C96C58" w:rsidRPr="00C96C58">
        <w:rPr>
          <w:sz w:val="20"/>
          <w:szCs w:val="20"/>
        </w:rPr>
        <w:t xml:space="preserve">dministratif entre la Banque mondiale et le PNUD </w:t>
      </w:r>
      <w:r w:rsidR="009D052E">
        <w:rPr>
          <w:sz w:val="20"/>
          <w:szCs w:val="20"/>
        </w:rPr>
        <w:t xml:space="preserve">qui </w:t>
      </w:r>
      <w:r w:rsidR="00170905">
        <w:rPr>
          <w:sz w:val="20"/>
          <w:szCs w:val="20"/>
        </w:rPr>
        <w:t>régira</w:t>
      </w:r>
      <w:r w:rsidR="009D052E">
        <w:rPr>
          <w:sz w:val="20"/>
          <w:szCs w:val="20"/>
        </w:rPr>
        <w:t xml:space="preserve"> ce transfert en précisant les obligations des parties.</w:t>
      </w:r>
    </w:p>
    <w:p w:rsidR="000A77D6" w:rsidRPr="00A62830" w:rsidRDefault="000A77D6" w:rsidP="000A77D6">
      <w:pPr>
        <w:jc w:val="center"/>
      </w:pPr>
      <w:r>
        <w:rPr>
          <w:noProof/>
        </w:rPr>
        <w:drawing>
          <wp:inline distT="0" distB="0" distL="0" distR="0">
            <wp:extent cx="4937760" cy="249077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5801" cy="2504918"/>
                    </a:xfrm>
                    <a:prstGeom prst="rect">
                      <a:avLst/>
                    </a:prstGeom>
                    <a:noFill/>
                  </pic:spPr>
                </pic:pic>
              </a:graphicData>
            </a:graphic>
          </wp:inline>
        </w:drawing>
      </w:r>
    </w:p>
    <w:p w:rsidR="009D052E" w:rsidRPr="000A77D6" w:rsidRDefault="009D052E" w:rsidP="000A77D6">
      <w:pPr>
        <w:rPr>
          <w:sz w:val="20"/>
          <w:szCs w:val="20"/>
        </w:rPr>
      </w:pPr>
      <w:r>
        <w:rPr>
          <w:sz w:val="20"/>
          <w:szCs w:val="20"/>
        </w:rPr>
        <w:lastRenderedPageBreak/>
        <w:t>Plus précisément, c’est l</w:t>
      </w:r>
      <w:r w:rsidR="000A77D6" w:rsidRPr="000A77D6">
        <w:rPr>
          <w:sz w:val="20"/>
          <w:szCs w:val="20"/>
        </w:rPr>
        <w:t>’annexe 3 de l’Accord Administratif entre la Banque mondiale et l</w:t>
      </w:r>
      <w:r>
        <w:rPr>
          <w:sz w:val="20"/>
          <w:szCs w:val="20"/>
        </w:rPr>
        <w:t>e PNUD qui décrit les modalités de  gestion des fonds transférés.</w:t>
      </w:r>
      <w:r w:rsidR="00170905">
        <w:rPr>
          <w:sz w:val="20"/>
          <w:szCs w:val="20"/>
        </w:rPr>
        <w:t xml:space="preserve"> Elles sont présentées en Annexe 1.</w:t>
      </w:r>
    </w:p>
    <w:p w:rsidR="000A77D6" w:rsidRPr="00673EF0" w:rsidRDefault="00170905" w:rsidP="000A77D6">
      <w:pPr>
        <w:rPr>
          <w:rFonts w:ascii="Calibri" w:hAnsi="Calibri"/>
          <w:sz w:val="20"/>
          <w:szCs w:val="20"/>
        </w:rPr>
      </w:pPr>
      <w:r w:rsidRPr="00170905">
        <w:rPr>
          <w:rFonts w:ascii="Calibri" w:hAnsi="Calibri"/>
          <w:sz w:val="20"/>
          <w:szCs w:val="20"/>
        </w:rPr>
        <w:t>Le PIREDD Mai-Ndombe</w:t>
      </w:r>
      <w:r>
        <w:rPr>
          <w:rFonts w:ascii="Calibri" w:hAnsi="Calibri"/>
          <w:sz w:val="20"/>
          <w:szCs w:val="20"/>
        </w:rPr>
        <w:t>, traité en tant que financement additionnel du PGAPF, donnera lieu quant à lui à un accord de don entre la Banque mondiale et la RDC pour doter l’UC-PIF des moyens financiers nécessaires à la mise en œuvre des activités sur le terrain.</w:t>
      </w:r>
    </w:p>
    <w:p w:rsidR="00EF6F07" w:rsidRDefault="00DD652E" w:rsidP="00EF6F07">
      <w:pPr>
        <w:pStyle w:val="Heading1"/>
        <w:ind w:left="360"/>
      </w:pPr>
      <w:bookmarkStart w:id="40" w:name="_Toc469036936"/>
      <w:r w:rsidRPr="00CC54EA">
        <w:t>ANNEXES :</w:t>
      </w:r>
      <w:bookmarkEnd w:id="40"/>
    </w:p>
    <w:p w:rsidR="00EF6F07" w:rsidRPr="00EF6F07" w:rsidRDefault="00CC54EA" w:rsidP="00302B2C">
      <w:pPr>
        <w:pStyle w:val="Heading1"/>
        <w:numPr>
          <w:ilvl w:val="0"/>
          <w:numId w:val="0"/>
        </w:numPr>
        <w:ind w:left="360"/>
        <w:rPr>
          <w:rFonts w:asciiTheme="minorHAnsi" w:hAnsiTheme="minorHAnsi"/>
        </w:rPr>
      </w:pPr>
      <w:bookmarkStart w:id="41" w:name="_Toc469036937"/>
      <w:r w:rsidRPr="00EF6F07">
        <w:rPr>
          <w:rFonts w:asciiTheme="minorHAnsi" w:hAnsiTheme="minorHAnsi"/>
          <w:color w:val="000000" w:themeColor="text1"/>
          <w:sz w:val="20"/>
          <w:szCs w:val="20"/>
        </w:rPr>
        <w:t xml:space="preserve">ANNEXE 1 : </w:t>
      </w:r>
      <w:r w:rsidR="00056DE0" w:rsidRPr="00EF6F07">
        <w:rPr>
          <w:rFonts w:asciiTheme="minorHAnsi" w:hAnsiTheme="minorHAnsi"/>
          <w:color w:val="000000" w:themeColor="text1"/>
          <w:sz w:val="20"/>
          <w:szCs w:val="20"/>
        </w:rPr>
        <w:t>Document juridique propre à chaque Agence constituant le fondement juridique des relations avec le Gouvernement de la RDC ;</w:t>
      </w:r>
      <w:bookmarkEnd w:id="41"/>
      <w:r w:rsidR="00056DE0" w:rsidRPr="00EF6F07">
        <w:rPr>
          <w:rFonts w:asciiTheme="minorHAnsi" w:hAnsiTheme="minorHAnsi"/>
          <w:color w:val="000000" w:themeColor="text1"/>
          <w:sz w:val="20"/>
          <w:szCs w:val="20"/>
        </w:rPr>
        <w:t xml:space="preserve"> </w:t>
      </w:r>
    </w:p>
    <w:p w:rsidR="00EF6F07" w:rsidRPr="00EF6F07" w:rsidRDefault="00CC54EA" w:rsidP="00302B2C">
      <w:pPr>
        <w:pStyle w:val="Heading1"/>
        <w:numPr>
          <w:ilvl w:val="0"/>
          <w:numId w:val="0"/>
        </w:numPr>
        <w:ind w:left="360"/>
        <w:rPr>
          <w:rFonts w:asciiTheme="minorHAnsi" w:hAnsiTheme="minorHAnsi"/>
        </w:rPr>
      </w:pPr>
      <w:bookmarkStart w:id="42" w:name="_Toc469036938"/>
      <w:r w:rsidRPr="00EF6F07">
        <w:rPr>
          <w:rFonts w:asciiTheme="minorHAnsi" w:hAnsiTheme="minorHAnsi"/>
          <w:color w:val="000000" w:themeColor="text1"/>
          <w:sz w:val="20"/>
          <w:szCs w:val="20"/>
        </w:rPr>
        <w:t xml:space="preserve">ANNEXE 2 : </w:t>
      </w:r>
      <w:r w:rsidR="00056DE0" w:rsidRPr="00EF6F07">
        <w:rPr>
          <w:rFonts w:asciiTheme="minorHAnsi" w:hAnsiTheme="minorHAnsi"/>
          <w:color w:val="000000" w:themeColor="text1"/>
          <w:sz w:val="20"/>
          <w:szCs w:val="20"/>
        </w:rPr>
        <w:t>Termes de référence pour le recrutement des opérateurs le cas éc</w:t>
      </w:r>
      <w:r w:rsidR="00302B2C">
        <w:rPr>
          <w:rFonts w:asciiTheme="minorHAnsi" w:hAnsiTheme="minorHAnsi"/>
          <w:color w:val="000000" w:themeColor="text1"/>
          <w:sz w:val="20"/>
          <w:szCs w:val="20"/>
        </w:rPr>
        <w:t xml:space="preserve">héant et autres prestataires de </w:t>
      </w:r>
      <w:r w:rsidR="00056DE0" w:rsidRPr="00EF6F07">
        <w:rPr>
          <w:rFonts w:asciiTheme="minorHAnsi" w:hAnsiTheme="minorHAnsi"/>
          <w:color w:val="000000" w:themeColor="text1"/>
          <w:sz w:val="20"/>
          <w:szCs w:val="20"/>
        </w:rPr>
        <w:t>service ;</w:t>
      </w:r>
      <w:bookmarkEnd w:id="42"/>
      <w:r w:rsidR="00056DE0" w:rsidRPr="00EF6F07">
        <w:rPr>
          <w:rFonts w:asciiTheme="minorHAnsi" w:hAnsiTheme="minorHAnsi"/>
          <w:color w:val="000000" w:themeColor="text1"/>
          <w:sz w:val="20"/>
          <w:szCs w:val="20"/>
        </w:rPr>
        <w:t xml:space="preserve"> </w:t>
      </w:r>
    </w:p>
    <w:p w:rsidR="00EF6F07" w:rsidRPr="00EF6F07" w:rsidRDefault="00CC54EA" w:rsidP="00302B2C">
      <w:pPr>
        <w:pStyle w:val="Heading1"/>
        <w:numPr>
          <w:ilvl w:val="0"/>
          <w:numId w:val="0"/>
        </w:numPr>
        <w:ind w:left="720" w:hanging="360"/>
        <w:rPr>
          <w:rFonts w:asciiTheme="minorHAnsi" w:hAnsiTheme="minorHAnsi"/>
        </w:rPr>
      </w:pPr>
      <w:bookmarkStart w:id="43" w:name="_Toc469036939"/>
      <w:r w:rsidRPr="00EF6F07">
        <w:rPr>
          <w:rFonts w:asciiTheme="minorHAnsi" w:hAnsiTheme="minorHAnsi"/>
          <w:color w:val="000000" w:themeColor="text1"/>
          <w:sz w:val="20"/>
          <w:szCs w:val="20"/>
        </w:rPr>
        <w:t xml:space="preserve">ANNEXE 3 : </w:t>
      </w:r>
      <w:r w:rsidR="00056DE0" w:rsidRPr="00EF6F07">
        <w:rPr>
          <w:rFonts w:asciiTheme="minorHAnsi" w:hAnsiTheme="minorHAnsi"/>
          <w:color w:val="000000" w:themeColor="text1"/>
          <w:sz w:val="20"/>
          <w:szCs w:val="20"/>
        </w:rPr>
        <w:t>Termes de référence pour les études de sauvegarde socio-environnementales</w:t>
      </w:r>
      <w:bookmarkEnd w:id="43"/>
    </w:p>
    <w:p w:rsidR="00EF6F07" w:rsidRDefault="00EF6F07" w:rsidP="00302B2C">
      <w:pPr>
        <w:pStyle w:val="Heading1"/>
        <w:numPr>
          <w:ilvl w:val="0"/>
          <w:numId w:val="0"/>
        </w:numPr>
        <w:ind w:left="720" w:hanging="360"/>
        <w:rPr>
          <w:rFonts w:asciiTheme="minorHAnsi" w:hAnsiTheme="minorHAnsi"/>
          <w:color w:val="000000" w:themeColor="text1"/>
          <w:sz w:val="20"/>
          <w:szCs w:val="20"/>
        </w:rPr>
      </w:pPr>
      <w:bookmarkStart w:id="44" w:name="_Toc469036940"/>
      <w:r w:rsidRPr="00EF6F07">
        <w:rPr>
          <w:rFonts w:asciiTheme="minorHAnsi" w:hAnsiTheme="minorHAnsi"/>
          <w:color w:val="000000" w:themeColor="text1"/>
          <w:sz w:val="20"/>
          <w:szCs w:val="20"/>
        </w:rPr>
        <w:t>ANNEXE 4</w:t>
      </w:r>
      <w:r w:rsidR="003E1194">
        <w:rPr>
          <w:rFonts w:asciiTheme="minorHAnsi" w:hAnsiTheme="minorHAnsi"/>
          <w:color w:val="000000" w:themeColor="text1"/>
          <w:sz w:val="20"/>
          <w:szCs w:val="20"/>
        </w:rPr>
        <w:t>a</w:t>
      </w:r>
      <w:r w:rsidRPr="00EF6F07">
        <w:rPr>
          <w:rFonts w:asciiTheme="minorHAnsi" w:hAnsiTheme="minorHAnsi"/>
          <w:color w:val="000000" w:themeColor="text1"/>
          <w:sz w:val="20"/>
          <w:szCs w:val="20"/>
        </w:rPr>
        <w:t> :</w:t>
      </w:r>
      <w:r w:rsidRPr="00EF6F07">
        <w:rPr>
          <w:rFonts w:asciiTheme="minorHAnsi" w:hAnsiTheme="minorHAnsi"/>
        </w:rPr>
        <w:t xml:space="preserve"> </w:t>
      </w:r>
      <w:r w:rsidRPr="00EF6F07">
        <w:rPr>
          <w:rFonts w:asciiTheme="minorHAnsi" w:hAnsiTheme="minorHAnsi"/>
          <w:color w:val="000000" w:themeColor="text1"/>
          <w:sz w:val="20"/>
          <w:szCs w:val="20"/>
        </w:rPr>
        <w:t>Contexte de la Province du Mai-Ndombe</w:t>
      </w:r>
      <w:bookmarkEnd w:id="44"/>
    </w:p>
    <w:p w:rsidR="003E1194" w:rsidRPr="00ED144B" w:rsidRDefault="003E1194" w:rsidP="00ED144B">
      <w:pPr>
        <w:pStyle w:val="Heading1"/>
        <w:numPr>
          <w:ilvl w:val="0"/>
          <w:numId w:val="0"/>
        </w:numPr>
        <w:ind w:left="720" w:hanging="360"/>
        <w:rPr>
          <w:rFonts w:asciiTheme="minorHAnsi" w:hAnsiTheme="minorHAnsi"/>
          <w:color w:val="000000" w:themeColor="text1"/>
          <w:sz w:val="20"/>
          <w:szCs w:val="20"/>
        </w:rPr>
      </w:pPr>
      <w:bookmarkStart w:id="45" w:name="_Toc469036941"/>
      <w:r w:rsidRPr="00ED144B">
        <w:rPr>
          <w:rFonts w:asciiTheme="minorHAnsi" w:hAnsiTheme="minorHAnsi"/>
          <w:color w:val="000000" w:themeColor="text1"/>
          <w:sz w:val="20"/>
          <w:szCs w:val="20"/>
        </w:rPr>
        <w:t>ANNEXE 4b</w:t>
      </w:r>
      <w:r>
        <w:rPr>
          <w:rFonts w:asciiTheme="minorHAnsi" w:hAnsiTheme="minorHAnsi"/>
          <w:color w:val="000000" w:themeColor="text1"/>
          <w:sz w:val="20"/>
          <w:szCs w:val="20"/>
        </w:rPr>
        <w:t> :</w:t>
      </w:r>
      <w:r w:rsidRPr="00ED144B">
        <w:rPr>
          <w:rFonts w:asciiTheme="minorHAnsi" w:hAnsiTheme="minorHAnsi"/>
          <w:color w:val="000000" w:themeColor="text1"/>
          <w:sz w:val="20"/>
          <w:szCs w:val="20"/>
        </w:rPr>
        <w:t xml:space="preserve"> </w:t>
      </w:r>
      <w:r w:rsidR="006C6753" w:rsidRPr="006C6753">
        <w:rPr>
          <w:rFonts w:asciiTheme="minorHAnsi" w:hAnsiTheme="minorHAnsi"/>
          <w:color w:val="000000" w:themeColor="text1"/>
          <w:sz w:val="20"/>
          <w:szCs w:val="20"/>
        </w:rPr>
        <w:t>Programme de Réductions des Emissions du Mai-Ndombe et document de programme du PGAPF</w:t>
      </w:r>
      <w:bookmarkEnd w:id="45"/>
    </w:p>
    <w:p w:rsidR="00302B2C" w:rsidRPr="00302B2C" w:rsidRDefault="00EF6F07" w:rsidP="00302B2C">
      <w:pPr>
        <w:pStyle w:val="Heading1"/>
        <w:numPr>
          <w:ilvl w:val="0"/>
          <w:numId w:val="0"/>
        </w:numPr>
        <w:ind w:left="360"/>
        <w:rPr>
          <w:rFonts w:asciiTheme="minorHAnsi" w:hAnsiTheme="minorHAnsi"/>
          <w:color w:val="000000" w:themeColor="text1"/>
          <w:sz w:val="20"/>
          <w:szCs w:val="20"/>
        </w:rPr>
      </w:pPr>
      <w:bookmarkStart w:id="46" w:name="_Toc469036942"/>
      <w:r w:rsidRPr="00EF6F07">
        <w:rPr>
          <w:rFonts w:asciiTheme="minorHAnsi" w:hAnsiTheme="minorHAnsi"/>
          <w:color w:val="000000" w:themeColor="text1"/>
          <w:sz w:val="20"/>
          <w:szCs w:val="20"/>
        </w:rPr>
        <w:t>ANNEXE 5 :</w:t>
      </w:r>
      <w:r w:rsidRPr="00EF6F07">
        <w:rPr>
          <w:rFonts w:asciiTheme="minorHAnsi" w:hAnsiTheme="minorHAnsi"/>
        </w:rPr>
        <w:t xml:space="preserve"> </w:t>
      </w:r>
      <w:r w:rsidRPr="00EF6F07">
        <w:rPr>
          <w:rFonts w:asciiTheme="minorHAnsi" w:hAnsiTheme="minorHAnsi"/>
          <w:color w:val="000000" w:themeColor="text1"/>
          <w:sz w:val="20"/>
          <w:szCs w:val="20"/>
        </w:rPr>
        <w:t>Bref aperçu de la situation des Peuples Autochtones Pygmées dans la Province du Mai-Ndombe et recommandations</w:t>
      </w:r>
      <w:bookmarkEnd w:id="46"/>
    </w:p>
    <w:p w:rsidR="00302B2C" w:rsidRPr="00302B2C" w:rsidRDefault="00302B2C" w:rsidP="00302B2C">
      <w:pPr>
        <w:pStyle w:val="Heading1"/>
        <w:numPr>
          <w:ilvl w:val="0"/>
          <w:numId w:val="0"/>
        </w:numPr>
        <w:ind w:left="360"/>
        <w:rPr>
          <w:rFonts w:asciiTheme="minorHAnsi" w:hAnsiTheme="minorHAnsi"/>
          <w:color w:val="000000" w:themeColor="text1"/>
          <w:sz w:val="20"/>
          <w:szCs w:val="20"/>
        </w:rPr>
      </w:pPr>
      <w:bookmarkStart w:id="47" w:name="_Toc469036943"/>
      <w:r w:rsidRPr="00302B2C">
        <w:rPr>
          <w:rFonts w:asciiTheme="minorHAnsi" w:hAnsiTheme="minorHAnsi"/>
          <w:color w:val="000000" w:themeColor="text1"/>
          <w:sz w:val="20"/>
          <w:szCs w:val="20"/>
        </w:rPr>
        <w:t>ANNEXE 6 : Proposition d’arrangements fiduciaires renforcés pour la supervision des moyens mis en œuvre par l’UC-PIF</w:t>
      </w:r>
      <w:bookmarkEnd w:id="47"/>
    </w:p>
    <w:p w:rsidR="00EF6F07" w:rsidRDefault="00302B2C" w:rsidP="00302B2C">
      <w:pPr>
        <w:pStyle w:val="Heading1"/>
        <w:numPr>
          <w:ilvl w:val="0"/>
          <w:numId w:val="0"/>
        </w:numPr>
        <w:ind w:left="720" w:hanging="360"/>
        <w:rPr>
          <w:rFonts w:asciiTheme="minorHAnsi" w:hAnsiTheme="minorHAnsi"/>
          <w:color w:val="000000" w:themeColor="text1"/>
          <w:sz w:val="20"/>
          <w:szCs w:val="20"/>
        </w:rPr>
      </w:pPr>
      <w:bookmarkStart w:id="48" w:name="_Toc469036944"/>
      <w:r>
        <w:rPr>
          <w:rFonts w:asciiTheme="minorHAnsi" w:hAnsiTheme="minorHAnsi"/>
          <w:color w:val="000000" w:themeColor="text1"/>
          <w:sz w:val="20"/>
          <w:szCs w:val="20"/>
        </w:rPr>
        <w:t>ANNEXE 7</w:t>
      </w:r>
      <w:r w:rsidR="00EF6F07" w:rsidRPr="00EF6F07">
        <w:rPr>
          <w:rFonts w:asciiTheme="minorHAnsi" w:hAnsiTheme="minorHAnsi"/>
          <w:color w:val="000000" w:themeColor="text1"/>
          <w:sz w:val="20"/>
          <w:szCs w:val="20"/>
        </w:rPr>
        <w:t> : Budget détaillé</w:t>
      </w:r>
      <w:bookmarkEnd w:id="48"/>
    </w:p>
    <w:p w:rsidR="00472FFD" w:rsidRDefault="00472FFD" w:rsidP="00ED144B">
      <w:pPr>
        <w:pStyle w:val="Heading1"/>
        <w:numPr>
          <w:ilvl w:val="0"/>
          <w:numId w:val="0"/>
        </w:numPr>
        <w:ind w:left="720" w:hanging="360"/>
        <w:rPr>
          <w:rFonts w:asciiTheme="minorHAnsi" w:hAnsiTheme="minorHAnsi"/>
          <w:color w:val="000000" w:themeColor="text1"/>
          <w:sz w:val="20"/>
          <w:szCs w:val="20"/>
        </w:rPr>
      </w:pPr>
      <w:bookmarkStart w:id="49" w:name="_Toc469036945"/>
      <w:r w:rsidRPr="00ED144B">
        <w:rPr>
          <w:rFonts w:asciiTheme="minorHAnsi" w:hAnsiTheme="minorHAnsi"/>
          <w:color w:val="000000" w:themeColor="text1"/>
          <w:sz w:val="20"/>
          <w:szCs w:val="20"/>
        </w:rPr>
        <w:t xml:space="preserve">ANNEXE 8 : Exemple de Contrat  </w:t>
      </w:r>
      <w:r w:rsidRPr="00472FFD">
        <w:rPr>
          <w:rFonts w:asciiTheme="minorHAnsi" w:hAnsiTheme="minorHAnsi"/>
          <w:color w:val="000000" w:themeColor="text1"/>
          <w:sz w:val="20"/>
          <w:szCs w:val="20"/>
        </w:rPr>
        <w:t>à</w:t>
      </w:r>
      <w:r w:rsidRPr="00ED144B">
        <w:rPr>
          <w:rFonts w:asciiTheme="minorHAnsi" w:hAnsiTheme="minorHAnsi"/>
          <w:color w:val="000000" w:themeColor="text1"/>
          <w:sz w:val="20"/>
          <w:szCs w:val="20"/>
        </w:rPr>
        <w:t xml:space="preserve"> mettre en place entre les CLD et le PIREDD Mai-Ndombe</w:t>
      </w:r>
      <w:bookmarkEnd w:id="49"/>
    </w:p>
    <w:p w:rsidR="00C24821" w:rsidRDefault="00C24821" w:rsidP="00C24821">
      <w:pPr>
        <w:pStyle w:val="Heading1"/>
        <w:numPr>
          <w:ilvl w:val="0"/>
          <w:numId w:val="0"/>
        </w:numPr>
        <w:ind w:left="360"/>
        <w:rPr>
          <w:rFonts w:asciiTheme="minorHAnsi" w:hAnsiTheme="minorHAnsi"/>
          <w:color w:val="000000" w:themeColor="text1"/>
          <w:sz w:val="20"/>
          <w:szCs w:val="20"/>
        </w:rPr>
      </w:pPr>
      <w:bookmarkStart w:id="50" w:name="_Toc469036946"/>
      <w:r>
        <w:rPr>
          <w:rFonts w:asciiTheme="minorHAnsi" w:hAnsiTheme="minorHAnsi"/>
          <w:color w:val="000000" w:themeColor="text1"/>
          <w:sz w:val="20"/>
          <w:szCs w:val="20"/>
        </w:rPr>
        <w:t>ANNEXE 9</w:t>
      </w:r>
      <w:r w:rsidRPr="00ED144B">
        <w:rPr>
          <w:rFonts w:asciiTheme="minorHAnsi" w:hAnsiTheme="minorHAnsi"/>
          <w:color w:val="000000" w:themeColor="text1"/>
          <w:sz w:val="20"/>
          <w:szCs w:val="20"/>
        </w:rPr>
        <w:t xml:space="preserve"> : </w:t>
      </w:r>
      <w:r w:rsidRPr="00C24821">
        <w:rPr>
          <w:rFonts w:asciiTheme="minorHAnsi" w:hAnsiTheme="minorHAnsi"/>
          <w:color w:val="000000" w:themeColor="text1"/>
          <w:sz w:val="20"/>
          <w:szCs w:val="20"/>
        </w:rPr>
        <w:t>Note portant sur les relations entre les partenaires de mise en œuvre et le FONAREDD concernant le suivi et évaluation transparent des programmes</w:t>
      </w:r>
      <w:bookmarkEnd w:id="50"/>
    </w:p>
    <w:p w:rsidR="00C24821" w:rsidRPr="00ED144B" w:rsidRDefault="00C24821" w:rsidP="00C24821">
      <w:pPr>
        <w:pStyle w:val="Heading1"/>
        <w:numPr>
          <w:ilvl w:val="0"/>
          <w:numId w:val="0"/>
        </w:numPr>
        <w:ind w:left="360"/>
        <w:rPr>
          <w:rFonts w:asciiTheme="minorHAnsi" w:hAnsiTheme="minorHAnsi"/>
          <w:color w:val="000000" w:themeColor="text1"/>
          <w:sz w:val="20"/>
          <w:szCs w:val="20"/>
        </w:rPr>
      </w:pPr>
      <w:bookmarkStart w:id="51" w:name="_Toc469036947"/>
      <w:r>
        <w:rPr>
          <w:rFonts w:asciiTheme="minorHAnsi" w:hAnsiTheme="minorHAnsi"/>
          <w:color w:val="000000" w:themeColor="text1"/>
          <w:sz w:val="20"/>
          <w:szCs w:val="20"/>
        </w:rPr>
        <w:t>ANNEXE 10</w:t>
      </w:r>
      <w:r w:rsidRPr="00ED144B">
        <w:rPr>
          <w:rFonts w:asciiTheme="minorHAnsi" w:hAnsiTheme="minorHAnsi"/>
          <w:color w:val="000000" w:themeColor="text1"/>
          <w:sz w:val="20"/>
          <w:szCs w:val="20"/>
        </w:rPr>
        <w:t xml:space="preserve"> : </w:t>
      </w:r>
      <w:r w:rsidRPr="00C24821">
        <w:rPr>
          <w:rFonts w:asciiTheme="minorHAnsi" w:hAnsiTheme="minorHAnsi"/>
          <w:color w:val="000000" w:themeColor="text1"/>
          <w:sz w:val="20"/>
          <w:szCs w:val="20"/>
        </w:rPr>
        <w:t>La Gestion Participative et transparente des Processus d’élaboration, de mise en œuvre et de suivi évaluation des programmes financés par le FONAREDD</w:t>
      </w:r>
      <w:bookmarkEnd w:id="51"/>
    </w:p>
    <w:p w:rsidR="00C24821" w:rsidRPr="00C24821" w:rsidRDefault="00C24821" w:rsidP="00C24821"/>
    <w:p w:rsidR="00C24821" w:rsidRPr="00C24821" w:rsidRDefault="00C24821" w:rsidP="00C24821"/>
    <w:p w:rsidR="00EF6F07" w:rsidRDefault="00EF6F07" w:rsidP="00CC54EA">
      <w:pPr>
        <w:pStyle w:val="Style3"/>
        <w:numPr>
          <w:ilvl w:val="0"/>
          <w:numId w:val="0"/>
        </w:numPr>
        <w:rPr>
          <w:b w:val="0"/>
          <w:color w:val="000000" w:themeColor="text1"/>
          <w:sz w:val="20"/>
          <w:szCs w:val="20"/>
        </w:rPr>
      </w:pPr>
    </w:p>
    <w:p w:rsidR="00170905" w:rsidRDefault="00170905">
      <w:pPr>
        <w:spacing w:after="160" w:line="259" w:lineRule="auto"/>
        <w:rPr>
          <w:rFonts w:asciiTheme="majorHAnsi" w:hAnsiTheme="majorHAnsi" w:cstheme="majorBidi"/>
          <w:bCs/>
          <w:color w:val="000000" w:themeColor="text1"/>
          <w:sz w:val="20"/>
          <w:szCs w:val="20"/>
        </w:rPr>
      </w:pPr>
      <w:r>
        <w:rPr>
          <w:b/>
          <w:color w:val="000000" w:themeColor="text1"/>
          <w:sz w:val="20"/>
          <w:szCs w:val="20"/>
        </w:rPr>
        <w:br w:type="page"/>
      </w:r>
    </w:p>
    <w:p w:rsidR="00170905" w:rsidRPr="00302B2C" w:rsidRDefault="00170905" w:rsidP="00302B2C">
      <w:pPr>
        <w:rPr>
          <w:b/>
          <w:color w:val="2E74B5" w:themeColor="accent1" w:themeShade="BF"/>
        </w:rPr>
      </w:pPr>
      <w:r w:rsidRPr="00302B2C">
        <w:rPr>
          <w:b/>
          <w:color w:val="2E74B5" w:themeColor="accent1" w:themeShade="BF"/>
        </w:rPr>
        <w:lastRenderedPageBreak/>
        <w:t>ANNEXE 1 : Document juridique propre à chaque Agence constituant le fondement juridique des relations avec le Gouvernement de la RDC : annexe 3 de l’Accord Administratif entre la Banque mondiale et le PNUD</w:t>
      </w:r>
    </w:p>
    <w:p w:rsidR="00170905" w:rsidRDefault="00170905" w:rsidP="00CC54EA">
      <w:pPr>
        <w:pStyle w:val="Style3"/>
        <w:numPr>
          <w:ilvl w:val="0"/>
          <w:numId w:val="0"/>
        </w:numPr>
        <w:rPr>
          <w:rFonts w:asciiTheme="minorHAnsi" w:hAnsiTheme="minorHAnsi"/>
          <w:b w:val="0"/>
          <w:color w:val="000000" w:themeColor="text1"/>
          <w:sz w:val="20"/>
          <w:szCs w:val="20"/>
        </w:rPr>
      </w:pPr>
    </w:p>
    <w:tbl>
      <w:tblPr>
        <w:tblStyle w:val="TableGrid1"/>
        <w:tblW w:w="0" w:type="auto"/>
        <w:tblLook w:val="04A0" w:firstRow="1" w:lastRow="0" w:firstColumn="1" w:lastColumn="0" w:noHBand="0" w:noVBand="1"/>
      </w:tblPr>
      <w:tblGrid>
        <w:gridCol w:w="4701"/>
        <w:gridCol w:w="4698"/>
      </w:tblGrid>
      <w:tr w:rsidR="00170905" w:rsidRPr="00170905" w:rsidTr="00170905">
        <w:tc>
          <w:tcPr>
            <w:tcW w:w="4701" w:type="dxa"/>
          </w:tcPr>
          <w:p w:rsidR="00170905" w:rsidRPr="00170905" w:rsidRDefault="00170905" w:rsidP="00170905">
            <w:pPr>
              <w:spacing w:after="0"/>
              <w:jc w:val="both"/>
              <w:rPr>
                <w:b/>
                <w:bCs/>
                <w:i/>
                <w:sz w:val="20"/>
                <w:szCs w:val="20"/>
              </w:rPr>
            </w:pPr>
            <w:r w:rsidRPr="00170905">
              <w:rPr>
                <w:b/>
                <w:bCs/>
                <w:i/>
                <w:sz w:val="20"/>
                <w:szCs w:val="20"/>
              </w:rPr>
              <w:t>Accord Administratif</w:t>
            </w:r>
          </w:p>
        </w:tc>
        <w:tc>
          <w:tcPr>
            <w:tcW w:w="4698" w:type="dxa"/>
          </w:tcPr>
          <w:p w:rsidR="00170905" w:rsidRPr="00170905" w:rsidRDefault="00170905" w:rsidP="00170905">
            <w:pPr>
              <w:spacing w:after="0"/>
              <w:jc w:val="both"/>
              <w:rPr>
                <w:b/>
                <w:bCs/>
                <w:i/>
                <w:sz w:val="20"/>
                <w:szCs w:val="20"/>
              </w:rPr>
            </w:pPr>
            <w:r w:rsidRPr="00170905">
              <w:rPr>
                <w:b/>
                <w:bCs/>
                <w:i/>
                <w:sz w:val="20"/>
                <w:szCs w:val="20"/>
              </w:rPr>
              <w:t>Traduction non officielle en français – le terme « le Donateur » concerne le PNUD</w:t>
            </w:r>
          </w:p>
        </w:tc>
      </w:tr>
      <w:tr w:rsidR="00170905" w:rsidRPr="00170905" w:rsidTr="00170905">
        <w:tc>
          <w:tcPr>
            <w:tcW w:w="4701" w:type="dxa"/>
          </w:tcPr>
          <w:p w:rsidR="00170905" w:rsidRPr="00170905" w:rsidRDefault="00170905" w:rsidP="002E3A02">
            <w:pPr>
              <w:numPr>
                <w:ilvl w:val="0"/>
                <w:numId w:val="39"/>
              </w:numPr>
              <w:spacing w:after="0" w:line="240" w:lineRule="auto"/>
              <w:ind w:left="720" w:hanging="720"/>
              <w:jc w:val="both"/>
              <w:rPr>
                <w:rFonts w:eastAsia="Times New Roman" w:cs="Times New Roman"/>
                <w:b/>
                <w:bCs/>
                <w:i/>
                <w:sz w:val="20"/>
                <w:szCs w:val="20"/>
                <w:u w:val="single"/>
                <w:lang w:val="en-US"/>
              </w:rPr>
            </w:pPr>
            <w:r w:rsidRPr="00170905">
              <w:rPr>
                <w:rFonts w:eastAsia="Times New Roman" w:cs="Times New Roman"/>
                <w:b/>
                <w:bCs/>
                <w:i/>
                <w:sz w:val="20"/>
                <w:szCs w:val="20"/>
                <w:lang w:val="en-US"/>
              </w:rPr>
              <w:t>CAFI Fund Allocations to the Bank</w:t>
            </w:r>
          </w:p>
          <w:p w:rsidR="00170905" w:rsidRPr="00170905" w:rsidRDefault="00170905" w:rsidP="002E3A02">
            <w:pPr>
              <w:numPr>
                <w:ilvl w:val="1"/>
                <w:numId w:val="39"/>
              </w:numPr>
              <w:tabs>
                <w:tab w:val="left" w:pos="0"/>
              </w:tabs>
              <w:spacing w:after="0" w:line="240" w:lineRule="auto"/>
              <w:ind w:left="0" w:firstLine="0"/>
              <w:jc w:val="both"/>
              <w:rPr>
                <w:rFonts w:eastAsia="Times New Roman" w:cs="Times New Roman"/>
                <w:bCs/>
                <w:i/>
                <w:sz w:val="20"/>
                <w:szCs w:val="20"/>
                <w:u w:val="single"/>
                <w:lang w:val="en-US"/>
              </w:rPr>
            </w:pPr>
            <w:r w:rsidRPr="00170905">
              <w:rPr>
                <w:rFonts w:eastAsia="Times New Roman" w:cs="Times New Roman"/>
                <w:i/>
                <w:sz w:val="20"/>
                <w:szCs w:val="20"/>
                <w:lang w:val="en-US"/>
              </w:rPr>
              <w:t>Funds contributed to the Trust Fund by the Donor are made available either (i) directly through CAFI or (ii) indirectly from CAFI through a national fund mechanism, as in the case of the Democratic Republic of Congo (“DRC”). All such funds are administered by the Donor in the CAFI MPTF, on behalf of donors whose contributions to CAFI are part of such funds, as follows:</w:t>
            </w:r>
          </w:p>
          <w:p w:rsidR="00170905" w:rsidRPr="00170905" w:rsidRDefault="00170905" w:rsidP="00170905">
            <w:pPr>
              <w:tabs>
                <w:tab w:val="left" w:pos="0"/>
              </w:tabs>
              <w:spacing w:after="0" w:line="240" w:lineRule="auto"/>
              <w:jc w:val="both"/>
              <w:rPr>
                <w:rFonts w:eastAsia="Times New Roman" w:cs="Times New Roman"/>
                <w:bCs/>
                <w:i/>
                <w:sz w:val="20"/>
                <w:szCs w:val="20"/>
                <w:u w:val="single"/>
                <w:lang w:val="en-US"/>
              </w:rPr>
            </w:pPr>
          </w:p>
          <w:p w:rsidR="00170905" w:rsidRPr="00170905" w:rsidRDefault="00170905" w:rsidP="00170905">
            <w:pPr>
              <w:autoSpaceDE w:val="0"/>
              <w:autoSpaceDN w:val="0"/>
              <w:adjustRightInd w:val="0"/>
              <w:ind w:left="1080" w:hanging="720"/>
              <w:rPr>
                <w:i/>
                <w:sz w:val="20"/>
                <w:szCs w:val="20"/>
                <w:lang w:val="en-US"/>
              </w:rPr>
            </w:pPr>
            <w:r w:rsidRPr="00170905">
              <w:rPr>
                <w:i/>
                <w:sz w:val="20"/>
                <w:szCs w:val="20"/>
                <w:lang w:val="en-US"/>
              </w:rPr>
              <w:t xml:space="preserve">(i) </w:t>
            </w:r>
            <w:r w:rsidRPr="00170905">
              <w:rPr>
                <w:i/>
                <w:sz w:val="20"/>
                <w:szCs w:val="20"/>
                <w:lang w:val="en-US"/>
              </w:rPr>
              <w:tab/>
              <w:t>With respect to non-national fund countries, funds held by the Donor on behalf of CAFI may be allocated by the CAFI Board to the Bank for use as an implementing organization for specific funding proposals; and</w:t>
            </w:r>
          </w:p>
          <w:p w:rsidR="00170905" w:rsidRPr="00170905" w:rsidRDefault="00170905" w:rsidP="00170905">
            <w:pPr>
              <w:autoSpaceDE w:val="0"/>
              <w:autoSpaceDN w:val="0"/>
              <w:adjustRightInd w:val="0"/>
              <w:ind w:left="1080" w:hanging="720"/>
              <w:rPr>
                <w:i/>
                <w:sz w:val="20"/>
                <w:szCs w:val="20"/>
                <w:lang w:val="en-US"/>
              </w:rPr>
            </w:pPr>
            <w:r w:rsidRPr="00170905">
              <w:rPr>
                <w:i/>
                <w:sz w:val="20"/>
                <w:szCs w:val="20"/>
                <w:lang w:val="en-US"/>
              </w:rPr>
              <w:t xml:space="preserve">(ii) </w:t>
            </w:r>
            <w:r w:rsidRPr="00170905">
              <w:rPr>
                <w:i/>
                <w:sz w:val="20"/>
                <w:szCs w:val="20"/>
                <w:lang w:val="en-US"/>
              </w:rPr>
              <w:tab/>
              <w:t>With respect to national fund countries, such as for the DRC, funds held by the Donor on behalf of the country (as allocated by the CAFI Board) may be allocated by the national governing body, such as the National Steering Committee in the case of the DRC, to the Bank for use as an implementing organization for specific funding proposals.</w:t>
            </w:r>
          </w:p>
          <w:p w:rsidR="00170905" w:rsidRPr="00170905" w:rsidRDefault="00170905" w:rsidP="002E3A02">
            <w:pPr>
              <w:numPr>
                <w:ilvl w:val="1"/>
                <w:numId w:val="39"/>
              </w:numPr>
              <w:autoSpaceDE w:val="0"/>
              <w:autoSpaceDN w:val="0"/>
              <w:adjustRightInd w:val="0"/>
              <w:spacing w:after="0" w:line="240" w:lineRule="auto"/>
              <w:ind w:left="0" w:firstLine="0"/>
              <w:rPr>
                <w:rFonts w:eastAsia="Times New Roman" w:cs="Times New Roman"/>
                <w:i/>
                <w:sz w:val="20"/>
                <w:szCs w:val="20"/>
                <w:lang w:val="en-US"/>
              </w:rPr>
            </w:pPr>
            <w:r w:rsidRPr="00170905">
              <w:rPr>
                <w:rFonts w:eastAsia="Times New Roman" w:cs="Times New Roman"/>
                <w:i/>
                <w:sz w:val="20"/>
                <w:szCs w:val="20"/>
                <w:lang w:val="en-US"/>
              </w:rPr>
              <w:t>An allocation to the Bank by the CAFI Board or the national governing body serves as instructions to the Donor for the MPTF-O, as trustee for CAFI and relevant national funds, to commit and transfer funds under the Administration Agreement to the Bank for such funding request. Funds are committed in response to funding proposals submitted by the Bank in conjunction with one of CAFI’s eligible countries.</w:t>
            </w:r>
          </w:p>
        </w:tc>
        <w:tc>
          <w:tcPr>
            <w:tcW w:w="4698" w:type="dxa"/>
          </w:tcPr>
          <w:p w:rsidR="00170905" w:rsidRPr="00170905" w:rsidRDefault="00170905" w:rsidP="00170905">
            <w:pPr>
              <w:spacing w:after="0"/>
              <w:jc w:val="both"/>
              <w:rPr>
                <w:b/>
                <w:bCs/>
                <w:i/>
                <w:sz w:val="20"/>
                <w:szCs w:val="20"/>
              </w:rPr>
            </w:pPr>
            <w:r w:rsidRPr="00170905">
              <w:rPr>
                <w:b/>
                <w:bCs/>
                <w:i/>
                <w:sz w:val="20"/>
                <w:szCs w:val="20"/>
              </w:rPr>
              <w:t>1. Allocations du Fonds CAFI à la Banque</w:t>
            </w:r>
          </w:p>
          <w:p w:rsidR="00170905" w:rsidRPr="00170905" w:rsidRDefault="00170905" w:rsidP="002E3A02">
            <w:pPr>
              <w:numPr>
                <w:ilvl w:val="1"/>
                <w:numId w:val="40"/>
              </w:numPr>
              <w:tabs>
                <w:tab w:val="left" w:pos="0"/>
              </w:tabs>
              <w:spacing w:after="0" w:line="240" w:lineRule="auto"/>
              <w:ind w:left="0" w:firstLine="0"/>
              <w:jc w:val="both"/>
              <w:rPr>
                <w:rFonts w:eastAsia="Times New Roman" w:cs="Times New Roman"/>
                <w:i/>
                <w:sz w:val="20"/>
                <w:szCs w:val="20"/>
              </w:rPr>
            </w:pPr>
            <w:r w:rsidRPr="00170905">
              <w:rPr>
                <w:rFonts w:eastAsia="Times New Roman" w:cs="Times New Roman"/>
                <w:i/>
                <w:sz w:val="20"/>
                <w:szCs w:val="20"/>
              </w:rPr>
              <w:t>Les fonds versés au Trust Fund par le donateur sont mis à disposition (i) soit directement par CAFI ou (ii) indirectement de CAFI à travers un mécanisme de fonds national, comme dans le cas de la République démocratique du Congo («RDC»). Tous ces fonds sont administrés par le Donateur dans le fonds MPTF CAFI, au nom des donneurs contribuant à CAFI, comme suit:</w:t>
            </w:r>
          </w:p>
          <w:p w:rsidR="00170905" w:rsidRPr="00170905" w:rsidRDefault="00170905" w:rsidP="00170905">
            <w:pPr>
              <w:tabs>
                <w:tab w:val="left" w:pos="0"/>
              </w:tabs>
              <w:spacing w:after="0" w:line="240" w:lineRule="auto"/>
              <w:jc w:val="both"/>
              <w:rPr>
                <w:rFonts w:eastAsia="Times New Roman" w:cs="Times New Roman"/>
                <w:i/>
                <w:sz w:val="20"/>
                <w:szCs w:val="20"/>
              </w:rPr>
            </w:pPr>
          </w:p>
          <w:p w:rsidR="00170905" w:rsidRPr="00170905" w:rsidRDefault="00170905" w:rsidP="002E3A02">
            <w:pPr>
              <w:numPr>
                <w:ilvl w:val="0"/>
                <w:numId w:val="43"/>
              </w:numPr>
              <w:tabs>
                <w:tab w:val="left" w:pos="0"/>
              </w:tabs>
              <w:spacing w:after="0" w:line="240" w:lineRule="auto"/>
              <w:jc w:val="both"/>
              <w:rPr>
                <w:rFonts w:eastAsia="Times New Roman" w:cs="Times New Roman"/>
                <w:i/>
                <w:sz w:val="20"/>
                <w:szCs w:val="20"/>
              </w:rPr>
            </w:pPr>
            <w:r w:rsidRPr="00170905">
              <w:rPr>
                <w:rFonts w:eastAsia="Times New Roman" w:cs="Times New Roman"/>
                <w:i/>
                <w:sz w:val="20"/>
                <w:szCs w:val="20"/>
              </w:rPr>
              <w:t>En ce qui concerne les pays sans fonds nationaux, les fonds détenus par le donateur au nom du CAFI peuvent être attribués par le Conseil de CAFI à la Banque, agissant comme organisation de mise en œuvre, pour être utilisés pour des propositions de financement spécifiques; et</w:t>
            </w:r>
          </w:p>
          <w:p w:rsidR="00170905" w:rsidRPr="00170905" w:rsidRDefault="00170905" w:rsidP="00170905">
            <w:pPr>
              <w:tabs>
                <w:tab w:val="left" w:pos="0"/>
              </w:tabs>
              <w:spacing w:after="0" w:line="240" w:lineRule="auto"/>
              <w:jc w:val="both"/>
              <w:rPr>
                <w:rFonts w:eastAsia="Times New Roman" w:cs="Times New Roman"/>
                <w:i/>
                <w:sz w:val="20"/>
                <w:szCs w:val="20"/>
              </w:rPr>
            </w:pPr>
            <w:r w:rsidRPr="00170905">
              <w:rPr>
                <w:rFonts w:eastAsia="Times New Roman" w:cs="Times New Roman"/>
                <w:i/>
                <w:sz w:val="20"/>
                <w:szCs w:val="20"/>
              </w:rPr>
              <w:t>(ii) En ce qui concerne les pays ayant des fonds nationaux, comme la RDC, les fonds détenus par le Donateur au nom du pays (tels qu’alloués par le Conseil de CAFI) peuvent être attribués par l'organisme national de régie, tels que le Comité de Pilotage national de le cas de la RDC, à la Banque, agissant comme organisation de mise en œuvre, pour être utilisés pour des propositions de financement spécifiques.</w:t>
            </w:r>
          </w:p>
          <w:p w:rsidR="00170905" w:rsidRPr="00170905" w:rsidRDefault="00170905" w:rsidP="00170905">
            <w:pPr>
              <w:tabs>
                <w:tab w:val="left" w:pos="0"/>
              </w:tabs>
              <w:spacing w:after="0" w:line="240" w:lineRule="auto"/>
              <w:jc w:val="both"/>
              <w:rPr>
                <w:rFonts w:eastAsia="Times New Roman" w:cs="Times New Roman"/>
                <w:i/>
                <w:sz w:val="20"/>
                <w:szCs w:val="20"/>
              </w:rPr>
            </w:pPr>
          </w:p>
          <w:p w:rsidR="00170905" w:rsidRPr="00170905" w:rsidRDefault="00170905" w:rsidP="00170905">
            <w:pPr>
              <w:tabs>
                <w:tab w:val="left" w:pos="0"/>
              </w:tabs>
              <w:spacing w:after="0" w:line="240" w:lineRule="auto"/>
              <w:jc w:val="both"/>
              <w:rPr>
                <w:rFonts w:eastAsia="Times New Roman" w:cs="Times New Roman"/>
                <w:i/>
                <w:sz w:val="20"/>
                <w:szCs w:val="20"/>
              </w:rPr>
            </w:pPr>
          </w:p>
          <w:p w:rsidR="00170905" w:rsidRPr="00170905" w:rsidRDefault="00170905" w:rsidP="00170905">
            <w:pPr>
              <w:tabs>
                <w:tab w:val="left" w:pos="0"/>
              </w:tabs>
              <w:spacing w:after="0" w:line="240" w:lineRule="auto"/>
              <w:jc w:val="both"/>
              <w:rPr>
                <w:rFonts w:eastAsia="Times New Roman" w:cs="Courier New"/>
                <w:sz w:val="20"/>
                <w:szCs w:val="20"/>
              </w:rPr>
            </w:pPr>
            <w:r w:rsidRPr="00170905">
              <w:rPr>
                <w:rFonts w:eastAsia="Times New Roman" w:cs="Times New Roman"/>
                <w:i/>
                <w:sz w:val="20"/>
                <w:szCs w:val="20"/>
              </w:rPr>
              <w:t>1.2 Une allocation à la Banque par le Conseil CAFI ou l'organisme national sert comme instructions au Donateur afin que le MPTF-O, agissant à titre d’agence fiduciaire de CAFI et des fonds nationaux, puisse engager et transférer les fonds en vertu de la convention d'administration de la Banque pour une telle demande de financement. Les fonds sont engagés en réponse aux propositions de financement soumises par la Banque en collaboration avec l'un des pays éligibles de CAFI.</w:t>
            </w:r>
          </w:p>
        </w:tc>
      </w:tr>
      <w:tr w:rsidR="00170905" w:rsidRPr="00170905" w:rsidTr="00170905">
        <w:tc>
          <w:tcPr>
            <w:tcW w:w="4701" w:type="dxa"/>
          </w:tcPr>
          <w:p w:rsidR="00170905" w:rsidRPr="00170905" w:rsidRDefault="00170905" w:rsidP="002E3A02">
            <w:pPr>
              <w:numPr>
                <w:ilvl w:val="0"/>
                <w:numId w:val="39"/>
              </w:numPr>
              <w:spacing w:after="0" w:line="240" w:lineRule="auto"/>
              <w:ind w:left="720" w:hanging="720"/>
              <w:jc w:val="both"/>
              <w:rPr>
                <w:rFonts w:eastAsia="Times New Roman" w:cs="Times New Roman"/>
                <w:b/>
                <w:bCs/>
                <w:i/>
                <w:sz w:val="20"/>
                <w:szCs w:val="20"/>
                <w:lang w:val="en-US"/>
              </w:rPr>
            </w:pPr>
            <w:r w:rsidRPr="00170905">
              <w:rPr>
                <w:rFonts w:eastAsia="Times New Roman" w:cs="Times New Roman"/>
                <w:b/>
                <w:bCs/>
                <w:i/>
                <w:sz w:val="20"/>
                <w:szCs w:val="20"/>
                <w:lang w:val="en-US"/>
              </w:rPr>
              <w:t>Fund Transfers from the CAFI MPTF to the Bank</w:t>
            </w:r>
          </w:p>
          <w:p w:rsidR="00170905" w:rsidRPr="00170905" w:rsidRDefault="00170905" w:rsidP="002E3A02">
            <w:pPr>
              <w:numPr>
                <w:ilvl w:val="1"/>
                <w:numId w:val="39"/>
              </w:numPr>
              <w:spacing w:after="0" w:line="240" w:lineRule="auto"/>
              <w:ind w:left="0" w:firstLine="0"/>
              <w:jc w:val="both"/>
              <w:rPr>
                <w:rFonts w:eastAsia="Times New Roman" w:cs="Times New Roman"/>
                <w:i/>
                <w:sz w:val="20"/>
                <w:szCs w:val="20"/>
                <w:lang w:val="en-US"/>
              </w:rPr>
            </w:pPr>
            <w:r w:rsidRPr="00170905">
              <w:rPr>
                <w:rFonts w:eastAsia="Times New Roman" w:cs="Times New Roman"/>
                <w:i/>
                <w:sz w:val="20"/>
                <w:szCs w:val="20"/>
                <w:lang w:val="en-US"/>
              </w:rPr>
              <w:t xml:space="preserve">The Bank, in coordination with an eligible country, may develop funding proposals to request funding from the CAFI MPTF (each a “Proposal”). Each Proposal shall include the description of proposed activities, disbursement targets, results framework and monitoring and evaluation system for such activities, to the extent applicable, as well as the material forms of all customized reports to be provided by the task team of the Bank to the Donor, which may be amended from time to time with the agreement of the Bank.  The CAFI Board, or national governing bodies, may also </w:t>
            </w:r>
            <w:r w:rsidRPr="00170905">
              <w:rPr>
                <w:rFonts w:eastAsia="Times New Roman" w:cs="Times New Roman"/>
                <w:i/>
                <w:sz w:val="20"/>
                <w:szCs w:val="20"/>
                <w:lang w:val="en-US"/>
              </w:rPr>
              <w:lastRenderedPageBreak/>
              <w:t xml:space="preserve">approve Proposals for technical assistance, national investment framework (“NIF”) preparation and other support to eligible countries.  </w:t>
            </w:r>
          </w:p>
          <w:p w:rsidR="00170905" w:rsidRPr="00170905" w:rsidRDefault="00170905" w:rsidP="00170905">
            <w:pPr>
              <w:jc w:val="both"/>
              <w:rPr>
                <w:i/>
                <w:sz w:val="20"/>
                <w:szCs w:val="20"/>
                <w:lang w:val="en-US"/>
              </w:rPr>
            </w:pPr>
          </w:p>
          <w:p w:rsidR="00170905" w:rsidRPr="00170905" w:rsidRDefault="00170905" w:rsidP="00170905">
            <w:pPr>
              <w:jc w:val="both"/>
              <w:rPr>
                <w:i/>
                <w:sz w:val="20"/>
                <w:szCs w:val="20"/>
                <w:lang w:val="en-US"/>
              </w:rPr>
            </w:pPr>
          </w:p>
          <w:p w:rsidR="00170905" w:rsidRPr="00170905" w:rsidRDefault="00170905" w:rsidP="00170905">
            <w:pPr>
              <w:spacing w:after="0" w:line="240" w:lineRule="auto"/>
              <w:ind w:left="1080"/>
              <w:jc w:val="both"/>
              <w:rPr>
                <w:rFonts w:eastAsia="Times New Roman" w:cs="Times New Roman"/>
                <w:i/>
                <w:sz w:val="20"/>
                <w:szCs w:val="20"/>
                <w:lang w:val="en-US"/>
              </w:rPr>
            </w:pPr>
          </w:p>
          <w:p w:rsidR="00170905" w:rsidRPr="00170905" w:rsidRDefault="00170905" w:rsidP="00170905">
            <w:pPr>
              <w:jc w:val="both"/>
              <w:rPr>
                <w:b/>
                <w:bCs/>
                <w:i/>
                <w:sz w:val="20"/>
                <w:szCs w:val="20"/>
                <w:u w:val="single"/>
                <w:lang w:val="en-US"/>
              </w:rPr>
            </w:pPr>
            <w:r w:rsidRPr="00170905">
              <w:rPr>
                <w:i/>
                <w:sz w:val="20"/>
                <w:szCs w:val="20"/>
                <w:lang w:val="en-US"/>
              </w:rPr>
              <w:t>2.2</w:t>
            </w:r>
            <w:r w:rsidRPr="00170905">
              <w:rPr>
                <w:i/>
                <w:sz w:val="20"/>
                <w:szCs w:val="20"/>
                <w:lang w:val="en-US"/>
              </w:rPr>
              <w:tab/>
              <w:t>The Donor through the MPTF-O shall notify the Bank of any funding amount in a Proposal approved for transfer through the CAFI MPTF.  Following such notice, the Donor shall commit such funds to the Bank under the Administration Agreement, either through its original signature or subsequent supplemental contribution amendments, for the receipt of such funds under the terms of the Administration Agreement.</w:t>
            </w:r>
          </w:p>
          <w:p w:rsidR="00170905" w:rsidRPr="00170905" w:rsidRDefault="00170905" w:rsidP="00170905">
            <w:pPr>
              <w:spacing w:after="0" w:line="240" w:lineRule="auto"/>
              <w:jc w:val="both"/>
              <w:rPr>
                <w:rFonts w:eastAsia="Times New Roman" w:cs="Times New Roman"/>
                <w:b/>
                <w:bCs/>
                <w:i/>
                <w:sz w:val="20"/>
                <w:szCs w:val="20"/>
                <w:lang w:val="en-US"/>
              </w:rPr>
            </w:pPr>
          </w:p>
        </w:tc>
        <w:tc>
          <w:tcPr>
            <w:tcW w:w="4698" w:type="dxa"/>
          </w:tcPr>
          <w:p w:rsidR="00170905" w:rsidRPr="00170905" w:rsidRDefault="00170905" w:rsidP="00170905">
            <w:pPr>
              <w:spacing w:after="0"/>
              <w:jc w:val="both"/>
              <w:rPr>
                <w:b/>
                <w:i/>
                <w:sz w:val="20"/>
                <w:szCs w:val="20"/>
              </w:rPr>
            </w:pPr>
            <w:r w:rsidRPr="00170905">
              <w:rPr>
                <w:b/>
                <w:i/>
                <w:sz w:val="20"/>
                <w:szCs w:val="20"/>
              </w:rPr>
              <w:lastRenderedPageBreak/>
              <w:t>2. Les transferts de fonds de la CAFI MPTF à la Banque</w:t>
            </w:r>
          </w:p>
          <w:p w:rsidR="00170905" w:rsidRPr="00170905" w:rsidRDefault="00170905" w:rsidP="00170905">
            <w:pPr>
              <w:jc w:val="both"/>
              <w:rPr>
                <w:i/>
                <w:sz w:val="20"/>
                <w:szCs w:val="20"/>
              </w:rPr>
            </w:pPr>
            <w:r w:rsidRPr="00170905">
              <w:rPr>
                <w:i/>
                <w:sz w:val="20"/>
                <w:szCs w:val="20"/>
              </w:rPr>
              <w:t xml:space="preserve">2.1 La Banque, en coordination avec un pays admissible, peut élaborer des propositions de financement pour demander un financement du MPTF CAFI (chacune étant une «Proposition»). Chaque Proposition doit inclure la description des activités proposées, des objectifs de décaissement, du cadre de résultats et de suivi et d'évaluation de ces activités, dans la mesure applicable, ainsi que les formes matérielles de tous les rapports personnalisés devant être fournis par l'équipe de travail de la Banque au </w:t>
            </w:r>
            <w:r w:rsidRPr="00170905">
              <w:rPr>
                <w:i/>
                <w:sz w:val="20"/>
                <w:szCs w:val="20"/>
              </w:rPr>
              <w:lastRenderedPageBreak/>
              <w:t>Donateur, et qui peuvent être modifiés de temps à autre avec l'accord de la Banque. Le Conseil CAFI ou les organes directeurs des fonds nationaux, peuvent également approuver des propositions d'assistance technique, la  préparation de cadre national d'investissement ( «NIF») et d’autres formes de soutien aux pays éligibles.</w:t>
            </w:r>
          </w:p>
          <w:p w:rsidR="00170905" w:rsidRPr="00170905" w:rsidRDefault="00170905" w:rsidP="00170905">
            <w:pPr>
              <w:spacing w:after="0"/>
              <w:jc w:val="both"/>
              <w:rPr>
                <w:i/>
                <w:sz w:val="20"/>
                <w:szCs w:val="20"/>
              </w:rPr>
            </w:pPr>
            <w:r w:rsidRPr="00170905">
              <w:rPr>
                <w:i/>
                <w:sz w:val="20"/>
                <w:szCs w:val="20"/>
              </w:rPr>
              <w:t>2.2 Le donneur au travers du MPTF-O doit informer la Banque de tout montant de financement approuvé au travers d’une Proposition afin que le MPTF CAFI effectue le transfert. Suite à cet avis, le donateur doit engager ces fonds pour la Banque en vertu de la convention d'administration, soit par sa signature originale ou par des contributions supplémentaires, pour la réception de ces fonds aux termes de la convention d'administration</w:t>
            </w:r>
          </w:p>
        </w:tc>
      </w:tr>
      <w:tr w:rsidR="00170905" w:rsidRPr="00170905" w:rsidTr="00170905">
        <w:tc>
          <w:tcPr>
            <w:tcW w:w="4701" w:type="dxa"/>
          </w:tcPr>
          <w:p w:rsidR="00170905" w:rsidRPr="00170905" w:rsidRDefault="00170905" w:rsidP="002E3A02">
            <w:pPr>
              <w:numPr>
                <w:ilvl w:val="0"/>
                <w:numId w:val="39"/>
              </w:numPr>
              <w:spacing w:after="0" w:line="240" w:lineRule="auto"/>
              <w:ind w:left="0" w:firstLine="0"/>
              <w:jc w:val="both"/>
              <w:rPr>
                <w:rFonts w:eastAsia="Times New Roman" w:cs="Times New Roman"/>
                <w:b/>
                <w:bCs/>
                <w:i/>
                <w:sz w:val="20"/>
                <w:szCs w:val="20"/>
                <w:lang w:val="en-US"/>
              </w:rPr>
            </w:pPr>
            <w:r w:rsidRPr="00170905">
              <w:rPr>
                <w:rFonts w:eastAsia="Times New Roman" w:cs="Times New Roman"/>
                <w:b/>
                <w:bCs/>
                <w:i/>
                <w:sz w:val="20"/>
                <w:szCs w:val="20"/>
                <w:lang w:val="en-US"/>
              </w:rPr>
              <w:lastRenderedPageBreak/>
              <w:t>Principles Regarding the Bank’s Participation as an Implementing Organization</w:t>
            </w:r>
          </w:p>
          <w:p w:rsidR="00170905" w:rsidRPr="00170905" w:rsidRDefault="00170905" w:rsidP="00170905">
            <w:pPr>
              <w:jc w:val="both"/>
              <w:rPr>
                <w:i/>
                <w:sz w:val="20"/>
                <w:szCs w:val="20"/>
                <w:lang w:val="en-US"/>
              </w:rPr>
            </w:pPr>
            <w:r w:rsidRPr="00170905">
              <w:rPr>
                <w:i/>
                <w:sz w:val="20"/>
                <w:szCs w:val="20"/>
                <w:lang w:val="en-US"/>
              </w:rPr>
              <w:t xml:space="preserve">The following principles shall apply to the Bank’s receipt of funding from the CAFI MPTF as an implementing organization: </w:t>
            </w:r>
          </w:p>
          <w:p w:rsidR="00170905" w:rsidRPr="00170905" w:rsidRDefault="00170905" w:rsidP="00170905">
            <w:pPr>
              <w:spacing w:after="0" w:line="240" w:lineRule="auto"/>
              <w:jc w:val="both"/>
              <w:rPr>
                <w:rFonts w:eastAsia="Times New Roman" w:cs="Times New Roman"/>
                <w:i/>
                <w:sz w:val="20"/>
                <w:szCs w:val="20"/>
                <w:lang w:val="en-US"/>
              </w:rPr>
            </w:pPr>
            <w:r w:rsidRPr="00170905">
              <w:rPr>
                <w:rFonts w:eastAsia="Times New Roman" w:cs="Times New Roman"/>
                <w:i/>
                <w:sz w:val="20"/>
                <w:szCs w:val="20"/>
                <w:lang w:val="en-US"/>
              </w:rPr>
              <w:t>3.1</w:t>
            </w:r>
            <w:r w:rsidRPr="00170905">
              <w:rPr>
                <w:rFonts w:eastAsia="Times New Roman" w:cs="Times New Roman"/>
                <w:i/>
                <w:sz w:val="20"/>
                <w:szCs w:val="20"/>
                <w:lang w:val="en-US"/>
              </w:rPr>
              <w:tab/>
              <w:t xml:space="preserve">The Bank shall be responsible only to the Donor for performing its functions in accordance with the terms of:  (i) the Administration Agreement; (ii) the respective Proposals submitted by the Bank, in coordination with the relevant country, and approved by the relevant governing body; and (iii) any other rules and processes to be agreed in writing by the Bank and the Donor. Fund use shall follow the Bank’s applicable policies and procedures, unless otherwise specified.  The Bank is not responsible or accountable for results or outcomes of Recipient-executed activities.   CAFI or national fund decisions or documents, including terms of reference, operations manuals and letters of intent, shall not be applicable to the Bank in case of contradictions with the Bank’s rules and regulations.   </w:t>
            </w:r>
          </w:p>
          <w:p w:rsidR="00170905" w:rsidRPr="00170905" w:rsidRDefault="00170905" w:rsidP="00170905">
            <w:pPr>
              <w:spacing w:after="0" w:line="240" w:lineRule="auto"/>
              <w:jc w:val="both"/>
              <w:rPr>
                <w:rFonts w:eastAsia="Times New Roman" w:cs="Times New Roman"/>
                <w:i/>
                <w:sz w:val="20"/>
                <w:szCs w:val="20"/>
                <w:lang w:val="en-US"/>
              </w:rPr>
            </w:pPr>
          </w:p>
          <w:p w:rsidR="00170905" w:rsidRPr="00170905" w:rsidRDefault="00170905" w:rsidP="00170905">
            <w:pPr>
              <w:spacing w:after="0" w:line="240" w:lineRule="auto"/>
              <w:jc w:val="both"/>
              <w:rPr>
                <w:rFonts w:eastAsia="Times New Roman" w:cs="Times New Roman"/>
                <w:i/>
                <w:sz w:val="20"/>
                <w:szCs w:val="20"/>
                <w:lang w:val="en-US"/>
              </w:rPr>
            </w:pPr>
          </w:p>
          <w:p w:rsidR="00170905" w:rsidRPr="00170905" w:rsidRDefault="00170905" w:rsidP="00170905">
            <w:pPr>
              <w:spacing w:after="0" w:line="240" w:lineRule="auto"/>
              <w:jc w:val="both"/>
              <w:rPr>
                <w:rFonts w:eastAsia="Times New Roman" w:cs="Times New Roman"/>
                <w:i/>
                <w:sz w:val="20"/>
                <w:szCs w:val="20"/>
                <w:lang w:val="en-US"/>
              </w:rPr>
            </w:pPr>
          </w:p>
          <w:p w:rsidR="00170905" w:rsidRPr="00170905" w:rsidRDefault="00170905" w:rsidP="002E3A02">
            <w:pPr>
              <w:numPr>
                <w:ilvl w:val="1"/>
                <w:numId w:val="41"/>
              </w:numPr>
              <w:spacing w:after="0" w:line="240" w:lineRule="auto"/>
              <w:ind w:left="0" w:firstLine="0"/>
              <w:jc w:val="both"/>
              <w:rPr>
                <w:rFonts w:eastAsia="Times New Roman" w:cs="Times New Roman"/>
                <w:i/>
                <w:sz w:val="20"/>
                <w:szCs w:val="20"/>
                <w:lang w:val="en-US"/>
              </w:rPr>
            </w:pPr>
            <w:r w:rsidRPr="00170905">
              <w:rPr>
                <w:rFonts w:eastAsia="Times New Roman" w:cs="Times New Roman"/>
                <w:i/>
                <w:sz w:val="20"/>
                <w:szCs w:val="20"/>
                <w:lang w:val="en-US"/>
              </w:rPr>
              <w:t xml:space="preserve">The secretariat functions of CAFI and any national fund shall not in any way be involved in the technical review or assessment of any activities carried out by the Bank. Information, such as financial and progress reporting, including in connection with broad reviews of CAFI results, may be provided by the Bank to the relevant secretariat function for consolidation and forwarding purposes without substantive input or review by such secretariat function.  </w:t>
            </w:r>
          </w:p>
          <w:p w:rsidR="00170905" w:rsidRPr="00170905" w:rsidRDefault="00170905" w:rsidP="00170905">
            <w:pPr>
              <w:spacing w:after="0" w:line="240" w:lineRule="auto"/>
              <w:jc w:val="both"/>
              <w:rPr>
                <w:rFonts w:eastAsia="Times New Roman" w:cs="Times New Roman"/>
                <w:i/>
                <w:sz w:val="20"/>
                <w:szCs w:val="20"/>
                <w:lang w:val="en-US"/>
              </w:rPr>
            </w:pPr>
          </w:p>
          <w:p w:rsidR="00170905" w:rsidRPr="00170905" w:rsidRDefault="00170905" w:rsidP="00170905">
            <w:pPr>
              <w:spacing w:after="0" w:line="240" w:lineRule="auto"/>
              <w:jc w:val="both"/>
              <w:rPr>
                <w:rFonts w:eastAsia="Times New Roman" w:cs="Times New Roman"/>
                <w:i/>
                <w:sz w:val="20"/>
                <w:szCs w:val="20"/>
                <w:lang w:val="en-US"/>
              </w:rPr>
            </w:pPr>
          </w:p>
          <w:p w:rsidR="00170905" w:rsidRPr="00170905" w:rsidRDefault="00170905" w:rsidP="002E3A02">
            <w:pPr>
              <w:numPr>
                <w:ilvl w:val="1"/>
                <w:numId w:val="41"/>
              </w:numPr>
              <w:spacing w:after="0" w:line="240" w:lineRule="auto"/>
              <w:ind w:left="0" w:firstLine="0"/>
              <w:jc w:val="both"/>
              <w:rPr>
                <w:rFonts w:eastAsia="Times New Roman" w:cs="Times New Roman"/>
                <w:i/>
                <w:sz w:val="20"/>
                <w:szCs w:val="20"/>
                <w:lang w:val="en-US"/>
              </w:rPr>
            </w:pPr>
            <w:r w:rsidRPr="00170905">
              <w:rPr>
                <w:rFonts w:eastAsia="Times New Roman" w:cs="Times New Roman"/>
                <w:i/>
                <w:sz w:val="20"/>
                <w:szCs w:val="20"/>
                <w:lang w:val="en-US"/>
              </w:rPr>
              <w:t>In providing implementation support under the Trust Fund, the Bank recognizes country ownership of national investment plans for REDD+ (such as CAFI-</w:t>
            </w:r>
            <w:r w:rsidRPr="00170905">
              <w:rPr>
                <w:rFonts w:eastAsia="Times New Roman" w:cs="Times New Roman"/>
                <w:i/>
                <w:sz w:val="20"/>
                <w:szCs w:val="20"/>
                <w:lang w:val="en-US"/>
              </w:rPr>
              <w:lastRenderedPageBreak/>
              <w:t xml:space="preserve">endorsed NIFs), whether developed for CAFI or more generally, and expects close collaboration with the relevant countries in providing such implementation support.  </w:t>
            </w:r>
          </w:p>
          <w:p w:rsidR="00170905" w:rsidRPr="00170905" w:rsidRDefault="00170905" w:rsidP="00170905">
            <w:pPr>
              <w:spacing w:after="0" w:line="240" w:lineRule="auto"/>
              <w:jc w:val="both"/>
              <w:rPr>
                <w:rFonts w:eastAsia="Times New Roman" w:cs="Times New Roman"/>
                <w:i/>
                <w:sz w:val="20"/>
                <w:szCs w:val="20"/>
                <w:lang w:val="en-US"/>
              </w:rPr>
            </w:pPr>
          </w:p>
          <w:p w:rsidR="00170905" w:rsidRPr="00170905" w:rsidRDefault="00170905" w:rsidP="002E3A02">
            <w:pPr>
              <w:numPr>
                <w:ilvl w:val="1"/>
                <w:numId w:val="41"/>
              </w:numPr>
              <w:spacing w:after="0" w:line="240" w:lineRule="auto"/>
              <w:ind w:left="0" w:firstLine="0"/>
              <w:jc w:val="both"/>
              <w:rPr>
                <w:rFonts w:eastAsia="Times New Roman" w:cs="Times New Roman"/>
                <w:i/>
                <w:sz w:val="20"/>
                <w:szCs w:val="20"/>
                <w:lang w:val="en-US"/>
              </w:rPr>
            </w:pPr>
            <w:r w:rsidRPr="00170905">
              <w:rPr>
                <w:rFonts w:eastAsia="Times New Roman" w:cs="Times New Roman"/>
                <w:i/>
                <w:sz w:val="20"/>
                <w:szCs w:val="20"/>
                <w:lang w:val="en-US"/>
              </w:rPr>
              <w:t xml:space="preserve">The Bank shall be responsible for activities described in the Proposals (either through Recipient-executed implementation or Bank-executed support), which shall at all times be clearly separated from the responsibilities on the part of other implementing organizations receiving CAFI funding, including in the context of any activities carried out by multiple  implementing organizations in any single country,  Despite such delineated implementation, the Bank and other implementing organizations are expected to coordinate with respect to their in-country activities.  </w:t>
            </w:r>
          </w:p>
          <w:p w:rsidR="00170905" w:rsidRPr="00170905" w:rsidRDefault="00170905" w:rsidP="00170905">
            <w:pPr>
              <w:spacing w:after="0" w:line="240" w:lineRule="auto"/>
              <w:jc w:val="both"/>
              <w:rPr>
                <w:rFonts w:eastAsia="Times New Roman" w:cs="Times New Roman"/>
                <w:i/>
                <w:sz w:val="20"/>
                <w:szCs w:val="20"/>
                <w:lang w:val="en-US"/>
              </w:rPr>
            </w:pPr>
          </w:p>
          <w:p w:rsidR="00170905" w:rsidRPr="00170905" w:rsidRDefault="00170905" w:rsidP="002E3A02">
            <w:pPr>
              <w:numPr>
                <w:ilvl w:val="1"/>
                <w:numId w:val="41"/>
              </w:numPr>
              <w:spacing w:after="0" w:line="240" w:lineRule="auto"/>
              <w:ind w:left="0" w:firstLine="0"/>
              <w:jc w:val="both"/>
              <w:rPr>
                <w:rFonts w:eastAsia="Times New Roman" w:cs="Times New Roman"/>
                <w:i/>
                <w:sz w:val="20"/>
                <w:szCs w:val="20"/>
                <w:lang w:val="en-US"/>
              </w:rPr>
            </w:pPr>
            <w:r w:rsidRPr="00170905">
              <w:rPr>
                <w:rFonts w:eastAsia="Times New Roman" w:cs="Times New Roman"/>
                <w:i/>
                <w:sz w:val="20"/>
                <w:szCs w:val="20"/>
                <w:lang w:val="en-US"/>
              </w:rPr>
              <w:t>The Bank shall seek to align its activities funded by the Trust Fund with its strategies and priorities, including with respect to its support of and participation in other REDD+ efforts and initiatives.</w:t>
            </w:r>
          </w:p>
          <w:p w:rsidR="00170905" w:rsidRPr="00170905" w:rsidRDefault="00170905" w:rsidP="00170905">
            <w:pPr>
              <w:spacing w:after="0" w:line="240" w:lineRule="auto"/>
              <w:ind w:left="720"/>
              <w:jc w:val="both"/>
              <w:rPr>
                <w:rFonts w:eastAsia="Times New Roman" w:cs="Times New Roman"/>
                <w:b/>
                <w:bCs/>
                <w:i/>
                <w:sz w:val="20"/>
                <w:szCs w:val="20"/>
                <w:lang w:val="en-US"/>
              </w:rPr>
            </w:pPr>
          </w:p>
        </w:tc>
        <w:tc>
          <w:tcPr>
            <w:tcW w:w="4698" w:type="dxa"/>
          </w:tcPr>
          <w:p w:rsidR="00170905" w:rsidRPr="00170905" w:rsidRDefault="00170905" w:rsidP="002E3A02">
            <w:pPr>
              <w:numPr>
                <w:ilvl w:val="0"/>
                <w:numId w:val="42"/>
              </w:numPr>
              <w:spacing w:after="0" w:line="240" w:lineRule="auto"/>
              <w:ind w:left="0" w:hanging="18"/>
              <w:jc w:val="both"/>
              <w:rPr>
                <w:rFonts w:eastAsia="Times New Roman" w:cs="Times New Roman"/>
                <w:b/>
                <w:i/>
                <w:sz w:val="20"/>
                <w:szCs w:val="20"/>
              </w:rPr>
            </w:pPr>
            <w:r w:rsidRPr="00170905">
              <w:rPr>
                <w:rFonts w:eastAsia="Times New Roman" w:cs="Times New Roman"/>
                <w:b/>
                <w:i/>
                <w:sz w:val="20"/>
                <w:szCs w:val="20"/>
              </w:rPr>
              <w:lastRenderedPageBreak/>
              <w:t>Principes concernant la participation de la Banque en tant qu'organisation d'exécution</w:t>
            </w:r>
          </w:p>
          <w:p w:rsidR="00170905" w:rsidRPr="00170905" w:rsidRDefault="00170905" w:rsidP="00170905">
            <w:pPr>
              <w:spacing w:after="0" w:line="240" w:lineRule="auto"/>
              <w:jc w:val="both"/>
              <w:rPr>
                <w:rFonts w:eastAsia="Times New Roman" w:cs="Times New Roman"/>
                <w:i/>
                <w:sz w:val="20"/>
                <w:szCs w:val="20"/>
              </w:rPr>
            </w:pPr>
            <w:r w:rsidRPr="00170905">
              <w:rPr>
                <w:rFonts w:eastAsia="Times New Roman" w:cs="Times New Roman"/>
                <w:i/>
                <w:sz w:val="20"/>
                <w:szCs w:val="20"/>
              </w:rPr>
              <w:t>Les principes suivants sont applicables à la Banque à la réception du financement du MPTF CAFI en tant qu’un organisme d'exécution:</w:t>
            </w:r>
          </w:p>
          <w:p w:rsidR="00170905" w:rsidRPr="00170905" w:rsidRDefault="00170905" w:rsidP="00170905">
            <w:pPr>
              <w:spacing w:after="0" w:line="240" w:lineRule="auto"/>
              <w:jc w:val="both"/>
              <w:rPr>
                <w:rFonts w:eastAsia="Times New Roman" w:cs="Times New Roman"/>
                <w:i/>
                <w:sz w:val="20"/>
                <w:szCs w:val="20"/>
              </w:rPr>
            </w:pPr>
          </w:p>
          <w:p w:rsidR="00170905" w:rsidRPr="00170905" w:rsidRDefault="00170905" w:rsidP="00170905">
            <w:pPr>
              <w:spacing w:after="0" w:line="240" w:lineRule="auto"/>
              <w:jc w:val="both"/>
              <w:rPr>
                <w:rFonts w:eastAsia="Times New Roman" w:cs="Times New Roman"/>
                <w:i/>
                <w:sz w:val="20"/>
                <w:szCs w:val="20"/>
              </w:rPr>
            </w:pPr>
            <w:r w:rsidRPr="00170905">
              <w:rPr>
                <w:rFonts w:eastAsia="Times New Roman" w:cs="Times New Roman"/>
                <w:i/>
                <w:sz w:val="20"/>
                <w:szCs w:val="20"/>
              </w:rPr>
              <w:t>3.1 La Banque est responsable seulement vis à vis du Donateur pour l'exercice de ses fonctions en conformité avec les termes: (i) de la convention d'administration; (ii) des Propositions présentées par la Banque, en coordination avec le pays concerné, et approuvées par l'organe concerné; et (iii) de toutes les autres règles et processus à convenir par écrit entre la Banque et le Donateur. L'utilisation du Fonds doit suivre les politiques et procédures applicables de la Banque, sauf indication contraire. La Banque ne peut pas être tenue responsable des résultats ou des produits des activités exécutées par les Bénéficiaires. Les décisions ou des documents de CAFI ou des fonds nationaux, y compris les termes de référence, les manuels d'exploitation et des lettres d'intention, ne sont pas applicables à la Banque en cas de contradiction avec les règles et règlements de la Banque.</w:t>
            </w:r>
          </w:p>
          <w:p w:rsidR="00170905" w:rsidRPr="00170905" w:rsidRDefault="00170905" w:rsidP="00170905">
            <w:pPr>
              <w:spacing w:after="0" w:line="240" w:lineRule="auto"/>
              <w:jc w:val="both"/>
              <w:rPr>
                <w:rFonts w:eastAsia="Times New Roman" w:cs="Times New Roman"/>
                <w:i/>
                <w:sz w:val="20"/>
                <w:szCs w:val="20"/>
              </w:rPr>
            </w:pPr>
          </w:p>
          <w:p w:rsidR="00170905" w:rsidRPr="00170905" w:rsidRDefault="00170905" w:rsidP="00170905">
            <w:pPr>
              <w:spacing w:after="0" w:line="240" w:lineRule="auto"/>
              <w:jc w:val="both"/>
              <w:rPr>
                <w:rFonts w:eastAsia="Times New Roman" w:cs="Times New Roman"/>
                <w:i/>
                <w:sz w:val="20"/>
                <w:szCs w:val="20"/>
              </w:rPr>
            </w:pPr>
            <w:r w:rsidRPr="00170905">
              <w:rPr>
                <w:rFonts w:eastAsia="Times New Roman" w:cs="Times New Roman"/>
                <w:i/>
                <w:sz w:val="20"/>
                <w:szCs w:val="20"/>
              </w:rPr>
              <w:t>3.2 L’entité ayant fonction de secrétariat de CAFI et d’un fonds national ne doivent en aucun cas être impliqués dans l'examen technique ou l'évaluation de toutes les activités menées par la Banque. Les informations, telles que les rapports financiers et les progrès, y compris dans le cadre d’une revue au sens large des résultats de CAFI, seront fournis par la Banque à l’entité faisant fonction de secrétariat à des fins de consolidation et de transfert mais n’impliqueront pas des ajouts significatifs ou une revue par un tel secrétariat.</w:t>
            </w:r>
          </w:p>
          <w:p w:rsidR="00170905" w:rsidRPr="00170905" w:rsidRDefault="00170905" w:rsidP="00170905">
            <w:pPr>
              <w:spacing w:after="0" w:line="240" w:lineRule="auto"/>
              <w:jc w:val="both"/>
              <w:rPr>
                <w:rFonts w:eastAsia="Times New Roman" w:cs="Times New Roman"/>
                <w:i/>
                <w:sz w:val="20"/>
                <w:szCs w:val="20"/>
              </w:rPr>
            </w:pPr>
          </w:p>
          <w:p w:rsidR="00170905" w:rsidRPr="00170905" w:rsidRDefault="00170905" w:rsidP="00170905">
            <w:pPr>
              <w:spacing w:after="0" w:line="240" w:lineRule="auto"/>
              <w:jc w:val="both"/>
              <w:rPr>
                <w:rFonts w:eastAsia="Times New Roman" w:cs="Times New Roman"/>
                <w:i/>
                <w:sz w:val="20"/>
                <w:szCs w:val="20"/>
              </w:rPr>
            </w:pPr>
            <w:r w:rsidRPr="00170905">
              <w:rPr>
                <w:rFonts w:eastAsia="Times New Roman" w:cs="Times New Roman"/>
                <w:i/>
                <w:sz w:val="20"/>
                <w:szCs w:val="20"/>
              </w:rPr>
              <w:t xml:space="preserve">3.3 En fournissant un soutien de mise en œuvre dans le </w:t>
            </w:r>
            <w:r w:rsidRPr="00170905">
              <w:rPr>
                <w:rFonts w:eastAsia="Times New Roman" w:cs="Times New Roman"/>
                <w:i/>
                <w:sz w:val="20"/>
                <w:szCs w:val="20"/>
              </w:rPr>
              <w:lastRenderedPageBreak/>
              <w:t xml:space="preserve">cadre du Trust Fund, la Banque reconnaît l'appropriation nationale des plans nationaux d'investissement pour la REDD + (comme les NIF approuvés par CAFI), qu'ils soient développés pour CAFI ou d’une portée plus générale, et attend une collaboration étroite avec les pays concernés pour ce soutien à la mise en oeuvre. </w:t>
            </w:r>
          </w:p>
          <w:p w:rsidR="00170905" w:rsidRPr="00170905" w:rsidRDefault="00170905" w:rsidP="00170905">
            <w:pPr>
              <w:spacing w:after="0" w:line="240" w:lineRule="auto"/>
              <w:jc w:val="both"/>
              <w:rPr>
                <w:rFonts w:eastAsia="Times New Roman" w:cs="Times New Roman"/>
                <w:i/>
                <w:sz w:val="20"/>
                <w:szCs w:val="20"/>
              </w:rPr>
            </w:pPr>
          </w:p>
          <w:p w:rsidR="00170905" w:rsidRPr="00170905" w:rsidRDefault="00170905" w:rsidP="00170905">
            <w:pPr>
              <w:spacing w:after="0" w:line="240" w:lineRule="auto"/>
              <w:jc w:val="both"/>
              <w:rPr>
                <w:rFonts w:eastAsia="Times New Roman" w:cs="Times New Roman"/>
                <w:i/>
                <w:sz w:val="20"/>
                <w:szCs w:val="20"/>
              </w:rPr>
            </w:pPr>
            <w:r w:rsidRPr="00170905">
              <w:rPr>
                <w:rFonts w:eastAsia="Times New Roman" w:cs="Times New Roman"/>
                <w:i/>
                <w:sz w:val="20"/>
                <w:szCs w:val="20"/>
              </w:rPr>
              <w:t>3.4 La Banque est responsable des activités décrites dans les Propositions (qu’elles soient mises en œuvre par le bénéficiaire ou par la Banque), qui doivent en tout temps être clairement séparées des responsabilités des autres organismes d'exécution bénéficiant d'un financement du CAFI, y compris dans le cadre d’activités menées par plusieurs organismes d'exécution dans un seul pays. Malgré cette ségrégation de mise en œuvre, la Banque et d'autres organismes d'exécution devraient se coordonner pour leurs activités dans le pays.</w:t>
            </w:r>
          </w:p>
          <w:p w:rsidR="00170905" w:rsidRPr="00170905" w:rsidRDefault="00170905" w:rsidP="00170905">
            <w:pPr>
              <w:spacing w:after="0" w:line="240" w:lineRule="auto"/>
              <w:jc w:val="both"/>
              <w:rPr>
                <w:rFonts w:eastAsia="Times New Roman" w:cs="Times New Roman"/>
                <w:i/>
                <w:sz w:val="20"/>
                <w:szCs w:val="20"/>
              </w:rPr>
            </w:pPr>
          </w:p>
          <w:p w:rsidR="00170905" w:rsidRPr="00170905" w:rsidRDefault="00170905" w:rsidP="00170905">
            <w:pPr>
              <w:spacing w:after="0" w:line="240" w:lineRule="auto"/>
              <w:jc w:val="both"/>
              <w:rPr>
                <w:rFonts w:eastAsia="Times New Roman" w:cs="Times New Roman"/>
                <w:i/>
                <w:sz w:val="20"/>
                <w:szCs w:val="20"/>
              </w:rPr>
            </w:pPr>
            <w:r w:rsidRPr="00170905">
              <w:rPr>
                <w:rFonts w:eastAsia="Times New Roman" w:cs="Times New Roman"/>
                <w:i/>
                <w:sz w:val="20"/>
                <w:szCs w:val="20"/>
              </w:rPr>
              <w:t>3.5 La Banque cherchera à aligner ses activités financées par le Trust Fund avec ses propres stratégies et priorités, y compris pour son soutien et de sa participation à d'autres efforts et initiatives REDD+.</w:t>
            </w:r>
          </w:p>
        </w:tc>
      </w:tr>
    </w:tbl>
    <w:p w:rsidR="00170905" w:rsidRDefault="00170905" w:rsidP="00CC54EA">
      <w:pPr>
        <w:pStyle w:val="Style3"/>
        <w:numPr>
          <w:ilvl w:val="0"/>
          <w:numId w:val="0"/>
        </w:numPr>
        <w:rPr>
          <w:rFonts w:asciiTheme="minorHAnsi" w:hAnsiTheme="minorHAnsi"/>
          <w:b w:val="0"/>
          <w:color w:val="000000" w:themeColor="text1"/>
          <w:sz w:val="20"/>
          <w:szCs w:val="20"/>
        </w:rPr>
      </w:pPr>
    </w:p>
    <w:p w:rsidR="00170905" w:rsidRDefault="00170905">
      <w:pPr>
        <w:spacing w:after="160" w:line="259" w:lineRule="auto"/>
        <w:rPr>
          <w:rFonts w:cstheme="majorBidi"/>
          <w:bCs/>
          <w:color w:val="000000" w:themeColor="text1"/>
          <w:sz w:val="20"/>
          <w:szCs w:val="20"/>
        </w:rPr>
      </w:pPr>
      <w:r>
        <w:rPr>
          <w:b/>
          <w:color w:val="000000" w:themeColor="text1"/>
          <w:sz w:val="20"/>
          <w:szCs w:val="20"/>
        </w:rPr>
        <w:br w:type="page"/>
      </w:r>
    </w:p>
    <w:p w:rsidR="00170905" w:rsidRPr="00302B2C" w:rsidRDefault="00170905" w:rsidP="00302B2C">
      <w:pPr>
        <w:rPr>
          <w:b/>
          <w:color w:val="2E74B5" w:themeColor="accent1" w:themeShade="BF"/>
        </w:rPr>
      </w:pPr>
      <w:r w:rsidRPr="00302B2C">
        <w:rPr>
          <w:b/>
          <w:color w:val="2E74B5" w:themeColor="accent1" w:themeShade="BF"/>
        </w:rPr>
        <w:lastRenderedPageBreak/>
        <w:t>ANNEXE 2 : Termes de référence pour le recrutement des opérateurs le cas échéant et autres prestataires de service</w:t>
      </w:r>
    </w:p>
    <w:p w:rsidR="00D02EFB" w:rsidRPr="00F73059" w:rsidRDefault="00170905" w:rsidP="00302B2C">
      <w:pPr>
        <w:jc w:val="center"/>
        <w:rPr>
          <w:rFonts w:eastAsia="Calibri"/>
          <w:lang w:eastAsia="en-US"/>
        </w:rPr>
      </w:pPr>
      <w:r w:rsidRPr="00F73059">
        <w:rPr>
          <w:rFonts w:eastAsia="Calibri"/>
          <w:lang w:eastAsia="en-US"/>
        </w:rPr>
        <w:t>Termes de référence</w:t>
      </w:r>
    </w:p>
    <w:p w:rsidR="00170905" w:rsidRDefault="00170905" w:rsidP="00302B2C">
      <w:pPr>
        <w:jc w:val="center"/>
        <w:rPr>
          <w:rFonts w:eastAsia="Calibri"/>
          <w:lang w:eastAsia="en-US"/>
        </w:rPr>
      </w:pPr>
      <w:r w:rsidRPr="00F73059">
        <w:rPr>
          <w:rFonts w:eastAsia="Calibri"/>
          <w:lang w:eastAsia="en-US"/>
        </w:rPr>
        <w:t xml:space="preserve">Services d’un </w:t>
      </w:r>
      <w:r w:rsidR="00F73059">
        <w:rPr>
          <w:rFonts w:eastAsia="Calibri"/>
          <w:lang w:eastAsia="en-US"/>
        </w:rPr>
        <w:t>Maitre d’Ouvrage Délégué (MOD) chargé de la mise en œuvre du PIREDD Mai-Ndombe</w:t>
      </w:r>
    </w:p>
    <w:p w:rsidR="00D02EFB" w:rsidRPr="00D02EFB" w:rsidRDefault="00D02EFB" w:rsidP="00302B2C">
      <w:pPr>
        <w:jc w:val="center"/>
        <w:rPr>
          <w:rFonts w:eastAsia="Calibri"/>
          <w:i/>
          <w:lang w:eastAsia="en-US"/>
        </w:rPr>
      </w:pPr>
      <w:r w:rsidRPr="00D02EFB">
        <w:rPr>
          <w:rFonts w:eastAsia="Calibri"/>
          <w:i/>
          <w:lang w:eastAsia="en-US"/>
        </w:rPr>
        <w:t>Ce document sera précisé dans les mois à venir</w:t>
      </w:r>
    </w:p>
    <w:p w:rsidR="00170905" w:rsidRPr="00F73059" w:rsidRDefault="00260D67" w:rsidP="00170905">
      <w:pPr>
        <w:spacing w:after="0" w:line="240" w:lineRule="auto"/>
        <w:jc w:val="both"/>
        <w:rPr>
          <w:rFonts w:eastAsia="Calibri" w:cs="Times New Roman"/>
          <w:b/>
          <w:sz w:val="20"/>
          <w:szCs w:val="20"/>
          <w:lang w:eastAsia="en-US"/>
        </w:rPr>
      </w:pPr>
      <w:r>
        <w:rPr>
          <w:rFonts w:eastAsia="Calibri" w:cs="Times New Roman"/>
          <w:noProof/>
          <w:sz w:val="20"/>
          <w:szCs w:val="20"/>
        </w:rPr>
        <mc:AlternateContent>
          <mc:Choice Requires="wps">
            <w:drawing>
              <wp:anchor distT="4294967295" distB="4294967295" distL="114300" distR="114300" simplePos="0" relativeHeight="251673600" behindDoc="0" locked="0" layoutInCell="1" allowOverlap="1">
                <wp:simplePos x="0" y="0"/>
                <wp:positionH relativeFrom="column">
                  <wp:posOffset>10795</wp:posOffset>
                </wp:positionH>
                <wp:positionV relativeFrom="paragraph">
                  <wp:posOffset>96519</wp:posOffset>
                </wp:positionV>
                <wp:extent cx="6017895" cy="0"/>
                <wp:effectExtent l="0" t="19050" r="1905"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78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908B5E" id="_x0000_t32" coordsize="21600,21600" o:spt="32" o:oned="t" path="m,l21600,21600e" filled="f">
                <v:path arrowok="t" fillok="f" o:connecttype="none"/>
                <o:lock v:ext="edit" shapetype="t"/>
              </v:shapetype>
              <v:shape id="AutoShape 3" o:spid="_x0000_s1026" type="#_x0000_t32" style="position:absolute;margin-left:.85pt;margin-top:7.6pt;width:473.85pt;height:0;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llJQIAAEYEAAAOAAAAZHJzL2Uyb0RvYy54bWysU02P2yAQvVfqf0DcE9v52sSKs1rZSS/b&#10;NtJueyeAY1QMCEicqOp/74CTNNteqqo+4IGZebyZeSwfT61ER26d0KrA2TDFiCuqmVD7An953Qzm&#10;GDlPFCNSK17gM3f4cfX+3bIzOR/pRkvGLQIQ5fLOFLjx3uRJ4mjDW+KG2nAFzlrblnjY2n3CLOkA&#10;vZXJKE1nSactM1ZT7hycVr0TryJ+XXPqP9e14x7JAgM3H1cb111Yk9WS5HtLTCPohQb5BxYtEQou&#10;vUFVxBN0sOIPqFZQq52u/ZDqNtF1LSiPNUA1WfpbNS8NMTzWAs1x5tYm9/9g6afj1iLBCjzGSJEW&#10;RvR08DrejMahPZ1xOUSVamtDgfSkXsyzpt8cUrpsiNrzGPx6NpCbhYzkTUrYOAOX7LqPmkEMAfzY&#10;q1NtW1RLYb6GxAAO/UCnOJzzbTj85BGFw1maPcwXU4zo1ZeQPECERGOd/8B1i4JRYOctEfvGl1op&#10;kIC2PTw5PjsfCP5KCMlKb4SUUQlSoa7Ao/n0YRoJOS0FC94Q5+x+V0qLjiSIKX6xXPDch1l9UCyi&#10;NZyw9cX2RMjehtulCnhQGfC5WL1avi/SxXq+nk8Gk9FsPZikVTV42pSTwWyTPUyrcVWWVfYjUMsm&#10;eSMY4yqwuyo3m/ydMi5vqNfcTbu3PiRv0WPDgOz1H0nHIYe59grZaXbe2uvwQawx+PKwwmu434N9&#10;//xXPwEAAP//AwBQSwMEFAAGAAgAAAAhAIfZK6vZAAAABwEAAA8AAABkcnMvZG93bnJldi54bWxM&#10;js1OwzAQhO9IvIO1SNyoQ1V+EuJUqCpSrySo5028JIF4HcVum/L0LOIAp9XsjGa+fD27QR1pCr1n&#10;A7eLBBRx423PrYG36uXmEVSIyBYHz2TgTAHWxeVFjpn1J36lYxlbJSUcMjTQxThmWoemI4dh4Udi&#10;8d795DCKnFptJzxJuRv0MknutcOeZaHDkTYdNZ/lwclI7ar0o9ydv+qww2rcb6f9ZmvM9dX8/AQq&#10;0hz/wvCDL+hQCFPtD2yDGkQ/SFDO3RKU2OkqXYGqfx+6yPV//uIbAAD//wMAUEsBAi0AFAAGAAgA&#10;AAAhALaDOJL+AAAA4QEAABMAAAAAAAAAAAAAAAAAAAAAAFtDb250ZW50X1R5cGVzXS54bWxQSwEC&#10;LQAUAAYACAAAACEAOP0h/9YAAACUAQAACwAAAAAAAAAAAAAAAAAvAQAAX3JlbHMvLnJlbHNQSwEC&#10;LQAUAAYACAAAACEAqn4ZZSUCAABGBAAADgAAAAAAAAAAAAAAAAAuAgAAZHJzL2Uyb0RvYy54bWxQ&#10;SwECLQAUAAYACAAAACEAh9krq9kAAAAHAQAADwAAAAAAAAAAAAAAAAB/BAAAZHJzL2Rvd25yZXYu&#10;eG1sUEsFBgAAAAAEAAQA8wAAAIUFAAAAAA==&#10;" strokeweight="2.25pt"/>
            </w:pict>
          </mc:Fallback>
        </mc:AlternateContent>
      </w:r>
    </w:p>
    <w:p w:rsidR="00170905" w:rsidRPr="00F73059" w:rsidRDefault="00170905" w:rsidP="00170905">
      <w:pPr>
        <w:spacing w:after="0" w:line="240" w:lineRule="auto"/>
        <w:jc w:val="both"/>
        <w:rPr>
          <w:rFonts w:eastAsia="Calibri" w:cs="Times New Roman"/>
          <w:b/>
          <w:sz w:val="20"/>
          <w:szCs w:val="20"/>
          <w:u w:val="single"/>
          <w:lang w:eastAsia="en-US"/>
        </w:rPr>
      </w:pPr>
    </w:p>
    <w:p w:rsidR="00170905" w:rsidRPr="00F73059" w:rsidRDefault="00170905" w:rsidP="00302B2C">
      <w:pPr>
        <w:rPr>
          <w:rFonts w:eastAsia="Calibri"/>
          <w:lang w:eastAsia="en-US"/>
        </w:rPr>
      </w:pPr>
      <w:r w:rsidRPr="00F73059">
        <w:rPr>
          <w:rFonts w:eastAsia="Calibri"/>
          <w:lang w:eastAsia="en-US"/>
        </w:rPr>
        <w:t>Présentation du P</w:t>
      </w:r>
      <w:r w:rsidR="00F73059">
        <w:rPr>
          <w:rFonts w:eastAsia="Calibri"/>
          <w:lang w:eastAsia="en-US"/>
        </w:rPr>
        <w:t>IREDD Mai-Ndombe</w:t>
      </w:r>
    </w:p>
    <w:p w:rsidR="00170905" w:rsidRDefault="00170905" w:rsidP="00170905">
      <w:pPr>
        <w:spacing w:after="0" w:line="240" w:lineRule="auto"/>
        <w:jc w:val="both"/>
        <w:rPr>
          <w:rFonts w:eastAsia="Calibri" w:cs="Times New Roman"/>
          <w:i/>
          <w:sz w:val="20"/>
          <w:szCs w:val="20"/>
          <w:lang w:eastAsia="en-US"/>
        </w:rPr>
      </w:pPr>
      <w:r w:rsidRPr="00F73059">
        <w:rPr>
          <w:rFonts w:eastAsia="Calibri" w:cs="Times New Roman"/>
          <w:i/>
          <w:sz w:val="20"/>
          <w:szCs w:val="20"/>
          <w:u w:val="single"/>
          <w:lang w:eastAsia="en-US"/>
        </w:rPr>
        <w:t>L’objectif global du P</w:t>
      </w:r>
      <w:r w:rsidR="00F73059">
        <w:rPr>
          <w:rFonts w:eastAsia="Calibri" w:cs="Times New Roman"/>
          <w:i/>
          <w:sz w:val="20"/>
          <w:szCs w:val="20"/>
          <w:u w:val="single"/>
          <w:lang w:eastAsia="en-US"/>
        </w:rPr>
        <w:t xml:space="preserve">IREDD Mai-Ndombe </w:t>
      </w:r>
      <w:r w:rsidRPr="00F73059">
        <w:rPr>
          <w:rFonts w:eastAsia="Calibri" w:cs="Times New Roman"/>
          <w:i/>
          <w:sz w:val="20"/>
          <w:szCs w:val="20"/>
          <w:lang w:eastAsia="en-US"/>
        </w:rPr>
        <w:t xml:space="preserve">est de tester de nouvelles approches pour améliorer les conditions de vie des communautés ainsi que la gestion des paysages forestiers, et de réduire les émissions de gaz à effet de serre produites par la déforestation et la dégradation des forêts dans des zones sélectionnées. </w:t>
      </w:r>
    </w:p>
    <w:p w:rsidR="00451070" w:rsidRPr="00F73059" w:rsidRDefault="00451070" w:rsidP="00170905">
      <w:pPr>
        <w:spacing w:after="0" w:line="240" w:lineRule="auto"/>
        <w:jc w:val="both"/>
        <w:rPr>
          <w:rFonts w:eastAsia="Calibri" w:cs="Times New Roman"/>
          <w:i/>
          <w:sz w:val="20"/>
          <w:szCs w:val="20"/>
          <w:lang w:eastAsia="en-US"/>
        </w:rPr>
      </w:pPr>
    </w:p>
    <w:p w:rsidR="00170905" w:rsidRPr="00451070" w:rsidRDefault="00451070" w:rsidP="00451070">
      <w:pPr>
        <w:rPr>
          <w:rFonts w:eastAsia="Calibri"/>
          <w:b/>
          <w:lang w:eastAsia="en-US"/>
        </w:rPr>
      </w:pPr>
      <w:r>
        <w:rPr>
          <w:rFonts w:eastAsia="Calibri"/>
          <w:b/>
          <w:lang w:eastAsia="en-US"/>
        </w:rPr>
        <w:t>A1</w:t>
      </w:r>
      <w:r w:rsidRPr="00451070">
        <w:rPr>
          <w:rFonts w:eastAsia="Calibri"/>
          <w:b/>
          <w:lang w:eastAsia="en-US"/>
        </w:rPr>
        <w:t xml:space="preserve"> </w:t>
      </w:r>
      <w:r w:rsidR="00170905" w:rsidRPr="00451070">
        <w:rPr>
          <w:rFonts w:eastAsia="Calibri"/>
          <w:b/>
          <w:lang w:eastAsia="en-US"/>
        </w:rPr>
        <w:t>Présentatio</w:t>
      </w:r>
      <w:r w:rsidR="00F73059" w:rsidRPr="00451070">
        <w:rPr>
          <w:rFonts w:eastAsia="Calibri"/>
          <w:b/>
          <w:lang w:eastAsia="en-US"/>
        </w:rPr>
        <w:t>n du</w:t>
      </w:r>
      <w:r w:rsidR="00170905" w:rsidRPr="00451070">
        <w:rPr>
          <w:rFonts w:eastAsia="Calibri"/>
          <w:b/>
          <w:lang w:eastAsia="en-US"/>
        </w:rPr>
        <w:t xml:space="preserve"> Projet Intégré REDD du District du</w:t>
      </w:r>
      <w:r w:rsidR="00F73059" w:rsidRPr="00451070">
        <w:rPr>
          <w:rFonts w:eastAsia="Calibri"/>
          <w:b/>
          <w:lang w:eastAsia="en-US"/>
        </w:rPr>
        <w:t xml:space="preserve"> Mai-Ndombe</w:t>
      </w:r>
      <w:r w:rsidR="00170905" w:rsidRPr="00451070">
        <w:rPr>
          <w:rFonts w:eastAsia="Calibri"/>
          <w:b/>
          <w:lang w:eastAsia="en-US"/>
        </w:rPr>
        <w:t xml:space="preserve">, « PIREDD </w:t>
      </w:r>
      <w:r w:rsidR="00F73059" w:rsidRPr="00451070">
        <w:rPr>
          <w:rFonts w:eastAsia="Calibri"/>
          <w:b/>
          <w:lang w:eastAsia="en-US"/>
        </w:rPr>
        <w:t>Mai-Ndombe</w:t>
      </w:r>
      <w:r w:rsidR="00170905" w:rsidRPr="00451070">
        <w:rPr>
          <w:rFonts w:eastAsia="Calibri"/>
          <w:b/>
          <w:lang w:eastAsia="en-US"/>
        </w:rPr>
        <w:t> » :</w:t>
      </w:r>
    </w:p>
    <w:p w:rsidR="00170905" w:rsidRPr="00F73059" w:rsidRDefault="00F73059" w:rsidP="002E3A02">
      <w:pPr>
        <w:numPr>
          <w:ilvl w:val="0"/>
          <w:numId w:val="44"/>
        </w:numPr>
        <w:tabs>
          <w:tab w:val="left" w:pos="284"/>
          <w:tab w:val="left" w:pos="450"/>
          <w:tab w:val="num" w:pos="709"/>
        </w:tabs>
        <w:spacing w:after="240" w:line="240" w:lineRule="auto"/>
        <w:ind w:left="284"/>
        <w:jc w:val="both"/>
        <w:rPr>
          <w:rFonts w:eastAsia="Calibri" w:cs="Times New Roman"/>
          <w:sz w:val="20"/>
          <w:szCs w:val="20"/>
          <w:lang w:eastAsia="en-US"/>
        </w:rPr>
      </w:pPr>
      <w:r>
        <w:rPr>
          <w:rFonts w:eastAsia="Calibri" w:cs="Times New Roman"/>
          <w:sz w:val="20"/>
          <w:szCs w:val="20"/>
          <w:lang w:eastAsia="en-US"/>
        </w:rPr>
        <w:t>Le projet</w:t>
      </w:r>
      <w:r w:rsidR="00170905" w:rsidRPr="00F73059">
        <w:rPr>
          <w:rFonts w:eastAsia="Calibri" w:cs="Times New Roman"/>
          <w:sz w:val="20"/>
          <w:szCs w:val="20"/>
          <w:lang w:eastAsia="en-US"/>
        </w:rPr>
        <w:t xml:space="preserve"> utilisera une approche intégrée pour appuyer à grande échelle, la gestion des ressources naturelles par les communautés de base et pour améliorer les conditions de vie des populations rurales grâce à des investissements cib</w:t>
      </w:r>
      <w:r>
        <w:rPr>
          <w:rFonts w:eastAsia="Calibri" w:cs="Times New Roman"/>
          <w:sz w:val="20"/>
          <w:szCs w:val="20"/>
          <w:lang w:eastAsia="en-US"/>
        </w:rPr>
        <w:t>lés, dans le District du Mai-Ndombe</w:t>
      </w:r>
      <w:r w:rsidR="00170905" w:rsidRPr="00F73059">
        <w:rPr>
          <w:rFonts w:eastAsia="Calibri" w:cs="Times New Roman"/>
          <w:sz w:val="20"/>
          <w:szCs w:val="20"/>
          <w:lang w:eastAsia="en-US"/>
        </w:rPr>
        <w:t xml:space="preserve">. Le District du </w:t>
      </w:r>
      <w:r>
        <w:rPr>
          <w:rFonts w:eastAsia="Calibri" w:cs="Times New Roman"/>
          <w:sz w:val="20"/>
          <w:szCs w:val="20"/>
          <w:lang w:eastAsia="en-US"/>
        </w:rPr>
        <w:t>Mai-Ndombe</w:t>
      </w:r>
      <w:r w:rsidR="00170905" w:rsidRPr="00F73059">
        <w:rPr>
          <w:rFonts w:eastAsia="Calibri" w:cs="Times New Roman"/>
          <w:sz w:val="20"/>
          <w:szCs w:val="20"/>
          <w:lang w:eastAsia="en-US"/>
        </w:rPr>
        <w:t xml:space="preserve"> est une zone de forte déforestation et de taux élevés de pauvreté ; c’est une zone importante en termes de biodiversité. </w:t>
      </w:r>
    </w:p>
    <w:p w:rsidR="00170905" w:rsidRPr="00F73059" w:rsidRDefault="00170905" w:rsidP="002E3A02">
      <w:pPr>
        <w:numPr>
          <w:ilvl w:val="0"/>
          <w:numId w:val="44"/>
        </w:numPr>
        <w:tabs>
          <w:tab w:val="left" w:pos="284"/>
          <w:tab w:val="left" w:pos="450"/>
          <w:tab w:val="num" w:pos="709"/>
        </w:tabs>
        <w:spacing w:after="240" w:line="240" w:lineRule="auto"/>
        <w:ind w:left="284"/>
        <w:jc w:val="both"/>
        <w:rPr>
          <w:rFonts w:eastAsia="Calibri" w:cs="Times New Roman"/>
          <w:sz w:val="20"/>
          <w:szCs w:val="20"/>
          <w:lang w:eastAsia="en-US"/>
        </w:rPr>
      </w:pPr>
      <w:r w:rsidRPr="00F73059">
        <w:rPr>
          <w:rFonts w:eastAsia="Calibri" w:cs="Times New Roman"/>
          <w:sz w:val="20"/>
          <w:szCs w:val="20"/>
          <w:lang w:eastAsia="en-US"/>
        </w:rPr>
        <w:t>Le projet pilotera une approche territoriale cohérente et coordonnée pour combattre la déforestation, en s’adressant aux causes de celle-ci et de la dégradation des forêts. Le PIREDD travaillera en étroite collaboration avec les initiatives en</w:t>
      </w:r>
      <w:r w:rsidR="00F73059">
        <w:rPr>
          <w:rFonts w:eastAsia="Calibri" w:cs="Times New Roman"/>
          <w:sz w:val="20"/>
          <w:szCs w:val="20"/>
          <w:lang w:eastAsia="en-US"/>
        </w:rPr>
        <w:t xml:space="preserve"> cours dans la zone concernée</w:t>
      </w:r>
      <w:r w:rsidRPr="00F73059">
        <w:rPr>
          <w:rFonts w:eastAsia="Calibri" w:cs="Times New Roman"/>
          <w:sz w:val="20"/>
          <w:szCs w:val="20"/>
          <w:lang w:eastAsia="en-US"/>
        </w:rPr>
        <w:t xml:space="preserve">. </w:t>
      </w:r>
    </w:p>
    <w:p w:rsidR="00170905" w:rsidRPr="00F73059" w:rsidRDefault="00170905" w:rsidP="002E3A02">
      <w:pPr>
        <w:numPr>
          <w:ilvl w:val="0"/>
          <w:numId w:val="44"/>
        </w:numPr>
        <w:tabs>
          <w:tab w:val="left" w:pos="284"/>
          <w:tab w:val="left" w:pos="450"/>
          <w:tab w:val="num" w:pos="709"/>
        </w:tabs>
        <w:spacing w:after="240" w:line="240" w:lineRule="auto"/>
        <w:ind w:left="284"/>
        <w:jc w:val="both"/>
        <w:rPr>
          <w:rFonts w:eastAsia="Calibri" w:cs="Times New Roman"/>
          <w:sz w:val="20"/>
          <w:szCs w:val="20"/>
          <w:lang w:eastAsia="en-US"/>
        </w:rPr>
      </w:pPr>
      <w:r w:rsidRPr="00F73059">
        <w:rPr>
          <w:rFonts w:eastAsia="Calibri" w:cs="Times New Roman"/>
          <w:sz w:val="20"/>
          <w:szCs w:val="20"/>
          <w:lang w:eastAsia="en-US"/>
        </w:rPr>
        <w:t>A partir du diagnostic initial des causes de la déforestation et des enjeux de l’aménagement du territoire dans chaque groupe de villages, le projet appuiera la réalisation puis la mise en œuvre de plans de gestion durable des ressources naturelles en finançant : 1) le renforcement des capacités organisationnelles des parties  concernées (Co</w:t>
      </w:r>
      <w:r w:rsidR="00F73059">
        <w:rPr>
          <w:rFonts w:eastAsia="Calibri" w:cs="Times New Roman"/>
          <w:sz w:val="20"/>
          <w:szCs w:val="20"/>
          <w:lang w:eastAsia="en-US"/>
        </w:rPr>
        <w:t>nseils Locaux de Développement (CLDs)</w:t>
      </w:r>
      <w:r w:rsidRPr="00F73059">
        <w:rPr>
          <w:rFonts w:eastAsia="Calibri" w:cs="Times New Roman"/>
          <w:sz w:val="20"/>
          <w:szCs w:val="20"/>
          <w:lang w:eastAsia="en-US"/>
        </w:rPr>
        <w:t>, Cadres</w:t>
      </w:r>
      <w:r w:rsidR="00F73059">
        <w:rPr>
          <w:rFonts w:eastAsia="Calibri" w:cs="Times New Roman"/>
          <w:sz w:val="20"/>
          <w:szCs w:val="20"/>
          <w:lang w:eastAsia="en-US"/>
        </w:rPr>
        <w:t xml:space="preserve"> de Concertation Territoriaux (</w:t>
      </w:r>
      <w:r w:rsidRPr="00F73059">
        <w:rPr>
          <w:rFonts w:eastAsia="Calibri" w:cs="Times New Roman"/>
          <w:sz w:val="20"/>
          <w:szCs w:val="20"/>
          <w:lang w:eastAsia="en-US"/>
        </w:rPr>
        <w:t>CARTs</w:t>
      </w:r>
      <w:r w:rsidR="00F73059">
        <w:rPr>
          <w:rFonts w:eastAsia="Calibri" w:cs="Times New Roman"/>
          <w:sz w:val="20"/>
          <w:szCs w:val="20"/>
          <w:lang w:eastAsia="en-US"/>
        </w:rPr>
        <w:t>)</w:t>
      </w:r>
      <w:r w:rsidRPr="00F73059">
        <w:rPr>
          <w:rFonts w:eastAsia="Calibri" w:cs="Times New Roman"/>
          <w:sz w:val="20"/>
          <w:szCs w:val="20"/>
          <w:lang w:eastAsia="en-US"/>
        </w:rPr>
        <w:t>, services techniques décentralisés de l’Environnement et de l’Agriculture, 2) des investissements d’infrastructures ou d’équipements clés, au niveau du district, des territoires, secteurs, investissements décidés de manière participative dans les plans de développement de ces entités ; 3) des investissements locaux pour la gestion des ressources naturelles tels que définis dans les plans de gestion de terroir et  4) des Paiements Basés sur le Résultat, avec l’objectif que ces investissements soutiennent le déploiement des pratiques nouvelles afin de maintenir le couvert forestier actuel, tout en assurant la réalisation des plans de gestion.</w:t>
      </w:r>
    </w:p>
    <w:p w:rsidR="00170905" w:rsidRPr="00F73059" w:rsidRDefault="00170905" w:rsidP="002E3A02">
      <w:pPr>
        <w:numPr>
          <w:ilvl w:val="0"/>
          <w:numId w:val="44"/>
        </w:numPr>
        <w:tabs>
          <w:tab w:val="left" w:pos="284"/>
          <w:tab w:val="num" w:pos="709"/>
        </w:tabs>
        <w:spacing w:after="240" w:line="240" w:lineRule="auto"/>
        <w:ind w:left="284"/>
        <w:jc w:val="both"/>
        <w:rPr>
          <w:rFonts w:eastAsia="Calibri" w:cs="Times New Roman"/>
          <w:sz w:val="20"/>
          <w:szCs w:val="20"/>
          <w:lang w:eastAsia="en-US"/>
        </w:rPr>
      </w:pPr>
      <w:r w:rsidRPr="00F73059">
        <w:rPr>
          <w:rFonts w:eastAsia="Calibri" w:cs="Times New Roman"/>
          <w:sz w:val="20"/>
          <w:szCs w:val="20"/>
          <w:lang w:eastAsia="en-US"/>
        </w:rPr>
        <w:t xml:space="preserve">Théorie du changement pour le PIREDD </w:t>
      </w:r>
      <w:r w:rsidR="00F73059">
        <w:rPr>
          <w:rFonts w:eastAsia="Calibri" w:cs="Times New Roman"/>
          <w:sz w:val="20"/>
          <w:szCs w:val="20"/>
          <w:lang w:eastAsia="en-US"/>
        </w:rPr>
        <w:t>Mai-Ndombe</w:t>
      </w:r>
      <w:r w:rsidRPr="00F73059">
        <w:rPr>
          <w:rFonts w:eastAsia="Calibri" w:cs="Times New Roman"/>
          <w:sz w:val="20"/>
          <w:szCs w:val="20"/>
          <w:lang w:eastAsia="en-US"/>
        </w:rPr>
        <w:t xml:space="preserve"> : </w:t>
      </w:r>
    </w:p>
    <w:p w:rsidR="00170905" w:rsidRPr="00F73059" w:rsidRDefault="00170905" w:rsidP="00170905">
      <w:pPr>
        <w:tabs>
          <w:tab w:val="left" w:pos="284"/>
          <w:tab w:val="left" w:pos="450"/>
        </w:tabs>
        <w:spacing w:after="240" w:line="240" w:lineRule="auto"/>
        <w:ind w:left="284"/>
        <w:jc w:val="both"/>
        <w:rPr>
          <w:rFonts w:eastAsia="Calibri" w:cs="Times New Roman"/>
          <w:sz w:val="20"/>
          <w:szCs w:val="20"/>
          <w:lang w:eastAsia="en-US"/>
        </w:rPr>
      </w:pPr>
      <w:r w:rsidRPr="00F73059">
        <w:rPr>
          <w:rFonts w:eastAsia="Calibri" w:cs="Times New Roman"/>
          <w:sz w:val="20"/>
          <w:szCs w:val="20"/>
          <w:lang w:eastAsia="en-US"/>
        </w:rPr>
        <w:t>Grâce aux améliorations de gouvernance promues par le projet (CLD, CARTs, Services Techniques)</w:t>
      </w:r>
      <w:r w:rsidR="00F73059">
        <w:rPr>
          <w:rFonts w:eastAsia="Calibri" w:cs="Times New Roman"/>
          <w:sz w:val="20"/>
          <w:szCs w:val="20"/>
          <w:lang w:eastAsia="en-US"/>
        </w:rPr>
        <w:t>,</w:t>
      </w:r>
      <w:r w:rsidRPr="00F73059">
        <w:rPr>
          <w:rFonts w:eastAsia="Calibri" w:cs="Times New Roman"/>
          <w:sz w:val="20"/>
          <w:szCs w:val="20"/>
          <w:lang w:eastAsia="en-US"/>
        </w:rPr>
        <w:t xml:space="preserve"> les Autorités Provinciales et de District prendront en compte la déforestation dans leurs plans d’investissement et dans leurs choix politiques en matière d’utilisation des sols. On vise ici en particulier l’attribution des concessions forestières artisanales et industrielles, qui devront entrer dans la logique des </w:t>
      </w:r>
      <w:r w:rsidR="0012675E">
        <w:rPr>
          <w:rFonts w:eastAsia="Calibri" w:cs="Times New Roman"/>
          <w:sz w:val="20"/>
          <w:szCs w:val="20"/>
          <w:lang w:eastAsia="en-US"/>
        </w:rPr>
        <w:t>p</w:t>
      </w:r>
      <w:r w:rsidRPr="00F73059">
        <w:rPr>
          <w:rFonts w:eastAsia="Calibri" w:cs="Times New Roman"/>
          <w:sz w:val="20"/>
          <w:szCs w:val="20"/>
          <w:lang w:eastAsia="en-US"/>
        </w:rPr>
        <w:t>lans d’</w:t>
      </w:r>
      <w:r w:rsidR="0012675E">
        <w:rPr>
          <w:rFonts w:eastAsia="Calibri" w:cs="Times New Roman"/>
          <w:sz w:val="20"/>
          <w:szCs w:val="20"/>
          <w:lang w:eastAsia="en-US"/>
        </w:rPr>
        <w:t>u</w:t>
      </w:r>
      <w:r w:rsidRPr="00F73059">
        <w:rPr>
          <w:rFonts w:eastAsia="Calibri" w:cs="Times New Roman"/>
          <w:sz w:val="20"/>
          <w:szCs w:val="20"/>
          <w:lang w:eastAsia="en-US"/>
        </w:rPr>
        <w:t>tilisation des terres</w:t>
      </w:r>
      <w:r w:rsidR="0012675E">
        <w:rPr>
          <w:rFonts w:eastAsia="Calibri" w:cs="Times New Roman"/>
          <w:sz w:val="20"/>
          <w:szCs w:val="20"/>
          <w:lang w:eastAsia="en-US"/>
        </w:rPr>
        <w:t xml:space="preserve"> (Plans de Développement Durable / PDD)</w:t>
      </w:r>
      <w:r w:rsidRPr="00F73059">
        <w:rPr>
          <w:rFonts w:eastAsia="Calibri" w:cs="Times New Roman"/>
          <w:sz w:val="20"/>
          <w:szCs w:val="20"/>
          <w:lang w:eastAsia="en-US"/>
        </w:rPr>
        <w:t xml:space="preserve"> aux différents niveaux de la planification. Les villages auront intérêt à entrer dans des logiques de bas niveau de </w:t>
      </w:r>
      <w:r w:rsidR="00F73059">
        <w:rPr>
          <w:rFonts w:eastAsia="Calibri" w:cs="Times New Roman"/>
          <w:sz w:val="20"/>
          <w:szCs w:val="20"/>
          <w:lang w:eastAsia="en-US"/>
        </w:rPr>
        <w:t>déforestation définies par les p</w:t>
      </w:r>
      <w:r w:rsidRPr="00F73059">
        <w:rPr>
          <w:rFonts w:eastAsia="Calibri" w:cs="Times New Roman"/>
          <w:sz w:val="20"/>
          <w:szCs w:val="20"/>
          <w:lang w:eastAsia="en-US"/>
        </w:rPr>
        <w:t xml:space="preserve">lans concertés </w:t>
      </w:r>
      <w:r w:rsidR="0012675E">
        <w:rPr>
          <w:rFonts w:eastAsia="Calibri" w:cs="Times New Roman"/>
          <w:sz w:val="20"/>
          <w:szCs w:val="20"/>
          <w:lang w:eastAsia="en-US"/>
        </w:rPr>
        <w:t>simples de gestion (PSG</w:t>
      </w:r>
      <w:r w:rsidR="00F73059">
        <w:rPr>
          <w:rFonts w:eastAsia="Calibri" w:cs="Times New Roman"/>
          <w:sz w:val="20"/>
          <w:szCs w:val="20"/>
          <w:lang w:eastAsia="en-US"/>
        </w:rPr>
        <w:t>)</w:t>
      </w:r>
      <w:r w:rsidRPr="00F73059">
        <w:rPr>
          <w:rFonts w:eastAsia="Calibri" w:cs="Times New Roman"/>
          <w:sz w:val="20"/>
          <w:szCs w:val="20"/>
          <w:lang w:eastAsia="en-US"/>
        </w:rPr>
        <w:t xml:space="preserve"> qu’ils auront eux-mêmes élaborés. Ces logiques en effet produiront des revenus directs (investissements sur les techniques et les choix culturaux)  et elles conditionneront les paiements aux résultats. Les agriculteurs recevront des appuis leur permettant d’améliorer durablement les performances de leurs pratiques agricoles, d’orienter leurs activités productives vers les savanes et de mieux accepter ainsi les restrictions qu’ils se seront imposées quant à l’usage des forêts. De plus, les conflits fonciers seront plus facilement arbitrés par les Cadres de Concertation et l’approche participative en matière d’usage des sols. </w:t>
      </w:r>
    </w:p>
    <w:p w:rsidR="00170905" w:rsidRPr="00F73059" w:rsidRDefault="00170905" w:rsidP="00170905">
      <w:pPr>
        <w:tabs>
          <w:tab w:val="left" w:pos="284"/>
          <w:tab w:val="left" w:pos="450"/>
        </w:tabs>
        <w:spacing w:after="240" w:line="240" w:lineRule="auto"/>
        <w:ind w:left="284"/>
        <w:jc w:val="both"/>
        <w:rPr>
          <w:rFonts w:eastAsia="Calibri" w:cs="Times New Roman"/>
          <w:sz w:val="20"/>
          <w:szCs w:val="20"/>
          <w:lang w:eastAsia="en-US"/>
        </w:rPr>
      </w:pPr>
      <w:r w:rsidRPr="00F73059">
        <w:rPr>
          <w:rFonts w:eastAsia="Calibri" w:cs="Times New Roman"/>
          <w:sz w:val="20"/>
          <w:szCs w:val="20"/>
          <w:lang w:eastAsia="en-US"/>
        </w:rPr>
        <w:t xml:space="preserve">Le PIREDD </w:t>
      </w:r>
      <w:r w:rsidR="00F73059">
        <w:rPr>
          <w:rFonts w:eastAsia="Calibri" w:cs="Times New Roman"/>
          <w:sz w:val="20"/>
          <w:szCs w:val="20"/>
          <w:lang w:eastAsia="en-US"/>
        </w:rPr>
        <w:t>Mai-Ndombe</w:t>
      </w:r>
      <w:r w:rsidRPr="00F73059">
        <w:rPr>
          <w:rFonts w:eastAsia="Calibri" w:cs="Times New Roman"/>
          <w:sz w:val="20"/>
          <w:szCs w:val="20"/>
          <w:lang w:eastAsia="en-US"/>
        </w:rPr>
        <w:t xml:space="preserve"> est une composante de la proposition du gouvernement de la RDC pour établir un Program</w:t>
      </w:r>
      <w:r w:rsidR="00F73059">
        <w:rPr>
          <w:rFonts w:eastAsia="Calibri" w:cs="Times New Roman"/>
          <w:sz w:val="20"/>
          <w:szCs w:val="20"/>
          <w:lang w:eastAsia="en-US"/>
        </w:rPr>
        <w:t>me de Réduction des Emissions dans la Province du Mai-</w:t>
      </w:r>
      <w:r w:rsidRPr="00F73059">
        <w:rPr>
          <w:rFonts w:eastAsia="Calibri" w:cs="Times New Roman"/>
          <w:sz w:val="20"/>
          <w:szCs w:val="20"/>
          <w:lang w:eastAsia="en-US"/>
        </w:rPr>
        <w:t xml:space="preserve">Ndombe, une fois que sera achevée la phase de préparation de la REDD, avec l’appui du FCPF. L’objectif global de ce programme est de démontrer la pertinence d’un </w:t>
      </w:r>
      <w:r w:rsidRPr="00F73059">
        <w:rPr>
          <w:rFonts w:eastAsia="Calibri" w:cs="Times New Roman"/>
          <w:sz w:val="20"/>
          <w:szCs w:val="20"/>
          <w:lang w:eastAsia="en-US"/>
        </w:rPr>
        <w:lastRenderedPageBreak/>
        <w:t>modèle provincial de développement vert qui offre une alternative performante pour affronter les changements climatiques, réduire la pauvreté, et gèrent plus efficacement les ressources naturelles et la biodiversité. La composante 1 du PGAPF opèrera dans les territoires où la déforestation est la plus élevée. Si un Accord d’Achat de Réduction d’Emission (ERPA</w:t>
      </w:r>
      <w:r w:rsidR="00F73059">
        <w:rPr>
          <w:rFonts w:eastAsia="Calibri" w:cs="Times New Roman"/>
          <w:sz w:val="20"/>
          <w:szCs w:val="20"/>
          <w:lang w:eastAsia="en-US"/>
        </w:rPr>
        <w:t>) est signé avec le FCPF, le P</w:t>
      </w:r>
      <w:r w:rsidRPr="00F73059">
        <w:rPr>
          <w:rFonts w:eastAsia="Calibri" w:cs="Times New Roman"/>
          <w:sz w:val="20"/>
          <w:szCs w:val="20"/>
          <w:lang w:eastAsia="en-US"/>
        </w:rPr>
        <w:t>rogram</w:t>
      </w:r>
      <w:r w:rsidR="00F73059">
        <w:rPr>
          <w:rFonts w:eastAsia="Calibri" w:cs="Times New Roman"/>
          <w:sz w:val="20"/>
          <w:szCs w:val="20"/>
          <w:lang w:eastAsia="en-US"/>
        </w:rPr>
        <w:t>me RE</w:t>
      </w:r>
      <w:r w:rsidRPr="00F73059">
        <w:rPr>
          <w:rFonts w:eastAsia="Calibri" w:cs="Times New Roman"/>
          <w:sz w:val="20"/>
          <w:szCs w:val="20"/>
          <w:lang w:eastAsia="en-US"/>
        </w:rPr>
        <w:t xml:space="preserve"> prendra la suite du financement des activités après la fin du P</w:t>
      </w:r>
      <w:r w:rsidR="00F73059">
        <w:rPr>
          <w:rFonts w:eastAsia="Calibri" w:cs="Times New Roman"/>
          <w:sz w:val="20"/>
          <w:szCs w:val="20"/>
          <w:lang w:eastAsia="en-US"/>
        </w:rPr>
        <w:t>IREDD Mai-Ndombe</w:t>
      </w:r>
      <w:r w:rsidRPr="00F73059">
        <w:rPr>
          <w:rFonts w:eastAsia="Calibri" w:cs="Times New Roman"/>
          <w:sz w:val="20"/>
          <w:szCs w:val="20"/>
          <w:lang w:eastAsia="en-US"/>
        </w:rPr>
        <w:t xml:space="preserve">. </w:t>
      </w:r>
    </w:p>
    <w:p w:rsidR="00170905" w:rsidRPr="00451070" w:rsidRDefault="00451070" w:rsidP="00451070">
      <w:pPr>
        <w:rPr>
          <w:rFonts w:eastAsia="Calibri"/>
          <w:b/>
          <w:lang w:eastAsia="en-US"/>
        </w:rPr>
      </w:pPr>
      <w:r>
        <w:rPr>
          <w:rFonts w:eastAsia="Calibri"/>
          <w:b/>
          <w:lang w:eastAsia="en-US"/>
        </w:rPr>
        <w:t xml:space="preserve">A2 </w:t>
      </w:r>
      <w:r w:rsidR="00170905" w:rsidRPr="00451070">
        <w:rPr>
          <w:rFonts w:eastAsia="Calibri"/>
          <w:b/>
          <w:lang w:eastAsia="en-US"/>
        </w:rPr>
        <w:t xml:space="preserve">Présentation du  District </w:t>
      </w:r>
      <w:r w:rsidR="007F1536" w:rsidRPr="00451070">
        <w:rPr>
          <w:rFonts w:eastAsia="Calibri"/>
          <w:b/>
          <w:lang w:eastAsia="en-US"/>
        </w:rPr>
        <w:t>de Mai-Ndombe</w:t>
      </w:r>
      <w:r w:rsidR="00170905" w:rsidRPr="00451070">
        <w:rPr>
          <w:rFonts w:eastAsia="Calibri"/>
          <w:b/>
          <w:lang w:eastAsia="en-US"/>
        </w:rPr>
        <w:t xml:space="preserve"> et état des lieux de la déforestation et de la dégradation </w:t>
      </w:r>
      <w:r w:rsidR="00D02EFB" w:rsidRPr="00451070">
        <w:rPr>
          <w:rFonts w:eastAsia="Calibri"/>
          <w:b/>
          <w:lang w:eastAsia="en-US"/>
        </w:rPr>
        <w:t>(cf. Annexe X)</w:t>
      </w:r>
    </w:p>
    <w:p w:rsidR="00170905" w:rsidRPr="00451070" w:rsidRDefault="00451070" w:rsidP="00451070">
      <w:pPr>
        <w:rPr>
          <w:rFonts w:eastAsia="Calibri"/>
          <w:b/>
          <w:lang w:eastAsia="en-US"/>
        </w:rPr>
      </w:pPr>
      <w:r>
        <w:rPr>
          <w:rFonts w:eastAsia="Calibri"/>
          <w:b/>
          <w:lang w:eastAsia="en-US"/>
        </w:rPr>
        <w:t xml:space="preserve">B </w:t>
      </w:r>
      <w:r w:rsidR="00170905" w:rsidRPr="00451070">
        <w:rPr>
          <w:rFonts w:eastAsia="Calibri"/>
          <w:b/>
          <w:lang w:eastAsia="en-US"/>
        </w:rPr>
        <w:t xml:space="preserve">Objectifs du PIREDD </w:t>
      </w:r>
      <w:r w:rsidR="007F1536" w:rsidRPr="00451070">
        <w:rPr>
          <w:rFonts w:eastAsia="Calibri"/>
          <w:b/>
          <w:lang w:eastAsia="en-US"/>
        </w:rPr>
        <w:t>Mai-Ndombe</w:t>
      </w:r>
      <w:r w:rsidR="00D02EFB" w:rsidRPr="00451070">
        <w:rPr>
          <w:rFonts w:eastAsia="Calibri"/>
          <w:b/>
          <w:lang w:eastAsia="en-US"/>
        </w:rPr>
        <w:t>  (cf. Section 4 du Document de Programme)</w:t>
      </w:r>
    </w:p>
    <w:p w:rsidR="00170905" w:rsidRPr="00451070" w:rsidRDefault="00451070" w:rsidP="00451070">
      <w:pPr>
        <w:rPr>
          <w:rFonts w:eastAsia="Calibri"/>
          <w:b/>
          <w:lang w:eastAsia="en-US"/>
        </w:rPr>
      </w:pPr>
      <w:r>
        <w:rPr>
          <w:rFonts w:eastAsia="Calibri"/>
          <w:b/>
          <w:lang w:eastAsia="en-US"/>
        </w:rPr>
        <w:t xml:space="preserve">B1 </w:t>
      </w:r>
      <w:r w:rsidR="00170905" w:rsidRPr="00451070">
        <w:rPr>
          <w:rFonts w:eastAsia="Calibri"/>
          <w:b/>
          <w:lang w:eastAsia="en-US"/>
        </w:rPr>
        <w:t>Résultats attendus</w:t>
      </w:r>
    </w:p>
    <w:p w:rsidR="00170905" w:rsidRPr="00F73059" w:rsidRDefault="00170905" w:rsidP="002E3A02">
      <w:pPr>
        <w:numPr>
          <w:ilvl w:val="0"/>
          <w:numId w:val="46"/>
        </w:numPr>
        <w:spacing w:after="240" w:line="240" w:lineRule="auto"/>
        <w:rPr>
          <w:rFonts w:eastAsia="Calibri" w:cs="Times New Roman"/>
          <w:b/>
          <w:vanish/>
          <w:sz w:val="20"/>
          <w:szCs w:val="20"/>
          <w:lang w:eastAsia="en-US"/>
        </w:rPr>
      </w:pPr>
    </w:p>
    <w:p w:rsidR="00170905" w:rsidRPr="00F73059" w:rsidRDefault="00170905" w:rsidP="002E3A02">
      <w:pPr>
        <w:numPr>
          <w:ilvl w:val="0"/>
          <w:numId w:val="46"/>
        </w:numPr>
        <w:spacing w:after="240" w:line="240" w:lineRule="auto"/>
        <w:rPr>
          <w:rFonts w:eastAsia="Calibri" w:cs="Times New Roman"/>
          <w:b/>
          <w:vanish/>
          <w:sz w:val="20"/>
          <w:szCs w:val="20"/>
          <w:lang w:eastAsia="en-US"/>
        </w:rPr>
      </w:pPr>
    </w:p>
    <w:p w:rsidR="00170905" w:rsidRPr="00451070" w:rsidRDefault="00451070" w:rsidP="00451070">
      <w:pPr>
        <w:rPr>
          <w:rFonts w:eastAsia="Calibri"/>
          <w:b/>
          <w:lang w:eastAsia="en-US"/>
        </w:rPr>
      </w:pPr>
      <w:r>
        <w:rPr>
          <w:rFonts w:eastAsia="Calibri"/>
          <w:b/>
          <w:lang w:eastAsia="en-US"/>
        </w:rPr>
        <w:t xml:space="preserve">B2 </w:t>
      </w:r>
      <w:r w:rsidR="00170905" w:rsidRPr="00451070">
        <w:rPr>
          <w:rFonts w:eastAsia="Calibri"/>
          <w:b/>
          <w:lang w:eastAsia="en-US"/>
        </w:rPr>
        <w:t>Résultats liés à l’objectif global</w:t>
      </w:r>
    </w:p>
    <w:p w:rsidR="00170905" w:rsidRPr="00F73059" w:rsidRDefault="00170905" w:rsidP="002E3A02">
      <w:pPr>
        <w:numPr>
          <w:ilvl w:val="0"/>
          <w:numId w:val="47"/>
        </w:numPr>
        <w:spacing w:after="0" w:line="240" w:lineRule="auto"/>
        <w:jc w:val="both"/>
        <w:rPr>
          <w:rFonts w:eastAsia="Calibri" w:cs="Times New Roman"/>
          <w:sz w:val="20"/>
          <w:szCs w:val="20"/>
          <w:lang w:eastAsia="en-US"/>
        </w:rPr>
      </w:pPr>
      <w:r w:rsidRPr="00F73059">
        <w:rPr>
          <w:rFonts w:eastAsia="Calibri" w:cs="Times New Roman"/>
          <w:b/>
          <w:i/>
          <w:sz w:val="20"/>
          <w:szCs w:val="20"/>
          <w:u w:val="single"/>
          <w:lang w:eastAsia="en-US"/>
        </w:rPr>
        <w:t>Le modèle de gouvernance est opérationnel à chaque niveau</w:t>
      </w:r>
      <w:r w:rsidRPr="00F73059">
        <w:rPr>
          <w:rFonts w:eastAsia="Calibri" w:cs="Times New Roman"/>
          <w:sz w:val="20"/>
          <w:szCs w:val="20"/>
          <w:lang w:eastAsia="en-US"/>
        </w:rPr>
        <w:t xml:space="preserve">. Les institutions de chaque niveau (comité de pilotage provincial, </w:t>
      </w:r>
      <w:r w:rsidR="007F1536">
        <w:rPr>
          <w:rFonts w:eastAsia="Calibri" w:cs="Times New Roman"/>
          <w:sz w:val="20"/>
          <w:szCs w:val="20"/>
          <w:lang w:eastAsia="en-US"/>
        </w:rPr>
        <w:t>CARTs, CLDs</w:t>
      </w:r>
      <w:r w:rsidRPr="00F73059">
        <w:rPr>
          <w:rFonts w:eastAsia="Calibri" w:cs="Times New Roman"/>
          <w:sz w:val="20"/>
          <w:szCs w:val="20"/>
          <w:lang w:eastAsia="en-US"/>
        </w:rPr>
        <w:t xml:space="preserve">) mettent en œuvre les Plans de </w:t>
      </w:r>
      <w:r w:rsidR="007F1536">
        <w:rPr>
          <w:rFonts w:eastAsia="Calibri" w:cs="Times New Roman"/>
          <w:sz w:val="20"/>
          <w:szCs w:val="20"/>
          <w:lang w:eastAsia="en-US"/>
        </w:rPr>
        <w:t>Développement Durables (PDD)</w:t>
      </w:r>
      <w:r w:rsidR="0012675E">
        <w:rPr>
          <w:rFonts w:eastAsia="Calibri" w:cs="Times New Roman"/>
          <w:sz w:val="20"/>
          <w:szCs w:val="20"/>
          <w:lang w:eastAsia="en-US"/>
        </w:rPr>
        <w:t xml:space="preserve"> ou Plans Simples de Gestion (PSG)</w:t>
      </w:r>
      <w:r w:rsidRPr="00F73059">
        <w:rPr>
          <w:rFonts w:eastAsia="Calibri" w:cs="Times New Roman"/>
          <w:sz w:val="20"/>
          <w:szCs w:val="20"/>
          <w:lang w:eastAsia="en-US"/>
        </w:rPr>
        <w:t xml:space="preserve"> dont elles se sont dotées et disposent des outils de gouvernance pour cela (budget, rapports, élections régulières, recours…). L’indicateur est le taux de mise en œuvre des contrats </w:t>
      </w:r>
      <w:r w:rsidR="0012675E">
        <w:rPr>
          <w:rFonts w:eastAsia="Calibri" w:cs="Times New Roman"/>
          <w:sz w:val="20"/>
          <w:szCs w:val="20"/>
          <w:lang w:eastAsia="en-US"/>
        </w:rPr>
        <w:t>de PSG</w:t>
      </w:r>
      <w:r w:rsidRPr="00F73059">
        <w:rPr>
          <w:rFonts w:eastAsia="Calibri" w:cs="Times New Roman"/>
          <w:sz w:val="20"/>
          <w:szCs w:val="20"/>
          <w:lang w:eastAsia="en-US"/>
        </w:rPr>
        <w:t xml:space="preserve"> évalués à partir des contrats passés avec les CLD. L’objectif visé est au moins 75 %. </w:t>
      </w:r>
    </w:p>
    <w:p w:rsidR="00170905" w:rsidRPr="00F73059" w:rsidRDefault="00170905" w:rsidP="002E3A02">
      <w:pPr>
        <w:numPr>
          <w:ilvl w:val="0"/>
          <w:numId w:val="47"/>
        </w:numPr>
        <w:spacing w:after="0" w:line="240" w:lineRule="auto"/>
        <w:jc w:val="both"/>
        <w:rPr>
          <w:rFonts w:eastAsia="Calibri" w:cs="Times New Roman"/>
          <w:sz w:val="20"/>
          <w:szCs w:val="20"/>
          <w:lang w:eastAsia="en-US"/>
        </w:rPr>
      </w:pPr>
      <w:r w:rsidRPr="00F73059">
        <w:rPr>
          <w:rFonts w:eastAsia="Calibri" w:cs="Times New Roman"/>
          <w:b/>
          <w:i/>
          <w:sz w:val="20"/>
          <w:szCs w:val="20"/>
          <w:u w:val="single"/>
          <w:lang w:eastAsia="en-US"/>
        </w:rPr>
        <w:t>les émissions de carbone sont réduites.</w:t>
      </w:r>
      <w:r w:rsidRPr="00F73059">
        <w:rPr>
          <w:rFonts w:eastAsia="Calibri" w:cs="Times New Roman"/>
          <w:sz w:val="20"/>
          <w:szCs w:val="20"/>
          <w:lang w:eastAsia="en-US"/>
        </w:rPr>
        <w:t xml:space="preserve"> Le but est de </w:t>
      </w:r>
      <w:r w:rsidR="007F1536">
        <w:rPr>
          <w:rFonts w:eastAsia="Calibri" w:cs="Times New Roman"/>
          <w:sz w:val="20"/>
          <w:szCs w:val="20"/>
          <w:lang w:eastAsia="en-US"/>
        </w:rPr>
        <w:t>réduire</w:t>
      </w:r>
      <w:r w:rsidRPr="00F73059">
        <w:rPr>
          <w:rFonts w:eastAsia="Calibri" w:cs="Times New Roman"/>
          <w:sz w:val="20"/>
          <w:szCs w:val="20"/>
          <w:lang w:eastAsia="en-US"/>
        </w:rPr>
        <w:t xml:space="preserve"> le taux de déforestation et de dégradation des forêts </w:t>
      </w:r>
      <w:r w:rsidR="007F1536">
        <w:rPr>
          <w:rFonts w:eastAsia="Calibri" w:cs="Times New Roman"/>
          <w:sz w:val="20"/>
          <w:szCs w:val="20"/>
          <w:lang w:eastAsia="en-US"/>
        </w:rPr>
        <w:t>avec un une réduction nette des émissions de 25 million de tonnes de CO2 équivalent sur la période 2017 – 2021.</w:t>
      </w:r>
    </w:p>
    <w:p w:rsidR="00170905" w:rsidRPr="00F73059" w:rsidRDefault="00170905" w:rsidP="002E3A02">
      <w:pPr>
        <w:numPr>
          <w:ilvl w:val="0"/>
          <w:numId w:val="47"/>
        </w:numPr>
        <w:spacing w:after="0" w:line="240" w:lineRule="auto"/>
        <w:jc w:val="both"/>
        <w:rPr>
          <w:rFonts w:eastAsia="Calibri" w:cs="Times New Roman"/>
          <w:sz w:val="20"/>
          <w:szCs w:val="20"/>
          <w:lang w:eastAsia="en-US"/>
        </w:rPr>
      </w:pPr>
      <w:r w:rsidRPr="00F73059">
        <w:rPr>
          <w:rFonts w:eastAsia="Calibri" w:cs="Times New Roman"/>
          <w:b/>
          <w:i/>
          <w:sz w:val="20"/>
          <w:szCs w:val="20"/>
          <w:u w:val="single"/>
          <w:lang w:eastAsia="en-US"/>
        </w:rPr>
        <w:t xml:space="preserve"> les revenus monétaires disponibles des populations ont augmentés de 20 %</w:t>
      </w:r>
      <w:r w:rsidRPr="00F73059">
        <w:rPr>
          <w:rFonts w:eastAsia="Calibri" w:cs="Times New Roman"/>
          <w:sz w:val="20"/>
          <w:szCs w:val="20"/>
          <w:lang w:eastAsia="en-US"/>
        </w:rPr>
        <w:t xml:space="preserve"> à la fin du projet. L’indicateur de référence est la quantité moyenne de manioc (ou équivalent) supplémentaire commercialisée par famille, pour un prix de vente de 50 dollars (25 % du revenu monétaire actuel moyen). </w:t>
      </w:r>
    </w:p>
    <w:p w:rsidR="00170905" w:rsidRPr="00F73059" w:rsidRDefault="00170905" w:rsidP="00170905">
      <w:pPr>
        <w:spacing w:after="0" w:line="240" w:lineRule="auto"/>
        <w:ind w:left="1068"/>
        <w:jc w:val="both"/>
        <w:rPr>
          <w:rFonts w:eastAsia="Calibri" w:cs="Times New Roman"/>
          <w:sz w:val="20"/>
          <w:szCs w:val="20"/>
          <w:lang w:eastAsia="en-US"/>
        </w:rPr>
      </w:pPr>
    </w:p>
    <w:p w:rsidR="00170905" w:rsidRPr="00451070" w:rsidRDefault="00451070" w:rsidP="00451070">
      <w:pPr>
        <w:rPr>
          <w:rFonts w:eastAsia="Calibri"/>
          <w:b/>
          <w:lang w:eastAsia="en-US"/>
        </w:rPr>
      </w:pPr>
      <w:r>
        <w:rPr>
          <w:rFonts w:eastAsia="Calibri"/>
          <w:b/>
          <w:lang w:eastAsia="en-US"/>
        </w:rPr>
        <w:t xml:space="preserve">B3 </w:t>
      </w:r>
      <w:r w:rsidR="00170905" w:rsidRPr="00451070">
        <w:rPr>
          <w:rFonts w:eastAsia="Calibri"/>
          <w:b/>
          <w:lang w:eastAsia="en-US"/>
        </w:rPr>
        <w:t>Résultats intermédiaires :</w:t>
      </w:r>
    </w:p>
    <w:p w:rsidR="00170905" w:rsidRPr="00F73059" w:rsidRDefault="00170905" w:rsidP="00D0055A">
      <w:pPr>
        <w:spacing w:after="240" w:line="240" w:lineRule="auto"/>
        <w:rPr>
          <w:rFonts w:eastAsia="Calibri" w:cs="Times New Roman"/>
          <w:sz w:val="20"/>
          <w:szCs w:val="20"/>
          <w:lang w:eastAsia="en-US"/>
        </w:rPr>
      </w:pPr>
      <w:r w:rsidRPr="00F73059">
        <w:rPr>
          <w:rFonts w:eastAsia="Calibri" w:cs="Times New Roman"/>
          <w:sz w:val="20"/>
          <w:szCs w:val="20"/>
          <w:u w:val="single"/>
          <w:lang w:eastAsia="en-US"/>
        </w:rPr>
        <w:t>Renforcer la gouvernance des ressources naturelles</w:t>
      </w:r>
    </w:p>
    <w:p w:rsidR="00170905" w:rsidRPr="00F73059" w:rsidRDefault="007F1536" w:rsidP="002E3A02">
      <w:pPr>
        <w:numPr>
          <w:ilvl w:val="1"/>
          <w:numId w:val="45"/>
        </w:numPr>
        <w:spacing w:after="0" w:line="240" w:lineRule="auto"/>
        <w:jc w:val="both"/>
        <w:rPr>
          <w:rFonts w:eastAsia="Calibri" w:cs="Times New Roman"/>
          <w:sz w:val="20"/>
          <w:szCs w:val="20"/>
          <w:lang w:eastAsia="en-US"/>
        </w:rPr>
      </w:pPr>
      <w:r>
        <w:rPr>
          <w:rFonts w:eastAsia="Calibri" w:cs="Times New Roman"/>
          <w:sz w:val="20"/>
          <w:szCs w:val="20"/>
          <w:lang w:eastAsia="en-US"/>
        </w:rPr>
        <w:t>600</w:t>
      </w:r>
      <w:r w:rsidR="00170905" w:rsidRPr="00F73059">
        <w:rPr>
          <w:rFonts w:eastAsia="Calibri" w:cs="Times New Roman"/>
          <w:sz w:val="20"/>
          <w:szCs w:val="20"/>
          <w:lang w:eastAsia="en-US"/>
        </w:rPr>
        <w:t xml:space="preserve"> terroirs du </w:t>
      </w:r>
      <w:r>
        <w:rPr>
          <w:rFonts w:eastAsia="Calibri" w:cs="Times New Roman"/>
          <w:sz w:val="20"/>
          <w:szCs w:val="20"/>
          <w:lang w:eastAsia="en-US"/>
        </w:rPr>
        <w:t>district du Mai-Ndombe</w:t>
      </w:r>
      <w:r w:rsidR="00170905" w:rsidRPr="00F73059">
        <w:rPr>
          <w:rFonts w:eastAsia="Calibri" w:cs="Times New Roman"/>
          <w:sz w:val="20"/>
          <w:szCs w:val="20"/>
          <w:lang w:eastAsia="en-US"/>
        </w:rPr>
        <w:t xml:space="preserve"> disposent d’un CLD avec statut déposé à l’adm</w:t>
      </w:r>
      <w:r>
        <w:rPr>
          <w:rFonts w:eastAsia="Calibri" w:cs="Times New Roman"/>
          <w:sz w:val="20"/>
          <w:szCs w:val="20"/>
          <w:lang w:eastAsia="en-US"/>
        </w:rPr>
        <w:t>inistration du territoire. Les 600</w:t>
      </w:r>
      <w:r w:rsidR="00170905" w:rsidRPr="00F73059">
        <w:rPr>
          <w:rFonts w:eastAsia="Calibri" w:cs="Times New Roman"/>
          <w:sz w:val="20"/>
          <w:szCs w:val="20"/>
          <w:lang w:eastAsia="en-US"/>
        </w:rPr>
        <w:t xml:space="preserve"> CLD sont créés ou renforcés en première année du projet.</w:t>
      </w: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Chaque Secteur administratif dispose d’un Cadre de Concertation et d’un </w:t>
      </w:r>
      <w:r w:rsidR="00D0055A">
        <w:rPr>
          <w:rFonts w:eastAsia="Calibri" w:cs="Times New Roman"/>
          <w:sz w:val="20"/>
          <w:szCs w:val="20"/>
          <w:lang w:eastAsia="en-US"/>
        </w:rPr>
        <w:t>P</w:t>
      </w:r>
      <w:r w:rsidR="00D0055A" w:rsidRPr="00D0055A">
        <w:rPr>
          <w:rFonts w:eastAsia="Calibri" w:cs="Times New Roman"/>
          <w:sz w:val="20"/>
          <w:szCs w:val="20"/>
          <w:lang w:eastAsia="en-US"/>
        </w:rPr>
        <w:t xml:space="preserve">lan </w:t>
      </w:r>
      <w:r w:rsidR="00D0055A">
        <w:rPr>
          <w:rFonts w:eastAsia="Calibri" w:cs="Times New Roman"/>
          <w:sz w:val="20"/>
          <w:szCs w:val="20"/>
          <w:lang w:eastAsia="en-US"/>
        </w:rPr>
        <w:t>de Développement Durable (PDD)</w:t>
      </w:r>
      <w:r w:rsidR="00D0055A" w:rsidRPr="00D0055A">
        <w:rPr>
          <w:rFonts w:eastAsia="Calibri" w:cs="Times New Roman"/>
          <w:sz w:val="20"/>
          <w:szCs w:val="20"/>
          <w:lang w:eastAsia="en-US"/>
        </w:rPr>
        <w:t xml:space="preserve"> </w:t>
      </w:r>
      <w:r w:rsidRPr="00F73059">
        <w:rPr>
          <w:rFonts w:eastAsia="Calibri" w:cs="Times New Roman"/>
          <w:sz w:val="20"/>
          <w:szCs w:val="20"/>
          <w:lang w:eastAsia="en-US"/>
        </w:rPr>
        <w:t xml:space="preserve">dont le contrat avec le projet est mis en œuvre à au moins 75% </w:t>
      </w: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Chaque territoire dispose d’un Cadre de Concertation et d’un </w:t>
      </w:r>
      <w:r w:rsidR="0012675E">
        <w:rPr>
          <w:rFonts w:eastAsia="Calibri" w:cs="Times New Roman"/>
          <w:sz w:val="20"/>
          <w:szCs w:val="20"/>
          <w:lang w:eastAsia="en-US"/>
        </w:rPr>
        <w:t>PSG</w:t>
      </w:r>
      <w:r w:rsidR="0012675E" w:rsidRPr="00F73059">
        <w:rPr>
          <w:rFonts w:eastAsia="Calibri" w:cs="Times New Roman"/>
          <w:sz w:val="20"/>
          <w:szCs w:val="20"/>
          <w:lang w:eastAsia="en-US"/>
        </w:rPr>
        <w:t xml:space="preserve"> </w:t>
      </w:r>
      <w:r w:rsidRPr="00F73059">
        <w:rPr>
          <w:rFonts w:eastAsia="Calibri" w:cs="Times New Roman"/>
          <w:sz w:val="20"/>
          <w:szCs w:val="20"/>
          <w:lang w:eastAsia="en-US"/>
        </w:rPr>
        <w:t>dont le contrat avec le projet est mis en œuvre à au moins 75 %.</w:t>
      </w: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La Province met en place un Comité de Pilotage du projet qui se réunit tous les semestres.  Les comptes rendus de ces réunions marquent l’examen de tous les indicateurs de suivi évaluation du projet (fournis par l’expert chargé du suivi évaluation du projet)  et les commente. Ceci est l’indicateur de ce résultat, renseigné comme tel par le suivi évaluation. </w:t>
      </w:r>
    </w:p>
    <w:p w:rsidR="00170905" w:rsidRPr="00F73059" w:rsidRDefault="00170905" w:rsidP="00170905">
      <w:pPr>
        <w:spacing w:after="0" w:line="240" w:lineRule="auto"/>
        <w:ind w:left="1785"/>
        <w:jc w:val="both"/>
        <w:rPr>
          <w:rFonts w:eastAsia="Calibri" w:cs="Times New Roman"/>
          <w:sz w:val="20"/>
          <w:szCs w:val="20"/>
          <w:lang w:eastAsia="en-US"/>
        </w:rPr>
      </w:pPr>
    </w:p>
    <w:p w:rsidR="00170905" w:rsidRPr="00F73059" w:rsidRDefault="00170905" w:rsidP="00D0055A">
      <w:pPr>
        <w:spacing w:after="0" w:line="240" w:lineRule="auto"/>
        <w:jc w:val="both"/>
        <w:rPr>
          <w:rFonts w:eastAsia="Calibri" w:cs="Times New Roman"/>
          <w:sz w:val="20"/>
          <w:szCs w:val="20"/>
          <w:lang w:eastAsia="en-US"/>
        </w:rPr>
      </w:pPr>
      <w:r w:rsidRPr="00F73059">
        <w:rPr>
          <w:rFonts w:eastAsia="Calibri" w:cs="Times New Roman"/>
          <w:sz w:val="20"/>
          <w:szCs w:val="20"/>
          <w:u w:val="single"/>
          <w:lang w:eastAsia="en-US"/>
        </w:rPr>
        <w:t>Renforcer les capacités des services techniques décentralisés</w:t>
      </w:r>
      <w:r w:rsidRPr="00F73059">
        <w:rPr>
          <w:rFonts w:eastAsia="Calibri" w:cs="Times New Roman"/>
          <w:sz w:val="20"/>
          <w:szCs w:val="20"/>
          <w:lang w:eastAsia="en-US"/>
        </w:rPr>
        <w:t> </w:t>
      </w:r>
    </w:p>
    <w:p w:rsidR="00170905" w:rsidRPr="00F73059" w:rsidRDefault="00170905" w:rsidP="00170905">
      <w:pPr>
        <w:spacing w:after="0" w:line="240" w:lineRule="auto"/>
        <w:jc w:val="both"/>
        <w:rPr>
          <w:rFonts w:eastAsia="Calibri" w:cs="Times New Roman"/>
          <w:sz w:val="20"/>
          <w:szCs w:val="20"/>
          <w:lang w:eastAsia="en-US"/>
        </w:rPr>
      </w:pP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Un audit initial des forces et faiblesses </w:t>
      </w:r>
      <w:r w:rsidR="0012675E">
        <w:rPr>
          <w:rFonts w:eastAsia="Calibri" w:cs="Times New Roman"/>
          <w:sz w:val="20"/>
          <w:szCs w:val="20"/>
          <w:lang w:eastAsia="en-US"/>
        </w:rPr>
        <w:t>des services, réalisé</w:t>
      </w:r>
      <w:r w:rsidRPr="00F73059">
        <w:rPr>
          <w:rFonts w:eastAsia="Calibri" w:cs="Times New Roman"/>
          <w:sz w:val="20"/>
          <w:szCs w:val="20"/>
          <w:lang w:eastAsia="en-US"/>
        </w:rPr>
        <w:t xml:space="preserve"> par un consultant, fait des recommandations pour utiliser les services techniques en synergie et en appui aux </w:t>
      </w:r>
      <w:r w:rsidR="00BE2CAB">
        <w:rPr>
          <w:rFonts w:eastAsia="Calibri" w:cs="Times New Roman"/>
          <w:sz w:val="20"/>
          <w:szCs w:val="20"/>
          <w:lang w:eastAsia="en-US"/>
        </w:rPr>
        <w:t>PDD</w:t>
      </w:r>
      <w:r w:rsidR="0012675E">
        <w:rPr>
          <w:rFonts w:eastAsia="Calibri" w:cs="Times New Roman"/>
          <w:sz w:val="20"/>
          <w:szCs w:val="20"/>
          <w:lang w:eastAsia="en-US"/>
        </w:rPr>
        <w:t xml:space="preserve"> et aux PSG</w:t>
      </w:r>
      <w:r w:rsidRPr="00F73059">
        <w:rPr>
          <w:rFonts w:eastAsia="Calibri" w:cs="Times New Roman"/>
          <w:sz w:val="20"/>
          <w:szCs w:val="20"/>
          <w:lang w:eastAsia="en-US"/>
        </w:rPr>
        <w:t xml:space="preserve">, en tenant compte des contraintes budgétaires de l’Etat ; </w:t>
      </w: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Les services de l’environnement et de l’agriculture participent activement à la mise en œuvre des contrats de </w:t>
      </w:r>
      <w:r w:rsidR="00D0055A">
        <w:rPr>
          <w:rFonts w:eastAsia="Calibri" w:cs="Times New Roman"/>
          <w:sz w:val="20"/>
          <w:szCs w:val="20"/>
          <w:lang w:eastAsia="en-US"/>
        </w:rPr>
        <w:t>gestion des ressources naturelles</w:t>
      </w:r>
      <w:r w:rsidRPr="00F73059">
        <w:rPr>
          <w:rFonts w:eastAsia="Calibri" w:cs="Times New Roman"/>
          <w:sz w:val="20"/>
          <w:szCs w:val="20"/>
          <w:lang w:eastAsia="en-US"/>
        </w:rPr>
        <w:t>. La sélection des agents impliqués est faite en concertation entre les services et le projet et en application des recommandations de l’audit.  Ces agents une fois sélectionnés reçoivent :</w:t>
      </w:r>
    </w:p>
    <w:p w:rsidR="00170905" w:rsidRPr="00F73059" w:rsidRDefault="00170905" w:rsidP="002E3A02">
      <w:pPr>
        <w:numPr>
          <w:ilvl w:val="2"/>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Un programme de travail détaillé ;</w:t>
      </w:r>
    </w:p>
    <w:p w:rsidR="00170905" w:rsidRPr="00F73059" w:rsidRDefault="00170905" w:rsidP="002E3A02">
      <w:pPr>
        <w:numPr>
          <w:ilvl w:val="2"/>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Une formation de démarrage et une formation de reprise annuelle ;</w:t>
      </w:r>
    </w:p>
    <w:p w:rsidR="00170905" w:rsidRPr="00F73059" w:rsidRDefault="00170905" w:rsidP="002E3A02">
      <w:pPr>
        <w:numPr>
          <w:ilvl w:val="2"/>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Des équipements permettant leur déplacement ;</w:t>
      </w:r>
    </w:p>
    <w:p w:rsidR="00170905" w:rsidRPr="00F73059" w:rsidRDefault="00170905" w:rsidP="002E3A02">
      <w:pPr>
        <w:numPr>
          <w:ilvl w:val="2"/>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Des moyens permettant la motivation effective des agents mobilisés.</w:t>
      </w:r>
    </w:p>
    <w:p w:rsidR="00170905" w:rsidRPr="00F73059" w:rsidRDefault="00170905" w:rsidP="00170905">
      <w:pPr>
        <w:spacing w:after="0" w:line="240" w:lineRule="auto"/>
        <w:ind w:left="1785"/>
        <w:jc w:val="both"/>
        <w:rPr>
          <w:rFonts w:eastAsia="Calibri" w:cs="Times New Roman"/>
          <w:sz w:val="20"/>
          <w:szCs w:val="20"/>
          <w:lang w:eastAsia="en-US"/>
        </w:rPr>
      </w:pPr>
      <w:r w:rsidRPr="00F73059">
        <w:rPr>
          <w:rFonts w:eastAsia="Calibri" w:cs="Times New Roman"/>
          <w:sz w:val="20"/>
          <w:szCs w:val="20"/>
          <w:lang w:eastAsia="en-US"/>
        </w:rPr>
        <w:lastRenderedPageBreak/>
        <w:t xml:space="preserve">L’indicateur est le taux de réalisation des programmes détaillés, tel qu’évalué conjointement et semestriellement par le responsable du suivi évaluation du projet, le Coordonnateur de l’Environnement et l’Inspecteur de l’Agriculture. </w:t>
      </w:r>
    </w:p>
    <w:p w:rsidR="00170905" w:rsidRPr="00F73059" w:rsidRDefault="00170905" w:rsidP="00170905">
      <w:pPr>
        <w:spacing w:after="0" w:line="240" w:lineRule="auto"/>
        <w:ind w:left="1785"/>
        <w:jc w:val="both"/>
        <w:rPr>
          <w:rFonts w:eastAsia="Calibri" w:cs="Times New Roman"/>
          <w:sz w:val="20"/>
          <w:szCs w:val="20"/>
          <w:lang w:eastAsia="en-US"/>
        </w:rPr>
      </w:pP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Un édit est promulgué par la province qui permet d’opposer aux tiers les </w:t>
      </w:r>
      <w:r w:rsidR="00D0055A">
        <w:rPr>
          <w:rFonts w:eastAsia="Calibri" w:cs="Times New Roman"/>
          <w:sz w:val="20"/>
          <w:szCs w:val="20"/>
          <w:lang w:eastAsia="en-US"/>
        </w:rPr>
        <w:t>PDD</w:t>
      </w:r>
      <w:r w:rsidR="0012675E">
        <w:rPr>
          <w:rFonts w:eastAsia="Calibri" w:cs="Times New Roman"/>
          <w:sz w:val="20"/>
          <w:szCs w:val="20"/>
          <w:lang w:eastAsia="en-US"/>
        </w:rPr>
        <w:t xml:space="preserve"> et PSG</w:t>
      </w:r>
      <w:r w:rsidRPr="00F73059">
        <w:rPr>
          <w:rFonts w:eastAsia="Calibri" w:cs="Times New Roman"/>
          <w:sz w:val="20"/>
          <w:szCs w:val="20"/>
          <w:lang w:eastAsia="en-US"/>
        </w:rPr>
        <w:t> ;</w:t>
      </w:r>
    </w:p>
    <w:p w:rsidR="00170905" w:rsidRPr="00F73059" w:rsidRDefault="00170905" w:rsidP="00170905">
      <w:pPr>
        <w:spacing w:after="0" w:line="240" w:lineRule="auto"/>
        <w:ind w:left="1785"/>
        <w:jc w:val="both"/>
        <w:rPr>
          <w:rFonts w:eastAsia="Calibri" w:cs="Times New Roman"/>
          <w:sz w:val="20"/>
          <w:szCs w:val="20"/>
          <w:lang w:eastAsia="en-US"/>
        </w:rPr>
      </w:pPr>
    </w:p>
    <w:p w:rsidR="00170905" w:rsidRPr="00D0055A" w:rsidRDefault="00170905" w:rsidP="00D0055A">
      <w:pPr>
        <w:spacing w:after="0" w:line="240" w:lineRule="auto"/>
        <w:jc w:val="both"/>
        <w:rPr>
          <w:rFonts w:eastAsia="Calibri" w:cs="Times New Roman"/>
          <w:sz w:val="20"/>
          <w:szCs w:val="20"/>
          <w:u w:val="single"/>
          <w:lang w:eastAsia="en-US"/>
        </w:rPr>
      </w:pPr>
      <w:r w:rsidRPr="00D0055A">
        <w:rPr>
          <w:rFonts w:eastAsia="Calibri" w:cs="Times New Roman"/>
          <w:sz w:val="20"/>
          <w:szCs w:val="20"/>
          <w:u w:val="single"/>
          <w:lang w:eastAsia="en-US"/>
        </w:rPr>
        <w:t xml:space="preserve">Réaliser des investissements structurants tels que définis par les Plans de </w:t>
      </w:r>
      <w:r w:rsidR="00D0055A">
        <w:rPr>
          <w:rFonts w:eastAsia="Calibri" w:cs="Times New Roman"/>
          <w:sz w:val="20"/>
          <w:szCs w:val="20"/>
          <w:u w:val="single"/>
          <w:lang w:eastAsia="en-US"/>
        </w:rPr>
        <w:t>Développement Durables</w:t>
      </w:r>
      <w:r w:rsidRPr="00D0055A">
        <w:rPr>
          <w:rFonts w:eastAsia="Calibri" w:cs="Times New Roman"/>
          <w:sz w:val="20"/>
          <w:szCs w:val="20"/>
          <w:u w:val="single"/>
          <w:lang w:eastAsia="en-US"/>
        </w:rPr>
        <w:t xml:space="preserve"> de Territoire :</w:t>
      </w:r>
    </w:p>
    <w:p w:rsidR="00170905" w:rsidRPr="00F73059" w:rsidRDefault="00170905" w:rsidP="00170905">
      <w:pPr>
        <w:spacing w:after="0" w:line="240" w:lineRule="auto"/>
        <w:jc w:val="both"/>
        <w:rPr>
          <w:rFonts w:eastAsia="Calibri" w:cs="Times New Roman"/>
          <w:sz w:val="20"/>
          <w:szCs w:val="20"/>
          <w:u w:val="single"/>
          <w:lang w:eastAsia="en-US"/>
        </w:rPr>
      </w:pP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les principales routes du District</w:t>
      </w:r>
      <w:r w:rsidR="00D0055A">
        <w:rPr>
          <w:rFonts w:eastAsia="Calibri" w:cs="Times New Roman"/>
          <w:sz w:val="20"/>
          <w:szCs w:val="20"/>
          <w:lang w:eastAsia="en-US"/>
        </w:rPr>
        <w:t xml:space="preserve"> de Mai-Ndombe sont entretenues (50</w:t>
      </w:r>
      <w:r w:rsidRPr="00F73059">
        <w:rPr>
          <w:rFonts w:eastAsia="Calibri" w:cs="Times New Roman"/>
          <w:sz w:val="20"/>
          <w:szCs w:val="20"/>
          <w:lang w:eastAsia="en-US"/>
        </w:rPr>
        <w:t xml:space="preserve">0 km de points chauds et ponts stratégiques construits ou réhabilités). </w:t>
      </w:r>
    </w:p>
    <w:p w:rsidR="00170905" w:rsidRPr="00F73059" w:rsidRDefault="00170905" w:rsidP="00170905">
      <w:pPr>
        <w:spacing w:after="0" w:line="240" w:lineRule="auto"/>
        <w:ind w:left="1785"/>
        <w:jc w:val="both"/>
        <w:rPr>
          <w:rFonts w:eastAsia="Calibri" w:cs="Times New Roman"/>
          <w:sz w:val="20"/>
          <w:szCs w:val="20"/>
          <w:lang w:eastAsia="en-US"/>
        </w:rPr>
      </w:pPr>
    </w:p>
    <w:p w:rsidR="00170905" w:rsidRPr="00F73059" w:rsidRDefault="00D0055A" w:rsidP="00D0055A">
      <w:pPr>
        <w:spacing w:after="0" w:line="240" w:lineRule="auto"/>
        <w:jc w:val="both"/>
        <w:rPr>
          <w:rFonts w:eastAsia="Calibri" w:cs="Times New Roman"/>
          <w:sz w:val="20"/>
          <w:szCs w:val="20"/>
          <w:u w:val="single"/>
          <w:lang w:eastAsia="en-US"/>
        </w:rPr>
      </w:pPr>
      <w:r>
        <w:rPr>
          <w:rFonts w:eastAsia="Calibri" w:cs="Times New Roman"/>
          <w:sz w:val="20"/>
          <w:szCs w:val="20"/>
          <w:u w:val="single"/>
          <w:lang w:eastAsia="en-US"/>
        </w:rPr>
        <w:t>A</w:t>
      </w:r>
      <w:r w:rsidR="00170905" w:rsidRPr="00F73059">
        <w:rPr>
          <w:rFonts w:eastAsia="Calibri" w:cs="Times New Roman"/>
          <w:sz w:val="20"/>
          <w:szCs w:val="20"/>
          <w:u w:val="single"/>
          <w:lang w:eastAsia="en-US"/>
        </w:rPr>
        <w:t>ider les CLD</w:t>
      </w:r>
      <w:r>
        <w:rPr>
          <w:rFonts w:eastAsia="Calibri" w:cs="Times New Roman"/>
          <w:sz w:val="20"/>
          <w:szCs w:val="20"/>
          <w:u w:val="single"/>
          <w:lang w:eastAsia="en-US"/>
        </w:rPr>
        <w:t>s</w:t>
      </w:r>
      <w:r w:rsidR="00170905" w:rsidRPr="00F73059">
        <w:rPr>
          <w:rFonts w:eastAsia="Calibri" w:cs="Times New Roman"/>
          <w:sz w:val="20"/>
          <w:szCs w:val="20"/>
          <w:u w:val="single"/>
          <w:lang w:eastAsia="en-US"/>
        </w:rPr>
        <w:t xml:space="preserve"> à réaliser des P</w:t>
      </w:r>
      <w:r w:rsidR="0012675E">
        <w:rPr>
          <w:rFonts w:eastAsia="Calibri" w:cs="Times New Roman"/>
          <w:sz w:val="20"/>
          <w:szCs w:val="20"/>
          <w:u w:val="single"/>
          <w:lang w:eastAsia="en-US"/>
        </w:rPr>
        <w:t>SG</w:t>
      </w:r>
      <w:r w:rsidR="00170905" w:rsidRPr="00F73059">
        <w:rPr>
          <w:rFonts w:eastAsia="Calibri" w:cs="Times New Roman"/>
          <w:sz w:val="20"/>
          <w:szCs w:val="20"/>
          <w:u w:val="single"/>
          <w:lang w:eastAsia="en-US"/>
        </w:rPr>
        <w:t> :</w:t>
      </w:r>
    </w:p>
    <w:p w:rsidR="00170905" w:rsidRPr="00F73059" w:rsidRDefault="00170905" w:rsidP="00170905">
      <w:pPr>
        <w:spacing w:after="0" w:line="240" w:lineRule="auto"/>
        <w:ind w:left="1065"/>
        <w:jc w:val="both"/>
        <w:rPr>
          <w:rFonts w:eastAsia="Calibri" w:cs="Times New Roman"/>
          <w:sz w:val="20"/>
          <w:szCs w:val="20"/>
          <w:u w:val="single"/>
          <w:lang w:eastAsia="en-US"/>
        </w:rPr>
      </w:pPr>
    </w:p>
    <w:p w:rsidR="00170905" w:rsidRPr="00F73059" w:rsidRDefault="00D0055A" w:rsidP="002E3A02">
      <w:pPr>
        <w:numPr>
          <w:ilvl w:val="1"/>
          <w:numId w:val="45"/>
        </w:numPr>
        <w:spacing w:after="0" w:line="240" w:lineRule="auto"/>
        <w:jc w:val="both"/>
        <w:rPr>
          <w:rFonts w:eastAsia="Calibri" w:cs="Times New Roman"/>
          <w:sz w:val="20"/>
          <w:szCs w:val="20"/>
          <w:lang w:eastAsia="en-US"/>
        </w:rPr>
      </w:pPr>
      <w:r>
        <w:rPr>
          <w:rFonts w:eastAsia="Calibri" w:cs="Times New Roman"/>
          <w:sz w:val="20"/>
          <w:szCs w:val="20"/>
          <w:lang w:eastAsia="en-US"/>
        </w:rPr>
        <w:t xml:space="preserve">600 CLD disposent d’un </w:t>
      </w:r>
      <w:r w:rsidR="0012675E">
        <w:rPr>
          <w:rFonts w:eastAsia="Calibri" w:cs="Times New Roman"/>
          <w:sz w:val="20"/>
          <w:szCs w:val="20"/>
          <w:lang w:eastAsia="en-US"/>
        </w:rPr>
        <w:t>PSG</w:t>
      </w:r>
      <w:r w:rsidR="0012675E" w:rsidRPr="00F73059">
        <w:rPr>
          <w:rFonts w:eastAsia="Calibri" w:cs="Times New Roman"/>
          <w:sz w:val="20"/>
          <w:szCs w:val="20"/>
          <w:lang w:eastAsia="en-US"/>
        </w:rPr>
        <w:t xml:space="preserve"> </w:t>
      </w:r>
      <w:r w:rsidR="00170905" w:rsidRPr="00F73059">
        <w:rPr>
          <w:rFonts w:eastAsia="Calibri" w:cs="Times New Roman"/>
          <w:sz w:val="20"/>
          <w:szCs w:val="20"/>
          <w:lang w:eastAsia="en-US"/>
        </w:rPr>
        <w:t xml:space="preserve">déposé à l’administration de secteur et de territoire, </w:t>
      </w:r>
    </w:p>
    <w:p w:rsidR="00170905" w:rsidRPr="00F73059" w:rsidRDefault="00D0055A" w:rsidP="002E3A02">
      <w:pPr>
        <w:numPr>
          <w:ilvl w:val="1"/>
          <w:numId w:val="45"/>
        </w:numPr>
        <w:spacing w:after="0" w:line="240" w:lineRule="auto"/>
        <w:jc w:val="both"/>
        <w:rPr>
          <w:rFonts w:eastAsia="Calibri" w:cs="Times New Roman"/>
          <w:sz w:val="20"/>
          <w:szCs w:val="20"/>
          <w:lang w:eastAsia="en-US"/>
        </w:rPr>
      </w:pPr>
      <w:r>
        <w:rPr>
          <w:rFonts w:eastAsia="Calibri" w:cs="Times New Roman"/>
          <w:sz w:val="20"/>
          <w:szCs w:val="20"/>
          <w:lang w:eastAsia="en-US"/>
        </w:rPr>
        <w:t>600</w:t>
      </w:r>
      <w:r w:rsidR="00170905" w:rsidRPr="00F73059">
        <w:rPr>
          <w:rFonts w:eastAsia="Calibri" w:cs="Times New Roman"/>
          <w:sz w:val="20"/>
          <w:szCs w:val="20"/>
          <w:lang w:eastAsia="en-US"/>
        </w:rPr>
        <w:t xml:space="preserve"> CLD disposent d’un contrat de mise en œuvre des P</w:t>
      </w:r>
      <w:r w:rsidR="0012675E">
        <w:rPr>
          <w:rFonts w:eastAsia="Calibri" w:cs="Times New Roman"/>
          <w:sz w:val="20"/>
          <w:szCs w:val="20"/>
          <w:lang w:eastAsia="en-US"/>
        </w:rPr>
        <w:t>SG</w:t>
      </w:r>
      <w:r w:rsidR="00170905" w:rsidRPr="00F73059">
        <w:rPr>
          <w:rFonts w:eastAsia="Calibri" w:cs="Times New Roman"/>
          <w:sz w:val="20"/>
          <w:szCs w:val="20"/>
          <w:lang w:eastAsia="en-US"/>
        </w:rPr>
        <w:t xml:space="preserve"> signé avec le projet. </w:t>
      </w:r>
    </w:p>
    <w:p w:rsidR="00170905" w:rsidRPr="00F73059" w:rsidRDefault="00170905" w:rsidP="00170905">
      <w:pPr>
        <w:spacing w:after="0" w:line="240" w:lineRule="auto"/>
        <w:ind w:left="1785"/>
        <w:rPr>
          <w:rFonts w:eastAsia="Calibri" w:cs="Times New Roman"/>
          <w:sz w:val="20"/>
          <w:szCs w:val="20"/>
          <w:lang w:eastAsia="en-US"/>
        </w:rPr>
      </w:pPr>
    </w:p>
    <w:p w:rsidR="00170905" w:rsidRPr="00F73059" w:rsidRDefault="00170905" w:rsidP="00D0055A">
      <w:pPr>
        <w:spacing w:after="240" w:line="240" w:lineRule="auto"/>
        <w:rPr>
          <w:rFonts w:eastAsia="Calibri" w:cs="Times New Roman"/>
          <w:sz w:val="20"/>
          <w:szCs w:val="20"/>
          <w:lang w:eastAsia="en-US"/>
        </w:rPr>
      </w:pPr>
      <w:r w:rsidRPr="00F73059">
        <w:rPr>
          <w:rFonts w:eastAsia="Calibri" w:cs="Times New Roman"/>
          <w:sz w:val="20"/>
          <w:szCs w:val="20"/>
          <w:u w:val="single"/>
          <w:lang w:eastAsia="en-US"/>
        </w:rPr>
        <w:t>Appuyer  les in</w:t>
      </w:r>
      <w:r w:rsidR="00D02EFB">
        <w:rPr>
          <w:rFonts w:eastAsia="Calibri" w:cs="Times New Roman"/>
          <w:sz w:val="20"/>
          <w:szCs w:val="20"/>
          <w:u w:val="single"/>
          <w:lang w:eastAsia="en-US"/>
        </w:rPr>
        <w:t>vestissements prévus par les P</w:t>
      </w:r>
      <w:r w:rsidR="0012675E">
        <w:rPr>
          <w:rFonts w:eastAsia="Calibri" w:cs="Times New Roman"/>
          <w:sz w:val="20"/>
          <w:szCs w:val="20"/>
          <w:u w:val="single"/>
          <w:lang w:eastAsia="en-US"/>
        </w:rPr>
        <w:t>SG</w:t>
      </w:r>
      <w:r w:rsidR="00D02EFB">
        <w:rPr>
          <w:rFonts w:eastAsia="Calibri" w:cs="Times New Roman"/>
          <w:sz w:val="20"/>
          <w:szCs w:val="20"/>
          <w:u w:val="single"/>
          <w:lang w:eastAsia="en-US"/>
        </w:rPr>
        <w:t xml:space="preserve"> </w:t>
      </w:r>
      <w:r w:rsidRPr="00F73059">
        <w:rPr>
          <w:rFonts w:eastAsia="Calibri" w:cs="Times New Roman"/>
          <w:sz w:val="20"/>
          <w:szCs w:val="20"/>
          <w:u w:val="single"/>
          <w:lang w:eastAsia="en-US"/>
        </w:rPr>
        <w:t>de CLD.</w:t>
      </w:r>
      <w:r w:rsidRPr="00F73059">
        <w:rPr>
          <w:rFonts w:eastAsia="Calibri" w:cs="Times New Roman"/>
          <w:sz w:val="20"/>
          <w:szCs w:val="20"/>
          <w:lang w:eastAsia="en-US"/>
        </w:rPr>
        <w:t xml:space="preserve"> </w:t>
      </w:r>
    </w:p>
    <w:p w:rsidR="00170905"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Cinq mille ha de plantations agroforestières sont créés </w:t>
      </w:r>
      <w:r w:rsidR="00D02EFB">
        <w:rPr>
          <w:rFonts w:eastAsia="Calibri" w:cs="Times New Roman"/>
          <w:sz w:val="20"/>
          <w:szCs w:val="20"/>
          <w:lang w:eastAsia="en-US"/>
        </w:rPr>
        <w:t>en savane</w:t>
      </w:r>
      <w:r w:rsidRPr="00F73059">
        <w:rPr>
          <w:rFonts w:eastAsia="Calibri" w:cs="Times New Roman"/>
          <w:sz w:val="20"/>
          <w:szCs w:val="20"/>
          <w:lang w:eastAsia="en-US"/>
        </w:rPr>
        <w:t>. Ces plantations utilisent des essences  forestières à croissance rapide comme les acacias et ou des cultures pérennes comme le palmier, le café, le cacao et le bananier.</w:t>
      </w:r>
    </w:p>
    <w:p w:rsidR="00D02EFB" w:rsidRPr="00F73059" w:rsidRDefault="00D02EFB" w:rsidP="002E3A02">
      <w:pPr>
        <w:numPr>
          <w:ilvl w:val="1"/>
          <w:numId w:val="45"/>
        </w:numPr>
        <w:spacing w:after="0" w:line="240" w:lineRule="auto"/>
        <w:jc w:val="both"/>
        <w:rPr>
          <w:rFonts w:eastAsia="Calibri" w:cs="Times New Roman"/>
          <w:sz w:val="20"/>
          <w:szCs w:val="20"/>
          <w:lang w:eastAsia="en-US"/>
        </w:rPr>
      </w:pPr>
      <w:r>
        <w:rPr>
          <w:rFonts w:eastAsia="Calibri" w:cs="Times New Roman"/>
          <w:sz w:val="20"/>
          <w:szCs w:val="20"/>
          <w:lang w:eastAsia="en-US"/>
        </w:rPr>
        <w:t>10 000 ha de cultures pérennes sont installés en zone forestière,</w:t>
      </w:r>
    </w:p>
    <w:p w:rsidR="00D02EFB" w:rsidRPr="00D02EFB" w:rsidRDefault="00D02EFB" w:rsidP="002E3A02">
      <w:pPr>
        <w:numPr>
          <w:ilvl w:val="1"/>
          <w:numId w:val="45"/>
        </w:numPr>
        <w:spacing w:after="0" w:line="240" w:lineRule="auto"/>
        <w:jc w:val="both"/>
        <w:rPr>
          <w:rFonts w:eastAsia="Calibri" w:cs="Times New Roman"/>
          <w:sz w:val="20"/>
          <w:szCs w:val="20"/>
          <w:lang w:eastAsia="en-US"/>
        </w:rPr>
      </w:pPr>
      <w:r>
        <w:rPr>
          <w:rFonts w:eastAsia="Calibri" w:cs="Times New Roman"/>
          <w:sz w:val="20"/>
          <w:szCs w:val="20"/>
          <w:lang w:eastAsia="en-US"/>
        </w:rPr>
        <w:t>1</w:t>
      </w:r>
      <w:r w:rsidR="00D0055A">
        <w:rPr>
          <w:rFonts w:eastAsia="Calibri" w:cs="Times New Roman"/>
          <w:sz w:val="20"/>
          <w:szCs w:val="20"/>
          <w:lang w:eastAsia="en-US"/>
        </w:rPr>
        <w:t>0 000</w:t>
      </w:r>
      <w:r w:rsidR="00170905" w:rsidRPr="00F73059">
        <w:rPr>
          <w:rFonts w:eastAsia="Calibri" w:cs="Times New Roman"/>
          <w:sz w:val="20"/>
          <w:szCs w:val="20"/>
          <w:lang w:eastAsia="en-US"/>
        </w:rPr>
        <w:t xml:space="preserve"> ha</w:t>
      </w:r>
      <w:r>
        <w:rPr>
          <w:rFonts w:eastAsia="Calibri" w:cs="Times New Roman"/>
          <w:sz w:val="20"/>
          <w:szCs w:val="20"/>
          <w:lang w:eastAsia="en-US"/>
        </w:rPr>
        <w:t xml:space="preserve"> de forêts villageoises sont destinés à la conservation</w:t>
      </w:r>
      <w:r w:rsidR="00170905" w:rsidRPr="00F73059">
        <w:rPr>
          <w:rFonts w:eastAsia="Calibri" w:cs="Times New Roman"/>
          <w:sz w:val="20"/>
          <w:szCs w:val="20"/>
          <w:lang w:eastAsia="en-US"/>
        </w:rPr>
        <w:t xml:space="preserve"> sur le District</w:t>
      </w:r>
      <w:r w:rsidR="00D0055A">
        <w:rPr>
          <w:rFonts w:eastAsia="Calibri" w:cs="Times New Roman"/>
          <w:sz w:val="20"/>
          <w:szCs w:val="20"/>
          <w:lang w:eastAsia="en-US"/>
        </w:rPr>
        <w:t xml:space="preserve"> de Mai-Ndo</w:t>
      </w:r>
      <w:r>
        <w:rPr>
          <w:rFonts w:eastAsia="Calibri" w:cs="Times New Roman"/>
          <w:sz w:val="20"/>
          <w:szCs w:val="20"/>
          <w:lang w:eastAsia="en-US"/>
        </w:rPr>
        <w:t>mbe</w:t>
      </w:r>
    </w:p>
    <w:p w:rsidR="00170905" w:rsidRPr="00F73059" w:rsidRDefault="00D02EFB" w:rsidP="002E3A02">
      <w:pPr>
        <w:numPr>
          <w:ilvl w:val="1"/>
          <w:numId w:val="45"/>
        </w:numPr>
        <w:spacing w:after="0" w:line="240" w:lineRule="auto"/>
        <w:jc w:val="both"/>
        <w:rPr>
          <w:rFonts w:eastAsia="Calibri" w:cs="Times New Roman"/>
          <w:sz w:val="20"/>
          <w:szCs w:val="20"/>
          <w:lang w:eastAsia="en-US"/>
        </w:rPr>
      </w:pPr>
      <w:r>
        <w:rPr>
          <w:rFonts w:eastAsia="Calibri" w:cs="Times New Roman"/>
          <w:sz w:val="20"/>
          <w:szCs w:val="20"/>
          <w:lang w:eastAsia="en-US"/>
        </w:rPr>
        <w:t>30 000 ha s</w:t>
      </w:r>
      <w:r w:rsidR="00D0055A">
        <w:rPr>
          <w:rFonts w:eastAsia="Calibri" w:cs="Times New Roman"/>
          <w:sz w:val="20"/>
          <w:szCs w:val="20"/>
          <w:lang w:eastAsia="en-US"/>
        </w:rPr>
        <w:t xml:space="preserve">ont mis en défens. </w:t>
      </w:r>
      <w:r w:rsidR="00170905" w:rsidRPr="00F73059">
        <w:rPr>
          <w:rFonts w:eastAsia="Calibri" w:cs="Times New Roman"/>
          <w:sz w:val="20"/>
          <w:szCs w:val="20"/>
          <w:lang w:eastAsia="en-US"/>
        </w:rPr>
        <w:t xml:space="preserve">Les contrats sont signés et mis en œuvre en </w:t>
      </w:r>
      <w:r w:rsidR="00D0055A">
        <w:rPr>
          <w:rFonts w:eastAsia="Calibri" w:cs="Times New Roman"/>
          <w:sz w:val="20"/>
          <w:szCs w:val="20"/>
          <w:lang w:eastAsia="en-US"/>
        </w:rPr>
        <w:t>trois ans.</w:t>
      </w: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Les concessionnaires forestiers (industriels et art</w:t>
      </w:r>
      <w:r w:rsidR="00D0055A">
        <w:rPr>
          <w:rFonts w:eastAsia="Calibri" w:cs="Times New Roman"/>
          <w:sz w:val="20"/>
          <w:szCs w:val="20"/>
          <w:lang w:eastAsia="en-US"/>
        </w:rPr>
        <w:t>isanaux)  opérant dans le district de Mai-Ndombe</w:t>
      </w:r>
      <w:r w:rsidRPr="00F73059">
        <w:rPr>
          <w:rFonts w:eastAsia="Calibri" w:cs="Times New Roman"/>
          <w:sz w:val="20"/>
          <w:szCs w:val="20"/>
          <w:lang w:eastAsia="en-US"/>
        </w:rPr>
        <w:t xml:space="preserve"> ainsi que les CLD qui les environnent, sont engagés avec le Projet dans des contrats de meilleure gestion des ressources naturelles. </w:t>
      </w:r>
      <w:r w:rsidRPr="00F73059">
        <w:rPr>
          <w:rFonts w:eastAsia="Calibri" w:cs="Times New Roman"/>
          <w:i/>
          <w:sz w:val="20"/>
          <w:szCs w:val="20"/>
          <w:lang w:eastAsia="en-US"/>
        </w:rPr>
        <w:t>Indicateur quantitatif à préciser après étude initiale du projet.</w:t>
      </w: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Les variétés résistantes de manioc sont cultivées à au moins un </w:t>
      </w:r>
      <w:r w:rsidR="00271D59" w:rsidRPr="00F73059">
        <w:rPr>
          <w:rFonts w:eastAsia="Calibri" w:cs="Times New Roman"/>
          <w:sz w:val="20"/>
          <w:szCs w:val="20"/>
          <w:lang w:eastAsia="en-US"/>
        </w:rPr>
        <w:t>demi-hectare</w:t>
      </w:r>
      <w:r w:rsidRPr="00F73059">
        <w:rPr>
          <w:rFonts w:eastAsia="Calibri" w:cs="Times New Roman"/>
          <w:sz w:val="20"/>
          <w:szCs w:val="20"/>
          <w:lang w:eastAsia="en-US"/>
        </w:rPr>
        <w:t xml:space="preserve"> par famille à la fin du projet.</w:t>
      </w:r>
      <w:r w:rsidR="00D0055A">
        <w:rPr>
          <w:rFonts w:eastAsia="Calibri" w:cs="Times New Roman"/>
          <w:sz w:val="20"/>
          <w:szCs w:val="20"/>
          <w:lang w:eastAsia="en-US"/>
        </w:rPr>
        <w:t xml:space="preserve"> Pour ce faire,  chaque CLD (600</w:t>
      </w:r>
      <w:r w:rsidRPr="00F73059">
        <w:rPr>
          <w:rFonts w:eastAsia="Calibri" w:cs="Times New Roman"/>
          <w:sz w:val="20"/>
          <w:szCs w:val="20"/>
          <w:lang w:eastAsia="en-US"/>
        </w:rPr>
        <w:t>) dispose d’au moins un parc à bois de un ha en première année en vue de la diffusion des variétés résistantes de</w:t>
      </w:r>
      <w:r w:rsidR="00D0055A">
        <w:rPr>
          <w:rFonts w:eastAsia="Calibri" w:cs="Times New Roman"/>
          <w:sz w:val="20"/>
          <w:szCs w:val="20"/>
          <w:lang w:eastAsia="en-US"/>
        </w:rPr>
        <w:t xml:space="preserve"> manioc recommandées par l’IITA. </w:t>
      </w:r>
      <w:r w:rsidRPr="00F73059">
        <w:rPr>
          <w:rFonts w:eastAsia="Calibri" w:cs="Times New Roman"/>
          <w:sz w:val="20"/>
          <w:szCs w:val="20"/>
          <w:lang w:eastAsia="en-US"/>
        </w:rPr>
        <w:t>La plantation initiale, en première année est de 200 ha permettant de planter 2000 ha en seconde année et 20 000 ha en 3</w:t>
      </w:r>
      <w:r w:rsidRPr="00F73059">
        <w:rPr>
          <w:rFonts w:eastAsia="Calibri" w:cs="Times New Roman"/>
          <w:sz w:val="20"/>
          <w:szCs w:val="20"/>
          <w:vertAlign w:val="superscript"/>
          <w:lang w:eastAsia="en-US"/>
        </w:rPr>
        <w:t>ème</w:t>
      </w:r>
      <w:r w:rsidRPr="00F73059">
        <w:rPr>
          <w:rFonts w:eastAsia="Calibri" w:cs="Times New Roman"/>
          <w:sz w:val="20"/>
          <w:szCs w:val="20"/>
          <w:lang w:eastAsia="en-US"/>
        </w:rPr>
        <w:t xml:space="preserve"> année, 200 000 ha en 4</w:t>
      </w:r>
      <w:r w:rsidRPr="00F73059">
        <w:rPr>
          <w:rFonts w:eastAsia="Calibri" w:cs="Times New Roman"/>
          <w:sz w:val="20"/>
          <w:szCs w:val="20"/>
          <w:vertAlign w:val="superscript"/>
          <w:lang w:eastAsia="en-US"/>
        </w:rPr>
        <w:t>ème</w:t>
      </w:r>
      <w:r w:rsidRPr="00F73059">
        <w:rPr>
          <w:rFonts w:eastAsia="Calibri" w:cs="Times New Roman"/>
          <w:sz w:val="20"/>
          <w:szCs w:val="20"/>
          <w:lang w:eastAsia="en-US"/>
        </w:rPr>
        <w:t xml:space="preserve"> année, soit près de deux ha par famille, avec des rendements améliorés de 40 % (gain compris entre 5  et 10 sacs supplémentaires commercialisés par ménage). L’indicateur est 1) la surface moyenne plantée par ménage en dernière année et 2)  la superficie totale planté (au moins 80 000 au total).</w:t>
      </w:r>
    </w:p>
    <w:p w:rsidR="00170905" w:rsidRPr="00F73059" w:rsidRDefault="00170905" w:rsidP="002E3A02">
      <w:pPr>
        <w:numPr>
          <w:ilvl w:val="1"/>
          <w:numId w:val="45"/>
        </w:num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Chaque groupement dispose d’un réseau d’agri-multiplicateurs de maïs Kasaï 1, variété améliorée adaptée. Objectif visé : renouvellement des composites locaux, eux-mêmes issus de Samaru et de Kasaï 1, dégénérés. </w:t>
      </w:r>
    </w:p>
    <w:p w:rsidR="00D02EFB" w:rsidRDefault="00D02EFB" w:rsidP="00D02EFB">
      <w:pPr>
        <w:spacing w:after="0" w:line="240" w:lineRule="auto"/>
        <w:jc w:val="both"/>
        <w:rPr>
          <w:rFonts w:eastAsia="Calibri" w:cs="Times New Roman"/>
          <w:sz w:val="20"/>
          <w:szCs w:val="20"/>
          <w:lang w:eastAsia="en-US"/>
        </w:rPr>
      </w:pPr>
    </w:p>
    <w:p w:rsidR="00170905" w:rsidRDefault="00D02EFB" w:rsidP="00D02EFB">
      <w:pPr>
        <w:spacing w:after="0" w:line="240" w:lineRule="auto"/>
        <w:jc w:val="both"/>
        <w:rPr>
          <w:rFonts w:eastAsia="Calibri" w:cs="Times New Roman"/>
          <w:sz w:val="20"/>
          <w:szCs w:val="20"/>
          <w:lang w:eastAsia="en-US"/>
        </w:rPr>
      </w:pPr>
      <w:r w:rsidRPr="00D02EFB">
        <w:rPr>
          <w:rFonts w:eastAsia="Calibri" w:cs="Times New Roman"/>
          <w:sz w:val="20"/>
          <w:szCs w:val="20"/>
          <w:lang w:eastAsia="en-US"/>
        </w:rPr>
        <w:t xml:space="preserve">Appuyer  les </w:t>
      </w:r>
      <w:r>
        <w:rPr>
          <w:rFonts w:eastAsia="Calibri" w:cs="Times New Roman"/>
          <w:sz w:val="20"/>
          <w:szCs w:val="20"/>
          <w:lang w:eastAsia="en-US"/>
        </w:rPr>
        <w:t>populations les plus vulnérables.</w:t>
      </w:r>
    </w:p>
    <w:p w:rsidR="00D02EFB" w:rsidRDefault="00D02EFB" w:rsidP="00D02EFB">
      <w:pPr>
        <w:spacing w:after="0" w:line="240" w:lineRule="auto"/>
        <w:jc w:val="both"/>
        <w:rPr>
          <w:rFonts w:eastAsia="Calibri" w:cs="Times New Roman"/>
          <w:sz w:val="20"/>
          <w:szCs w:val="20"/>
          <w:lang w:eastAsia="en-US"/>
        </w:rPr>
      </w:pPr>
    </w:p>
    <w:p w:rsidR="00D02EFB" w:rsidRPr="00F73059" w:rsidRDefault="00555F5D" w:rsidP="002E3A02">
      <w:pPr>
        <w:numPr>
          <w:ilvl w:val="1"/>
          <w:numId w:val="45"/>
        </w:numPr>
        <w:spacing w:after="0" w:line="240" w:lineRule="auto"/>
        <w:jc w:val="both"/>
        <w:rPr>
          <w:rFonts w:eastAsia="Calibri" w:cs="Times New Roman"/>
          <w:sz w:val="20"/>
          <w:szCs w:val="20"/>
          <w:lang w:eastAsia="en-US"/>
        </w:rPr>
      </w:pPr>
      <w:r>
        <w:rPr>
          <w:rFonts w:eastAsia="Calibri" w:cs="Times New Roman"/>
          <w:sz w:val="20"/>
          <w:szCs w:val="20"/>
          <w:lang w:eastAsia="en-US"/>
        </w:rPr>
        <w:t>2</w:t>
      </w:r>
      <w:r w:rsidR="00D02EFB">
        <w:rPr>
          <w:rFonts w:eastAsia="Calibri" w:cs="Times New Roman"/>
          <w:sz w:val="20"/>
          <w:szCs w:val="20"/>
          <w:lang w:eastAsia="en-US"/>
        </w:rPr>
        <w:t>0 micro-projets à destination des peuples autochtones ont été mis en œuvre.</w:t>
      </w:r>
    </w:p>
    <w:p w:rsidR="00170905" w:rsidRPr="00F73059" w:rsidRDefault="00170905" w:rsidP="00170905">
      <w:pPr>
        <w:spacing w:after="0" w:line="240" w:lineRule="auto"/>
        <w:rPr>
          <w:rFonts w:eastAsia="Calibri" w:cs="Times New Roman"/>
          <w:sz w:val="20"/>
          <w:szCs w:val="20"/>
          <w:lang w:eastAsia="en-US"/>
        </w:rPr>
      </w:pPr>
    </w:p>
    <w:p w:rsidR="00170905" w:rsidRPr="00451070" w:rsidRDefault="00451070" w:rsidP="00451070">
      <w:pPr>
        <w:rPr>
          <w:rFonts w:eastAsia="Calibri"/>
          <w:b/>
          <w:lang w:eastAsia="en-US"/>
        </w:rPr>
      </w:pPr>
      <w:r>
        <w:rPr>
          <w:rFonts w:eastAsia="Calibri"/>
          <w:b/>
          <w:lang w:eastAsia="en-US"/>
        </w:rPr>
        <w:t xml:space="preserve">C </w:t>
      </w:r>
      <w:r w:rsidR="00170905" w:rsidRPr="00451070">
        <w:rPr>
          <w:rFonts w:eastAsia="Calibri"/>
          <w:b/>
          <w:lang w:eastAsia="en-US"/>
        </w:rPr>
        <w:t>Stratégie et Méthodologie</w:t>
      </w:r>
      <w:r w:rsidR="00D02EFB" w:rsidRPr="00451070">
        <w:rPr>
          <w:rFonts w:eastAsia="Calibri"/>
          <w:b/>
          <w:lang w:eastAsia="en-US"/>
        </w:rPr>
        <w:t xml:space="preserve"> (cf. Section 7 du document de programme)</w:t>
      </w:r>
    </w:p>
    <w:p w:rsidR="00170905" w:rsidRPr="00451070" w:rsidRDefault="00451070" w:rsidP="00451070">
      <w:pPr>
        <w:rPr>
          <w:rFonts w:eastAsia="Calibri"/>
          <w:b/>
          <w:lang w:eastAsia="en-US"/>
        </w:rPr>
      </w:pPr>
      <w:r>
        <w:rPr>
          <w:rFonts w:eastAsia="Calibri"/>
          <w:b/>
          <w:lang w:eastAsia="en-US"/>
        </w:rPr>
        <w:t xml:space="preserve">D </w:t>
      </w:r>
      <w:r w:rsidR="00170905" w:rsidRPr="00451070">
        <w:rPr>
          <w:rFonts w:eastAsia="Calibri"/>
          <w:b/>
          <w:lang w:eastAsia="en-US"/>
        </w:rPr>
        <w:t xml:space="preserve">Durée du projet : </w:t>
      </w:r>
    </w:p>
    <w:p w:rsidR="00271D59" w:rsidRDefault="00170905" w:rsidP="00986D23">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 La durée de la consultation est fixée à 4 ans, assortie d’une évaluation </w:t>
      </w:r>
      <w:r w:rsidR="00BE2CAB">
        <w:rPr>
          <w:rFonts w:eastAsia="Calibri" w:cs="Times New Roman"/>
          <w:sz w:val="20"/>
          <w:szCs w:val="20"/>
          <w:lang w:eastAsia="en-US"/>
        </w:rPr>
        <w:t xml:space="preserve">à la </w:t>
      </w:r>
      <w:r w:rsidR="0012675E">
        <w:rPr>
          <w:rFonts w:eastAsia="Calibri" w:cs="Times New Roman"/>
          <w:sz w:val="20"/>
          <w:szCs w:val="20"/>
          <w:lang w:eastAsia="en-US"/>
        </w:rPr>
        <w:t>clôture</w:t>
      </w:r>
      <w:r w:rsidR="00BE2CAB">
        <w:rPr>
          <w:rFonts w:eastAsia="Calibri" w:cs="Times New Roman"/>
          <w:sz w:val="20"/>
          <w:szCs w:val="20"/>
          <w:lang w:eastAsia="en-US"/>
        </w:rPr>
        <w:t xml:space="preserve"> des activités.</w:t>
      </w:r>
    </w:p>
    <w:p w:rsidR="00986D23" w:rsidRPr="00986D23" w:rsidRDefault="00986D23" w:rsidP="00986D23">
      <w:pPr>
        <w:spacing w:after="0" w:line="240" w:lineRule="auto"/>
        <w:jc w:val="both"/>
        <w:rPr>
          <w:rFonts w:eastAsia="Calibri" w:cs="Times New Roman"/>
          <w:sz w:val="20"/>
          <w:szCs w:val="20"/>
          <w:lang w:eastAsia="en-US"/>
        </w:rPr>
      </w:pPr>
    </w:p>
    <w:p w:rsidR="00170905" w:rsidRPr="00451070" w:rsidRDefault="00451070" w:rsidP="00451070">
      <w:pPr>
        <w:rPr>
          <w:rFonts w:eastAsia="Calibri"/>
          <w:b/>
          <w:lang w:eastAsia="en-US"/>
        </w:rPr>
      </w:pPr>
      <w:r>
        <w:rPr>
          <w:rFonts w:eastAsia="Calibri"/>
          <w:b/>
          <w:lang w:eastAsia="en-US"/>
        </w:rPr>
        <w:t xml:space="preserve">E </w:t>
      </w:r>
      <w:r w:rsidR="00170905" w:rsidRPr="00451070">
        <w:rPr>
          <w:rFonts w:eastAsia="Calibri"/>
          <w:b/>
          <w:lang w:eastAsia="en-US"/>
        </w:rPr>
        <w:t>Particularités de mise en œuvre :</w:t>
      </w:r>
    </w:p>
    <w:p w:rsidR="00170905" w:rsidRPr="00F73059" w:rsidRDefault="00BE2CAB" w:rsidP="00170905">
      <w:pPr>
        <w:spacing w:after="0" w:line="240" w:lineRule="auto"/>
        <w:jc w:val="both"/>
        <w:rPr>
          <w:rFonts w:eastAsia="Calibri" w:cs="Times New Roman"/>
          <w:sz w:val="20"/>
          <w:szCs w:val="20"/>
          <w:lang w:eastAsia="en-US"/>
        </w:rPr>
      </w:pPr>
      <w:r>
        <w:rPr>
          <w:rFonts w:eastAsia="Calibri" w:cs="Times New Roman"/>
          <w:sz w:val="20"/>
          <w:szCs w:val="20"/>
          <w:lang w:eastAsia="en-US"/>
        </w:rPr>
        <w:t>L’ALE</w:t>
      </w:r>
      <w:r w:rsidR="00170905" w:rsidRPr="00F73059">
        <w:rPr>
          <w:rFonts w:eastAsia="Calibri" w:cs="Times New Roman"/>
          <w:sz w:val="20"/>
          <w:szCs w:val="20"/>
          <w:lang w:eastAsia="en-US"/>
        </w:rPr>
        <w:t>, qui agit en tant que Maître d’Ouvrage Délégué pour l’ensemble des moyens mi</w:t>
      </w:r>
      <w:r>
        <w:rPr>
          <w:rFonts w:eastAsia="Calibri" w:cs="Times New Roman"/>
          <w:sz w:val="20"/>
          <w:szCs w:val="20"/>
          <w:lang w:eastAsia="en-US"/>
        </w:rPr>
        <w:t xml:space="preserve">s à sa disposition, </w:t>
      </w:r>
      <w:r w:rsidR="00170905" w:rsidRPr="00F73059">
        <w:rPr>
          <w:rFonts w:eastAsia="Calibri" w:cs="Times New Roman"/>
          <w:sz w:val="20"/>
          <w:szCs w:val="20"/>
          <w:lang w:eastAsia="en-US"/>
        </w:rPr>
        <w:t xml:space="preserve">reçoit pour ce faire des moyens destinés à sa rémunération et au fonctionnement de la structure projet, ainsi que des Fonds Délégués  qui permettront les investissements nécessitant des acquisitions locales, ou le paiement au résultat des services environnementaux. </w:t>
      </w:r>
    </w:p>
    <w:p w:rsidR="00170905" w:rsidRPr="00F73059" w:rsidRDefault="00170905" w:rsidP="00170905">
      <w:pPr>
        <w:spacing w:after="0" w:line="240" w:lineRule="auto"/>
        <w:jc w:val="both"/>
        <w:rPr>
          <w:rFonts w:eastAsia="Calibri" w:cs="Times New Roman"/>
          <w:sz w:val="20"/>
          <w:szCs w:val="20"/>
          <w:lang w:eastAsia="en-US"/>
        </w:rPr>
      </w:pPr>
    </w:p>
    <w:p w:rsidR="00170905" w:rsidRDefault="00170905" w:rsidP="00170905">
      <w:pPr>
        <w:spacing w:after="0" w:line="240" w:lineRule="auto"/>
        <w:rPr>
          <w:rFonts w:eastAsia="Calibri" w:cs="Times New Roman"/>
          <w:sz w:val="20"/>
          <w:szCs w:val="20"/>
          <w:lang w:eastAsia="en-US"/>
        </w:rPr>
      </w:pPr>
      <w:r w:rsidRPr="00F73059">
        <w:rPr>
          <w:rFonts w:eastAsia="Calibri" w:cs="Times New Roman"/>
          <w:sz w:val="20"/>
          <w:szCs w:val="20"/>
          <w:lang w:eastAsia="en-US"/>
        </w:rPr>
        <w:lastRenderedPageBreak/>
        <w:t xml:space="preserve">La répartition des fonds correspondant affectés au projet est détaillée dans le budget figurant au paragraphe 15 du présent contrat. La répartition des responsabilités de mise en œuvre sur les activités est précisée au paragraphe 10 ci-dessus.  </w:t>
      </w:r>
    </w:p>
    <w:p w:rsidR="00451070" w:rsidRPr="00F73059" w:rsidRDefault="00451070" w:rsidP="00170905">
      <w:pPr>
        <w:spacing w:after="0" w:line="240" w:lineRule="auto"/>
        <w:rPr>
          <w:rFonts w:eastAsia="Calibri" w:cs="Times New Roman"/>
          <w:sz w:val="20"/>
          <w:szCs w:val="20"/>
          <w:lang w:eastAsia="en-US"/>
        </w:rPr>
      </w:pPr>
    </w:p>
    <w:p w:rsidR="00986D23" w:rsidRDefault="00986D23">
      <w:pPr>
        <w:spacing w:after="160" w:line="259" w:lineRule="auto"/>
        <w:rPr>
          <w:rFonts w:eastAsia="Calibri"/>
          <w:b/>
          <w:lang w:eastAsia="en-US"/>
        </w:rPr>
      </w:pPr>
      <w:r>
        <w:rPr>
          <w:rFonts w:eastAsia="Calibri"/>
          <w:b/>
          <w:lang w:eastAsia="en-US"/>
        </w:rPr>
        <w:br w:type="page"/>
      </w:r>
    </w:p>
    <w:p w:rsidR="00170905" w:rsidRPr="00451070" w:rsidRDefault="00451070" w:rsidP="00451070">
      <w:pPr>
        <w:rPr>
          <w:rFonts w:eastAsia="Calibri"/>
          <w:b/>
          <w:lang w:eastAsia="en-US"/>
        </w:rPr>
      </w:pPr>
      <w:r>
        <w:rPr>
          <w:rFonts w:eastAsia="Calibri"/>
          <w:b/>
          <w:lang w:eastAsia="en-US"/>
        </w:rPr>
        <w:lastRenderedPageBreak/>
        <w:t xml:space="preserve">F </w:t>
      </w:r>
      <w:r w:rsidR="00170905" w:rsidRPr="00451070">
        <w:rPr>
          <w:rFonts w:eastAsia="Calibri"/>
          <w:b/>
          <w:lang w:eastAsia="en-US"/>
        </w:rPr>
        <w:t>Modalités de mise en œuvre :</w:t>
      </w:r>
    </w:p>
    <w:p w:rsidR="00170905" w:rsidRPr="00F73059" w:rsidRDefault="00170905" w:rsidP="00BE2CAB">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Pour </w:t>
      </w:r>
      <w:r w:rsidR="00BE2CAB">
        <w:rPr>
          <w:rFonts w:eastAsia="Calibri" w:cs="Times New Roman"/>
          <w:sz w:val="20"/>
          <w:szCs w:val="20"/>
          <w:lang w:eastAsia="en-US"/>
        </w:rPr>
        <w:t xml:space="preserve">mettre en œuvre ce projet l’ALE, </w:t>
      </w:r>
      <w:r w:rsidRPr="00F73059">
        <w:rPr>
          <w:rFonts w:eastAsia="Calibri" w:cs="Times New Roman"/>
          <w:sz w:val="20"/>
          <w:szCs w:val="20"/>
          <w:lang w:eastAsia="en-US"/>
        </w:rPr>
        <w:t>met en place une équipe entièrement dédiée composée d’un</w:t>
      </w:r>
      <w:r w:rsidR="00BE2CAB">
        <w:rPr>
          <w:rFonts w:eastAsia="Calibri" w:cs="Times New Roman"/>
          <w:sz w:val="20"/>
          <w:szCs w:val="20"/>
          <w:lang w:eastAsia="en-US"/>
        </w:rPr>
        <w:t>e équipe de direction, basée à Nioki</w:t>
      </w:r>
      <w:r w:rsidRPr="00F73059">
        <w:rPr>
          <w:rFonts w:eastAsia="Calibri" w:cs="Times New Roman"/>
          <w:sz w:val="20"/>
          <w:szCs w:val="20"/>
          <w:lang w:eastAsia="en-US"/>
        </w:rPr>
        <w:t xml:space="preserve"> et de quatre équipes de territoire, basées dans les territoires concernés, </w:t>
      </w:r>
      <w:r w:rsidR="00BE2CAB">
        <w:rPr>
          <w:rFonts w:eastAsia="Calibri" w:cs="Times New Roman"/>
          <w:sz w:val="20"/>
          <w:szCs w:val="20"/>
          <w:lang w:eastAsia="en-US"/>
        </w:rPr>
        <w:t>Inongo, Kiri, Kutu et Oshwe.</w:t>
      </w:r>
    </w:p>
    <w:p w:rsidR="00451070" w:rsidRDefault="00451070" w:rsidP="00451070">
      <w:pPr>
        <w:rPr>
          <w:rFonts w:eastAsia="Calibri"/>
          <w:b/>
          <w:lang w:eastAsia="en-US"/>
        </w:rPr>
      </w:pPr>
    </w:p>
    <w:p w:rsidR="00170905" w:rsidRPr="00451070" w:rsidRDefault="00451070" w:rsidP="00451070">
      <w:pPr>
        <w:rPr>
          <w:rFonts w:eastAsia="Calibri"/>
          <w:b/>
          <w:lang w:eastAsia="en-US"/>
        </w:rPr>
      </w:pPr>
      <w:r>
        <w:rPr>
          <w:rFonts w:eastAsia="Calibri"/>
          <w:b/>
          <w:lang w:eastAsia="en-US"/>
        </w:rPr>
        <w:t xml:space="preserve">G </w:t>
      </w:r>
      <w:r w:rsidR="00170905" w:rsidRPr="00451070">
        <w:rPr>
          <w:rFonts w:eastAsia="Calibri"/>
          <w:b/>
          <w:lang w:eastAsia="en-US"/>
        </w:rPr>
        <w:t>Le Personnel clé du MOD</w:t>
      </w:r>
    </w:p>
    <w:p w:rsidR="00170905" w:rsidRPr="00F73059" w:rsidRDefault="00170905" w:rsidP="00170905">
      <w:pPr>
        <w:spacing w:after="0" w:line="240" w:lineRule="auto"/>
        <w:jc w:val="both"/>
        <w:rPr>
          <w:rFonts w:eastAsia="Calibri" w:cs="Times New Roman"/>
          <w:b/>
          <w:sz w:val="20"/>
          <w:szCs w:val="20"/>
          <w:u w:val="single"/>
          <w:lang w:eastAsia="en-US"/>
        </w:rPr>
      </w:pPr>
    </w:p>
    <w:p w:rsidR="00170905" w:rsidRPr="00F73059" w:rsidRDefault="00170905" w:rsidP="00170905">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Le personnel clé du MOD est composée du chef de projet  et d’un chef de projet local adjoint. Les deux responsables du projet partagent les fonctions de management (organisation, planification, approvisionnement, supervision technique et financière), sous la responsabilité du chef de projet durant sa période d’exercice, lequel a l’objectif de former le chef de projet adjoint. Le chef de projet est en particulier chargé d’assurer la supervision des innovations techniques introduites par le projet, d’organiser les formations nécessaires, de concevoir les outils méthodologiques, de former le personnel et de suivre le résultat de ces innovations.</w:t>
      </w:r>
    </w:p>
    <w:p w:rsidR="00170905" w:rsidRPr="00F73059" w:rsidRDefault="00170905" w:rsidP="00170905">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 </w:t>
      </w:r>
    </w:p>
    <w:p w:rsidR="00170905" w:rsidRPr="00F73059" w:rsidRDefault="00170905" w:rsidP="00170905">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Le chef de projet adjoint, outre les tâches générales de management, a la responsabilité d’assurer le suivi socio-environnemental (sauvegardes environnementales) de l’ensemble des projets. Il examine pour ce faire les co</w:t>
      </w:r>
      <w:r w:rsidR="00BE2CAB">
        <w:rPr>
          <w:rFonts w:eastAsia="Calibri" w:cs="Times New Roman"/>
          <w:sz w:val="20"/>
          <w:szCs w:val="20"/>
          <w:lang w:eastAsia="en-US"/>
        </w:rPr>
        <w:t>ntrats de mise en œuvre des PDD</w:t>
      </w:r>
      <w:r w:rsidR="0039694C">
        <w:rPr>
          <w:rFonts w:eastAsia="Calibri" w:cs="Times New Roman"/>
          <w:sz w:val="20"/>
          <w:szCs w:val="20"/>
          <w:lang w:eastAsia="en-US"/>
        </w:rPr>
        <w:t xml:space="preserve"> et PSG</w:t>
      </w:r>
      <w:r w:rsidRPr="00F73059">
        <w:rPr>
          <w:rFonts w:eastAsia="Calibri" w:cs="Times New Roman"/>
          <w:sz w:val="20"/>
          <w:szCs w:val="20"/>
          <w:lang w:eastAsia="en-US"/>
        </w:rPr>
        <w:t>, remplit avec les chefs de base territoriaux les grilles d’alarme, qu’il analyse et transmet à son homologue au sein de l’</w:t>
      </w:r>
      <w:r w:rsidR="00555F5D">
        <w:rPr>
          <w:rFonts w:eastAsia="Calibri" w:cs="Times New Roman"/>
          <w:sz w:val="20"/>
          <w:szCs w:val="20"/>
          <w:lang w:eastAsia="en-US"/>
        </w:rPr>
        <w:t>UC-PIF</w:t>
      </w:r>
      <w:r w:rsidRPr="00F73059">
        <w:rPr>
          <w:rFonts w:eastAsia="Calibri" w:cs="Times New Roman"/>
          <w:sz w:val="20"/>
          <w:szCs w:val="20"/>
          <w:lang w:eastAsia="en-US"/>
        </w:rPr>
        <w:t xml:space="preserve"> et prend toutes les dispositions d’étude et d’atténuation des impacts nécessaires.</w:t>
      </w:r>
    </w:p>
    <w:p w:rsidR="00170905" w:rsidRPr="00F73059" w:rsidRDefault="00170905" w:rsidP="00170905">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 </w:t>
      </w:r>
    </w:p>
    <w:p w:rsidR="00170905" w:rsidRPr="00F73059" w:rsidRDefault="00170905" w:rsidP="00170905">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L’équipe centrale comprend également deux experts chargés de superviser les équipes de territoire, de fournir les formations nécessaires et de rédiger les rapports d’activités correspondant à leurs compétences.</w:t>
      </w:r>
    </w:p>
    <w:p w:rsidR="00170905" w:rsidRPr="00F73059" w:rsidRDefault="00170905" w:rsidP="002E3A02">
      <w:pPr>
        <w:numPr>
          <w:ilvl w:val="3"/>
          <w:numId w:val="45"/>
        </w:numPr>
        <w:tabs>
          <w:tab w:val="left" w:pos="993"/>
        </w:tabs>
        <w:spacing w:before="240" w:after="0" w:line="240" w:lineRule="auto"/>
        <w:ind w:left="993" w:hanging="284"/>
        <w:jc w:val="both"/>
        <w:rPr>
          <w:rFonts w:eastAsia="Calibri" w:cs="Times New Roman"/>
          <w:sz w:val="20"/>
          <w:szCs w:val="20"/>
          <w:lang w:eastAsia="en-US"/>
        </w:rPr>
      </w:pPr>
      <w:r w:rsidRPr="00F73059">
        <w:rPr>
          <w:rFonts w:eastAsia="Calibri" w:cs="Times New Roman"/>
          <w:sz w:val="20"/>
          <w:szCs w:val="20"/>
          <w:u w:val="single"/>
          <w:lang w:eastAsia="en-US"/>
        </w:rPr>
        <w:t>L’expert en suivi évaluation dont MRV</w:t>
      </w:r>
      <w:r w:rsidRPr="00F73059">
        <w:rPr>
          <w:rFonts w:eastAsia="Calibri" w:cs="Times New Roman"/>
          <w:sz w:val="20"/>
          <w:szCs w:val="20"/>
          <w:lang w:eastAsia="en-US"/>
        </w:rPr>
        <w:t xml:space="preserve"> supervise les bases de données créées par le projet : base cartographique, contrats de mise en œuvre des </w:t>
      </w:r>
      <w:r w:rsidR="00BE2CAB">
        <w:rPr>
          <w:rFonts w:eastAsia="Calibri" w:cs="Times New Roman"/>
          <w:sz w:val="20"/>
          <w:szCs w:val="20"/>
          <w:lang w:eastAsia="en-US"/>
        </w:rPr>
        <w:t>PDD</w:t>
      </w:r>
      <w:r w:rsidR="0039694C">
        <w:rPr>
          <w:rFonts w:eastAsia="Calibri" w:cs="Times New Roman"/>
          <w:sz w:val="20"/>
          <w:szCs w:val="20"/>
          <w:lang w:eastAsia="en-US"/>
        </w:rPr>
        <w:t xml:space="preserve"> et PSG</w:t>
      </w:r>
      <w:r w:rsidRPr="00F73059">
        <w:rPr>
          <w:rFonts w:eastAsia="Calibri" w:cs="Times New Roman"/>
          <w:sz w:val="20"/>
          <w:szCs w:val="20"/>
          <w:lang w:eastAsia="en-US"/>
        </w:rPr>
        <w:t>, base des indicateurs de résultat, et il entretient la relation avec la DIAF pour le suivi des taux de déforestation des différents sous projets. Il est en particulier chargé d’assurer l’évaluation des contrats de paiement au résultat des services environnementaux convenus avec les porteurs de sous projet, dont les CLD, les fermiers, les entreprises… Il établit pour ce faire les fiches d’enregistrement, renseignées d’abord par les porteurs eux-mêmes, puis vérifiées sur échantillon par ses homologues dans les bases de territoire. Il déclenche les paiements correspondants, effectués par les services comptables et logistiques du projet (voir ci-après). Il supervise les modalités de paiement classiques et innovantes (téléphonie ?) les plus adaptées aux circonstances locales.</w:t>
      </w:r>
    </w:p>
    <w:p w:rsidR="00170905" w:rsidRPr="00F73059" w:rsidRDefault="00170905" w:rsidP="00170905">
      <w:pPr>
        <w:tabs>
          <w:tab w:val="left" w:pos="993"/>
        </w:tabs>
        <w:spacing w:before="240" w:after="0" w:line="240" w:lineRule="auto"/>
        <w:ind w:left="993"/>
        <w:jc w:val="both"/>
        <w:rPr>
          <w:rFonts w:eastAsia="Calibri" w:cs="Times New Roman"/>
          <w:sz w:val="20"/>
          <w:szCs w:val="20"/>
          <w:lang w:eastAsia="en-US"/>
        </w:rPr>
      </w:pPr>
      <w:r w:rsidRPr="00F73059">
        <w:rPr>
          <w:rFonts w:eastAsia="Calibri" w:cs="Times New Roman"/>
          <w:sz w:val="20"/>
          <w:szCs w:val="20"/>
          <w:lang w:eastAsia="en-US"/>
        </w:rPr>
        <w:t xml:space="preserve">L’expert en suivi évaluation prépare les réunions du Comité de Pilotage et en rédige les compte rendus. Il organise et participe aux missions semestrielles d’évaluation des responsables provinciaux et de district des services techniques qui sert de base aux réunions de pilotage. </w:t>
      </w:r>
    </w:p>
    <w:p w:rsidR="00170905" w:rsidRPr="00F73059" w:rsidRDefault="00170905" w:rsidP="002E3A02">
      <w:pPr>
        <w:numPr>
          <w:ilvl w:val="3"/>
          <w:numId w:val="45"/>
        </w:numPr>
        <w:tabs>
          <w:tab w:val="left" w:pos="993"/>
        </w:tabs>
        <w:spacing w:before="240" w:after="0" w:line="240" w:lineRule="auto"/>
        <w:ind w:left="993" w:hanging="284"/>
        <w:jc w:val="both"/>
        <w:rPr>
          <w:rFonts w:eastAsia="Calibri" w:cs="Times New Roman"/>
          <w:sz w:val="20"/>
          <w:szCs w:val="20"/>
          <w:lang w:eastAsia="en-US"/>
        </w:rPr>
      </w:pPr>
      <w:r w:rsidRPr="00F73059">
        <w:rPr>
          <w:rFonts w:eastAsia="Calibri" w:cs="Times New Roman"/>
          <w:sz w:val="20"/>
          <w:szCs w:val="20"/>
          <w:u w:val="single"/>
          <w:lang w:eastAsia="en-US"/>
        </w:rPr>
        <w:t>L’expert en Aménagement du Territoire</w:t>
      </w:r>
      <w:r w:rsidR="0039694C">
        <w:rPr>
          <w:rFonts w:eastAsia="Calibri" w:cs="Times New Roman"/>
          <w:sz w:val="20"/>
          <w:szCs w:val="20"/>
          <w:u w:val="single"/>
          <w:lang w:eastAsia="en-US"/>
        </w:rPr>
        <w:t>, SIG</w:t>
      </w:r>
      <w:r w:rsidRPr="00F73059">
        <w:rPr>
          <w:rFonts w:eastAsia="Calibri" w:cs="Times New Roman"/>
          <w:sz w:val="20"/>
          <w:szCs w:val="20"/>
          <w:u w:val="single"/>
          <w:lang w:eastAsia="en-US"/>
        </w:rPr>
        <w:t>, MRV et PSE :</w:t>
      </w:r>
      <w:r w:rsidRPr="00F73059">
        <w:rPr>
          <w:rFonts w:eastAsia="Calibri" w:cs="Times New Roman"/>
          <w:sz w:val="20"/>
          <w:szCs w:val="20"/>
          <w:lang w:eastAsia="en-US"/>
        </w:rPr>
        <w:t xml:space="preserve"> il coordonne le travail des animateurs de territoire et des consultants recrutés pour délimiter les terroirs et créer les Comités Locaux de Développement puis pour appuyer l’élaboration des Plans de Gestion des Ressources Naturelles, puis les contrats de mise en œuvre de ces Plans. </w:t>
      </w:r>
    </w:p>
    <w:p w:rsidR="00170905" w:rsidRPr="00F73059" w:rsidRDefault="00170905" w:rsidP="00170905">
      <w:pPr>
        <w:tabs>
          <w:tab w:val="left" w:pos="993"/>
        </w:tabs>
        <w:spacing w:before="240" w:after="0" w:line="240" w:lineRule="auto"/>
        <w:jc w:val="both"/>
        <w:rPr>
          <w:rFonts w:eastAsia="Calibri" w:cs="Times New Roman"/>
          <w:sz w:val="20"/>
          <w:szCs w:val="20"/>
          <w:lang w:eastAsia="en-US"/>
        </w:rPr>
      </w:pPr>
      <w:r w:rsidRPr="00F73059">
        <w:rPr>
          <w:rFonts w:eastAsia="Calibri" w:cs="Times New Roman"/>
          <w:sz w:val="20"/>
          <w:szCs w:val="20"/>
          <w:lang w:eastAsia="en-US"/>
        </w:rPr>
        <w:t>L’équipe du MOD organise le trav</w:t>
      </w:r>
      <w:r w:rsidR="00BE2CAB">
        <w:rPr>
          <w:rFonts w:eastAsia="Calibri" w:cs="Times New Roman"/>
          <w:sz w:val="20"/>
          <w:szCs w:val="20"/>
          <w:lang w:eastAsia="en-US"/>
        </w:rPr>
        <w:t>ail des tracteurs</w:t>
      </w:r>
      <w:r w:rsidRPr="00F73059">
        <w:rPr>
          <w:rFonts w:eastAsia="Calibri" w:cs="Times New Roman"/>
          <w:sz w:val="20"/>
          <w:szCs w:val="20"/>
          <w:lang w:eastAsia="en-US"/>
        </w:rPr>
        <w:t xml:space="preserve"> du projet qu’elle répartit entre les territoires. Elle recrute avec les membres du personnel technique et d’appui suivant les Directives de la Banque mondiale en la matière. </w:t>
      </w:r>
    </w:p>
    <w:p w:rsidR="00170905" w:rsidRPr="00F73059" w:rsidRDefault="00170905" w:rsidP="00170905">
      <w:pPr>
        <w:tabs>
          <w:tab w:val="left" w:pos="993"/>
        </w:tabs>
        <w:spacing w:before="240" w:after="0" w:line="240" w:lineRule="auto"/>
        <w:rPr>
          <w:rFonts w:eastAsia="Calibri" w:cs="Times New Roman"/>
          <w:sz w:val="20"/>
          <w:szCs w:val="20"/>
          <w:lang w:eastAsia="en-US"/>
        </w:rPr>
      </w:pPr>
      <w:r w:rsidRPr="00F73059">
        <w:rPr>
          <w:rFonts w:eastAsia="Calibri" w:cs="Times New Roman"/>
          <w:sz w:val="20"/>
          <w:szCs w:val="20"/>
          <w:lang w:eastAsia="en-US"/>
        </w:rPr>
        <w:t>A la fin du projet, l’ensemble des équipements acquis ou construits par le projet sont remis à l’</w:t>
      </w:r>
      <w:r w:rsidR="00555F5D">
        <w:rPr>
          <w:rFonts w:eastAsia="Calibri" w:cs="Times New Roman"/>
          <w:sz w:val="20"/>
          <w:szCs w:val="20"/>
          <w:lang w:eastAsia="en-US"/>
        </w:rPr>
        <w:t>UC-PIF</w:t>
      </w:r>
      <w:r w:rsidRPr="00F73059">
        <w:rPr>
          <w:rFonts w:eastAsia="Calibri" w:cs="Times New Roman"/>
          <w:sz w:val="20"/>
          <w:szCs w:val="20"/>
          <w:lang w:eastAsia="en-US"/>
        </w:rPr>
        <w:t xml:space="preserve"> qui en dispose pour assurer la pérennité des activités. </w:t>
      </w:r>
    </w:p>
    <w:p w:rsidR="00170905" w:rsidRPr="00F73059" w:rsidRDefault="00555F5D" w:rsidP="00170905">
      <w:pPr>
        <w:tabs>
          <w:tab w:val="left" w:pos="993"/>
        </w:tabs>
        <w:spacing w:before="240" w:after="0" w:line="240" w:lineRule="auto"/>
        <w:jc w:val="both"/>
        <w:rPr>
          <w:rFonts w:eastAsia="Calibri" w:cs="Times New Roman"/>
          <w:sz w:val="20"/>
          <w:szCs w:val="20"/>
          <w:lang w:eastAsia="en-US"/>
        </w:rPr>
      </w:pPr>
      <w:r>
        <w:rPr>
          <w:rFonts w:eastAsia="Calibri" w:cs="Times New Roman"/>
          <w:sz w:val="20"/>
          <w:szCs w:val="20"/>
          <w:lang w:eastAsia="en-US"/>
        </w:rPr>
        <w:t>Ces Termes de Reference sont à compléter pour traiter d’autres activités, notamment celle de la pêche.</w:t>
      </w:r>
    </w:p>
    <w:p w:rsidR="00170905" w:rsidRPr="00F73059" w:rsidRDefault="00170905" w:rsidP="00170905">
      <w:pPr>
        <w:tabs>
          <w:tab w:val="left" w:pos="993"/>
        </w:tabs>
        <w:spacing w:before="240" w:after="0" w:line="240" w:lineRule="auto"/>
        <w:rPr>
          <w:rFonts w:eastAsia="Calibri" w:cs="Times New Roman"/>
          <w:sz w:val="20"/>
          <w:szCs w:val="20"/>
          <w:lang w:eastAsia="en-US"/>
        </w:rPr>
      </w:pPr>
      <w:r w:rsidRPr="00F73059">
        <w:rPr>
          <w:rFonts w:eastAsia="Calibri" w:cs="Times New Roman"/>
          <w:b/>
          <w:sz w:val="20"/>
          <w:szCs w:val="20"/>
          <w:u w:val="single"/>
          <w:lang w:eastAsia="en-US"/>
        </w:rPr>
        <w:t xml:space="preserve">Paiements pour services environnementaux : </w:t>
      </w:r>
      <w:r w:rsidRPr="00F73059">
        <w:rPr>
          <w:rFonts w:eastAsia="Calibri" w:cs="Times New Roman"/>
          <w:sz w:val="20"/>
          <w:szCs w:val="20"/>
          <w:lang w:eastAsia="en-US"/>
        </w:rPr>
        <w:t>ce volet constitue une innovation importante du projet. Elle relèvera largement de l’expérimentation,  à plusieurs niveaux et les termes de l’expérimentation, ouverts, seront convenus avec l’</w:t>
      </w:r>
      <w:r w:rsidR="00555F5D">
        <w:rPr>
          <w:rFonts w:eastAsia="Calibri" w:cs="Times New Roman"/>
          <w:sz w:val="20"/>
          <w:szCs w:val="20"/>
          <w:lang w:eastAsia="en-US"/>
        </w:rPr>
        <w:t>UC-PIF</w:t>
      </w:r>
      <w:r w:rsidRPr="00F73059">
        <w:rPr>
          <w:rFonts w:eastAsia="Calibri" w:cs="Times New Roman"/>
          <w:sz w:val="20"/>
          <w:szCs w:val="20"/>
          <w:lang w:eastAsia="en-US"/>
        </w:rPr>
        <w:t xml:space="preserve"> et ils pourront évoluer en fonction de l’expérience. Les variables sont :</w:t>
      </w:r>
    </w:p>
    <w:p w:rsidR="00170905" w:rsidRPr="00F73059" w:rsidRDefault="00170905" w:rsidP="002E3A02">
      <w:pPr>
        <w:numPr>
          <w:ilvl w:val="0"/>
          <w:numId w:val="45"/>
        </w:numPr>
        <w:tabs>
          <w:tab w:val="left" w:pos="993"/>
        </w:tabs>
        <w:spacing w:before="240" w:after="0" w:line="240" w:lineRule="auto"/>
        <w:jc w:val="both"/>
        <w:rPr>
          <w:rFonts w:eastAsia="Calibri" w:cs="Times New Roman"/>
          <w:sz w:val="20"/>
          <w:szCs w:val="20"/>
          <w:lang w:eastAsia="en-US"/>
        </w:rPr>
      </w:pPr>
      <w:r w:rsidRPr="00F73059">
        <w:rPr>
          <w:rFonts w:eastAsia="Calibri" w:cs="Times New Roman"/>
          <w:sz w:val="20"/>
          <w:szCs w:val="20"/>
          <w:u w:val="single"/>
          <w:lang w:eastAsia="en-US"/>
        </w:rPr>
        <w:t>Le niveau des prix des services</w:t>
      </w:r>
      <w:r w:rsidRPr="00F73059">
        <w:rPr>
          <w:rFonts w:eastAsia="Calibri" w:cs="Times New Roman"/>
          <w:sz w:val="20"/>
          <w:szCs w:val="20"/>
          <w:lang w:eastAsia="en-US"/>
        </w:rPr>
        <w:t xml:space="preserve">. Des indications sont données par le budget en la matière. Les prix retenus feront l’objet d’une note d’analyse spécifique de l’ALE mais la logique est de démarrer sur la base des prix </w:t>
      </w:r>
      <w:r w:rsidRPr="00F73059">
        <w:rPr>
          <w:rFonts w:eastAsia="Calibri" w:cs="Times New Roman"/>
          <w:sz w:val="20"/>
          <w:szCs w:val="20"/>
          <w:lang w:eastAsia="en-US"/>
        </w:rPr>
        <w:lastRenderedPageBreak/>
        <w:t>utilisés par le projet pilote de WWF dans le Bas Congo, qui ont été retenus dans le budget. L’</w:t>
      </w:r>
      <w:r w:rsidR="00555F5D">
        <w:rPr>
          <w:rFonts w:eastAsia="Calibri" w:cs="Times New Roman"/>
          <w:sz w:val="20"/>
          <w:szCs w:val="20"/>
          <w:lang w:eastAsia="en-US"/>
        </w:rPr>
        <w:t>UC-PIF</w:t>
      </w:r>
      <w:r w:rsidRPr="00F73059">
        <w:rPr>
          <w:rFonts w:eastAsia="Calibri" w:cs="Times New Roman"/>
          <w:sz w:val="20"/>
          <w:szCs w:val="20"/>
          <w:lang w:eastAsia="en-US"/>
        </w:rPr>
        <w:t xml:space="preserve"> organisera régulièrement et d’abord au lancement du projet une réflexion partagée avec l’ensemble des ALE coordonnées par l’</w:t>
      </w:r>
      <w:r w:rsidR="00555F5D">
        <w:rPr>
          <w:rFonts w:eastAsia="Calibri" w:cs="Times New Roman"/>
          <w:sz w:val="20"/>
          <w:szCs w:val="20"/>
          <w:lang w:eastAsia="en-US"/>
        </w:rPr>
        <w:t>UC-PIF</w:t>
      </w:r>
      <w:r w:rsidRPr="00F73059">
        <w:rPr>
          <w:rFonts w:eastAsia="Calibri" w:cs="Times New Roman"/>
          <w:sz w:val="20"/>
          <w:szCs w:val="20"/>
          <w:lang w:eastAsia="en-US"/>
        </w:rPr>
        <w:t xml:space="preserve">, y compris dans le Centre /Est, le Bas Congo  et autres projets pilotes pour tenter une harmonisation mais aussi pour examiner des barèmes adaptés aux différents types de services ; </w:t>
      </w:r>
    </w:p>
    <w:p w:rsidR="00170905" w:rsidRPr="00F73059" w:rsidRDefault="00170905" w:rsidP="002E3A02">
      <w:pPr>
        <w:numPr>
          <w:ilvl w:val="0"/>
          <w:numId w:val="45"/>
        </w:numPr>
        <w:tabs>
          <w:tab w:val="left" w:pos="993"/>
        </w:tabs>
        <w:spacing w:before="240" w:after="0" w:line="240" w:lineRule="auto"/>
        <w:jc w:val="both"/>
        <w:rPr>
          <w:rFonts w:eastAsia="Calibri" w:cs="Times New Roman"/>
          <w:sz w:val="20"/>
          <w:szCs w:val="20"/>
          <w:lang w:eastAsia="en-US"/>
        </w:rPr>
      </w:pPr>
      <w:r w:rsidRPr="00F73059">
        <w:rPr>
          <w:rFonts w:eastAsia="Calibri" w:cs="Times New Roman"/>
          <w:sz w:val="20"/>
          <w:szCs w:val="20"/>
          <w:u w:val="single"/>
          <w:lang w:eastAsia="en-US"/>
        </w:rPr>
        <w:t>Le choix entre paiement en nature ou en espèce</w:t>
      </w:r>
      <w:r w:rsidRPr="00F73059">
        <w:rPr>
          <w:rFonts w:eastAsia="Calibri" w:cs="Times New Roman"/>
          <w:sz w:val="20"/>
          <w:szCs w:val="20"/>
          <w:lang w:eastAsia="en-US"/>
        </w:rPr>
        <w:t xml:space="preserve">, l’avance d’une partie des paiements pour couvrir des investissements initiaux etc. et l’articulation entre ceux-ci et les PSE dans les contrats avec les bénéficiaires ; </w:t>
      </w:r>
    </w:p>
    <w:p w:rsidR="00170905" w:rsidRPr="00F73059" w:rsidRDefault="00170905" w:rsidP="002E3A02">
      <w:pPr>
        <w:numPr>
          <w:ilvl w:val="0"/>
          <w:numId w:val="45"/>
        </w:numPr>
        <w:tabs>
          <w:tab w:val="left" w:pos="993"/>
        </w:tabs>
        <w:spacing w:before="240" w:after="0" w:line="240" w:lineRule="auto"/>
        <w:jc w:val="both"/>
        <w:rPr>
          <w:rFonts w:eastAsia="Calibri" w:cs="Times New Roman"/>
          <w:sz w:val="20"/>
          <w:szCs w:val="20"/>
          <w:lang w:eastAsia="en-US"/>
        </w:rPr>
      </w:pPr>
      <w:r w:rsidRPr="00F73059">
        <w:rPr>
          <w:rFonts w:eastAsia="Calibri" w:cs="Times New Roman"/>
          <w:sz w:val="20"/>
          <w:szCs w:val="20"/>
          <w:u w:val="single"/>
          <w:lang w:eastAsia="en-US"/>
        </w:rPr>
        <w:t>Les modalités de paiement</w:t>
      </w:r>
      <w:r w:rsidRPr="00F73059">
        <w:rPr>
          <w:rFonts w:eastAsia="Calibri" w:cs="Times New Roman"/>
          <w:sz w:val="20"/>
          <w:szCs w:val="20"/>
          <w:lang w:eastAsia="en-US"/>
        </w:rPr>
        <w:t xml:space="preserve"> : en direct, par des animateurs qui se déplacent le long des routes pour le faire, comme il est procédé pour la rémunération du cantonnage manuel, par voie téléphonique etc. On s’appuiera sur l’expérience du projet de reboisement de WWF en la matière dans le Nord Kivu, ainsi que sur celle du projet pilote du Bas Congo </w:t>
      </w:r>
    </w:p>
    <w:p w:rsidR="00986D23" w:rsidRDefault="00170905" w:rsidP="002E3A02">
      <w:pPr>
        <w:numPr>
          <w:ilvl w:val="0"/>
          <w:numId w:val="45"/>
        </w:numPr>
        <w:tabs>
          <w:tab w:val="left" w:pos="993"/>
        </w:tabs>
        <w:spacing w:before="240" w:after="0" w:line="240" w:lineRule="auto"/>
        <w:rPr>
          <w:rFonts w:eastAsia="Calibri" w:cs="Times New Roman"/>
          <w:sz w:val="20"/>
          <w:szCs w:val="20"/>
          <w:lang w:eastAsia="en-US"/>
        </w:rPr>
      </w:pPr>
      <w:r w:rsidRPr="00F73059">
        <w:rPr>
          <w:rFonts w:eastAsia="Calibri" w:cs="Times New Roman"/>
          <w:sz w:val="20"/>
          <w:szCs w:val="20"/>
          <w:u w:val="single"/>
          <w:lang w:eastAsia="en-US"/>
        </w:rPr>
        <w:t>La prise en compte de la qualité des services rendus</w:t>
      </w:r>
      <w:r w:rsidRPr="00F73059">
        <w:rPr>
          <w:rFonts w:eastAsia="Calibri" w:cs="Times New Roman"/>
          <w:sz w:val="20"/>
          <w:szCs w:val="20"/>
          <w:lang w:eastAsia="en-US"/>
        </w:rPr>
        <w:t xml:space="preserve"> et de l’entretien des investissements. Le remplacement des manquants dans une plantation, les travaux effectués dans une mise en défens, comme les dégâts de la foudre dans une plantation etc.</w:t>
      </w:r>
      <w:r w:rsidR="00BE2CAB">
        <w:rPr>
          <w:rFonts w:eastAsia="Calibri" w:cs="Times New Roman"/>
          <w:sz w:val="20"/>
          <w:szCs w:val="20"/>
          <w:lang w:eastAsia="en-US"/>
        </w:rPr>
        <w:t xml:space="preserve"> </w:t>
      </w:r>
      <w:r w:rsidRPr="00F73059">
        <w:rPr>
          <w:rFonts w:eastAsia="Calibri" w:cs="Times New Roman"/>
          <w:sz w:val="20"/>
          <w:szCs w:val="20"/>
          <w:lang w:eastAsia="en-US"/>
        </w:rPr>
        <w:t xml:space="preserve">seront pris en compte dans la nature des enregistrements de suivi évaluation et donc des barèmes de paiement.  </w:t>
      </w:r>
    </w:p>
    <w:p w:rsidR="00986D23" w:rsidRPr="00986D23" w:rsidRDefault="00986D23" w:rsidP="00986D23">
      <w:pPr>
        <w:tabs>
          <w:tab w:val="left" w:pos="993"/>
        </w:tabs>
        <w:spacing w:before="240" w:after="0" w:line="240" w:lineRule="auto"/>
        <w:rPr>
          <w:rFonts w:eastAsia="Calibri" w:cs="Times New Roman"/>
          <w:sz w:val="20"/>
          <w:szCs w:val="20"/>
          <w:lang w:eastAsia="en-US"/>
        </w:rPr>
      </w:pPr>
    </w:p>
    <w:p w:rsidR="00170905" w:rsidRPr="00451070" w:rsidRDefault="00451070" w:rsidP="00451070">
      <w:pPr>
        <w:rPr>
          <w:rFonts w:eastAsia="Calibri"/>
          <w:b/>
          <w:lang w:eastAsia="en-US"/>
        </w:rPr>
      </w:pPr>
      <w:r>
        <w:rPr>
          <w:rFonts w:eastAsia="Calibri"/>
          <w:b/>
          <w:lang w:eastAsia="en-US"/>
        </w:rPr>
        <w:t xml:space="preserve">H </w:t>
      </w:r>
      <w:r w:rsidR="00170905" w:rsidRPr="00451070">
        <w:rPr>
          <w:rFonts w:eastAsia="Calibri"/>
          <w:b/>
          <w:lang w:eastAsia="en-US"/>
        </w:rPr>
        <w:t xml:space="preserve">Bénéficiaires du projet : </w:t>
      </w:r>
    </w:p>
    <w:p w:rsidR="00170905" w:rsidRPr="00F73059" w:rsidRDefault="00170905" w:rsidP="00170905">
      <w:pPr>
        <w:spacing w:after="0" w:line="240" w:lineRule="auto"/>
        <w:rPr>
          <w:rFonts w:eastAsia="Times New Roman" w:cs="Times New Roman"/>
          <w:sz w:val="20"/>
          <w:szCs w:val="20"/>
        </w:rPr>
      </w:pPr>
      <w:r w:rsidRPr="00F73059">
        <w:rPr>
          <w:rFonts w:eastAsia="Times New Roman" w:cs="Times New Roman"/>
          <w:sz w:val="20"/>
          <w:szCs w:val="20"/>
        </w:rPr>
        <w:t xml:space="preserve">Toute la population du </w:t>
      </w:r>
      <w:r w:rsidR="00BE2CAB">
        <w:rPr>
          <w:rFonts w:eastAsia="Times New Roman" w:cs="Times New Roman"/>
          <w:sz w:val="20"/>
          <w:szCs w:val="20"/>
        </w:rPr>
        <w:t>district du Mai-Ndombe</w:t>
      </w:r>
      <w:r w:rsidRPr="00F73059">
        <w:rPr>
          <w:rFonts w:eastAsia="Times New Roman" w:cs="Times New Roman"/>
          <w:sz w:val="20"/>
          <w:szCs w:val="20"/>
        </w:rPr>
        <w:t xml:space="preserve"> est concerné</w:t>
      </w:r>
      <w:r w:rsidR="00BE2CAB">
        <w:rPr>
          <w:rFonts w:eastAsia="Times New Roman" w:cs="Times New Roman"/>
          <w:sz w:val="20"/>
          <w:szCs w:val="20"/>
        </w:rPr>
        <w:t>e par le Projet</w:t>
      </w:r>
      <w:r w:rsidRPr="00F73059">
        <w:rPr>
          <w:rFonts w:eastAsia="Times New Roman" w:cs="Times New Roman"/>
          <w:sz w:val="20"/>
          <w:szCs w:val="20"/>
        </w:rPr>
        <w:t>. Chacun de</w:t>
      </w:r>
      <w:r w:rsidR="00BE2CAB">
        <w:rPr>
          <w:rFonts w:eastAsia="Times New Roman" w:cs="Times New Roman"/>
          <w:sz w:val="20"/>
          <w:szCs w:val="20"/>
        </w:rPr>
        <w:t>s</w:t>
      </w:r>
      <w:r w:rsidRPr="00F73059">
        <w:rPr>
          <w:rFonts w:eastAsia="Times New Roman" w:cs="Times New Roman"/>
          <w:sz w:val="20"/>
          <w:szCs w:val="20"/>
        </w:rPr>
        <w:t xml:space="preserve"> ménages profitera au minimum de la mise à disposition du matériel végétal amélioré, susceptible de lui permettre l’augmentation de ses performances agricoles et de ses revenus. Tous les services environnementaux rendus par les forêts si elles sont maintenues les concernent également. </w:t>
      </w:r>
    </w:p>
    <w:p w:rsidR="00170905" w:rsidRPr="00F73059" w:rsidRDefault="00170905" w:rsidP="00170905">
      <w:pPr>
        <w:spacing w:after="0" w:line="240" w:lineRule="auto"/>
        <w:rPr>
          <w:rFonts w:eastAsia="Times New Roman" w:cs="Times New Roman"/>
          <w:sz w:val="20"/>
          <w:szCs w:val="20"/>
        </w:rPr>
      </w:pPr>
      <w:r w:rsidRPr="00F73059">
        <w:rPr>
          <w:rFonts w:eastAsia="Times New Roman" w:cs="Times New Roman"/>
          <w:sz w:val="20"/>
          <w:szCs w:val="20"/>
        </w:rPr>
        <w:t>Les bénéficiaires directs du projet sont également :</w:t>
      </w:r>
    </w:p>
    <w:p w:rsidR="00170905" w:rsidRPr="00F73059" w:rsidRDefault="00170905" w:rsidP="00170905">
      <w:pPr>
        <w:spacing w:after="0" w:line="240" w:lineRule="auto"/>
        <w:rPr>
          <w:rFonts w:eastAsia="Times New Roman" w:cs="Times New Roman"/>
          <w:sz w:val="20"/>
          <w:szCs w:val="20"/>
        </w:rPr>
      </w:pPr>
    </w:p>
    <w:p w:rsidR="00170905" w:rsidRPr="00F73059" w:rsidRDefault="00170905" w:rsidP="002E3A02">
      <w:pPr>
        <w:numPr>
          <w:ilvl w:val="0"/>
          <w:numId w:val="48"/>
        </w:numPr>
        <w:spacing w:after="0" w:line="240" w:lineRule="auto"/>
        <w:rPr>
          <w:rFonts w:eastAsia="Times New Roman" w:cs="Times New Roman"/>
          <w:sz w:val="20"/>
          <w:szCs w:val="20"/>
        </w:rPr>
      </w:pPr>
      <w:r w:rsidRPr="00F73059">
        <w:rPr>
          <w:rFonts w:eastAsia="Times New Roman" w:cs="Times New Roman"/>
          <w:sz w:val="20"/>
          <w:szCs w:val="20"/>
        </w:rPr>
        <w:t xml:space="preserve">Les </w:t>
      </w:r>
      <w:r w:rsidR="00BE2CAB">
        <w:rPr>
          <w:rFonts w:eastAsia="Times New Roman" w:cs="Times New Roman"/>
          <w:sz w:val="20"/>
          <w:szCs w:val="20"/>
        </w:rPr>
        <w:t>CARTs</w:t>
      </w:r>
      <w:r w:rsidRPr="00F73059">
        <w:rPr>
          <w:rFonts w:eastAsia="Times New Roman" w:cs="Times New Roman"/>
          <w:sz w:val="20"/>
          <w:szCs w:val="20"/>
        </w:rPr>
        <w:t xml:space="preserve"> de groupement et de territoire  qui recevront des motivations leur permettant de prendre part au suivi évaluation du projet ;</w:t>
      </w:r>
    </w:p>
    <w:p w:rsidR="00170905" w:rsidRPr="00F73059" w:rsidRDefault="00555F5D" w:rsidP="002E3A02">
      <w:pPr>
        <w:numPr>
          <w:ilvl w:val="0"/>
          <w:numId w:val="48"/>
        </w:numPr>
        <w:spacing w:after="0" w:line="240" w:lineRule="auto"/>
        <w:rPr>
          <w:rFonts w:eastAsia="Times New Roman" w:cs="Times New Roman"/>
          <w:sz w:val="20"/>
          <w:szCs w:val="20"/>
        </w:rPr>
      </w:pPr>
      <w:r>
        <w:rPr>
          <w:rFonts w:eastAsia="Times New Roman" w:cs="Times New Roman"/>
          <w:sz w:val="20"/>
          <w:szCs w:val="20"/>
        </w:rPr>
        <w:t xml:space="preserve">Les quelques 600 </w:t>
      </w:r>
      <w:r w:rsidR="00170905" w:rsidRPr="00F73059">
        <w:rPr>
          <w:rFonts w:eastAsia="Times New Roman" w:cs="Times New Roman"/>
          <w:sz w:val="20"/>
          <w:szCs w:val="20"/>
        </w:rPr>
        <w:t>CLD, appuyés qui recevront des moyens modestes pour mettre en défens les parties les plus sensibles de leurs terroirs et pour accéder à des opportunités de changement technique ;</w:t>
      </w:r>
    </w:p>
    <w:p w:rsidR="00170905" w:rsidRPr="00F73059" w:rsidRDefault="00170905" w:rsidP="002E3A02">
      <w:pPr>
        <w:numPr>
          <w:ilvl w:val="0"/>
          <w:numId w:val="48"/>
        </w:numPr>
        <w:spacing w:after="0" w:line="240" w:lineRule="auto"/>
        <w:rPr>
          <w:rFonts w:eastAsia="Times New Roman" w:cs="Times New Roman"/>
          <w:sz w:val="20"/>
          <w:szCs w:val="20"/>
        </w:rPr>
      </w:pPr>
      <w:r w:rsidRPr="00F73059">
        <w:rPr>
          <w:rFonts w:eastAsia="Times New Roman" w:cs="Times New Roman"/>
          <w:sz w:val="20"/>
          <w:szCs w:val="20"/>
        </w:rPr>
        <w:t>les acteurs privés, fermiers traditionnels, grands fermiers et concessionnaires, avec lesquels des accords seront passés pour mieux gérer leurs ressources naturelles, pour certains de reconvertir avec plus de profit leurs activités ;</w:t>
      </w:r>
    </w:p>
    <w:p w:rsidR="00170905" w:rsidRPr="00F73059" w:rsidRDefault="00170905" w:rsidP="00170905">
      <w:pPr>
        <w:spacing w:after="0" w:line="240" w:lineRule="auto"/>
        <w:rPr>
          <w:rFonts w:eastAsia="Calibri" w:cs="Times New Roman"/>
          <w:sz w:val="20"/>
          <w:szCs w:val="20"/>
          <w:lang w:eastAsia="en-US"/>
        </w:rPr>
      </w:pPr>
    </w:p>
    <w:p w:rsidR="00170905" w:rsidRPr="00451070" w:rsidRDefault="00451070" w:rsidP="00451070">
      <w:pPr>
        <w:rPr>
          <w:rFonts w:eastAsia="Calibri"/>
          <w:b/>
          <w:lang w:eastAsia="en-US"/>
        </w:rPr>
      </w:pPr>
      <w:r>
        <w:rPr>
          <w:rFonts w:eastAsia="Calibri"/>
          <w:b/>
          <w:lang w:eastAsia="en-US"/>
        </w:rPr>
        <w:t xml:space="preserve">I </w:t>
      </w:r>
      <w:r w:rsidR="00170905" w:rsidRPr="00451070">
        <w:rPr>
          <w:rFonts w:eastAsia="Calibri"/>
          <w:b/>
          <w:lang w:eastAsia="en-US"/>
        </w:rPr>
        <w:t>Modalités de suivi évaluation :</w:t>
      </w:r>
    </w:p>
    <w:p w:rsidR="00170905" w:rsidRPr="00F73059" w:rsidRDefault="00170905" w:rsidP="00170905">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Les modalités détaillées de suivi évaluation feront l’objet de la part de l’</w:t>
      </w:r>
      <w:r w:rsidR="00555F5D">
        <w:rPr>
          <w:rFonts w:eastAsia="Calibri" w:cs="Times New Roman"/>
          <w:sz w:val="20"/>
          <w:szCs w:val="20"/>
          <w:lang w:eastAsia="en-US"/>
        </w:rPr>
        <w:t>UC-PIF</w:t>
      </w:r>
      <w:r w:rsidRPr="00F73059">
        <w:rPr>
          <w:rFonts w:eastAsia="Calibri" w:cs="Times New Roman"/>
          <w:sz w:val="20"/>
          <w:szCs w:val="20"/>
          <w:lang w:eastAsia="en-US"/>
        </w:rPr>
        <w:t xml:space="preserve"> d’un Plan de Suivi Evaluation</w:t>
      </w:r>
      <w:r w:rsidR="00555F5D">
        <w:rPr>
          <w:rFonts w:eastAsia="Calibri" w:cs="Times New Roman"/>
          <w:sz w:val="20"/>
          <w:szCs w:val="20"/>
          <w:lang w:eastAsia="en-US"/>
        </w:rPr>
        <w:t xml:space="preserve">. </w:t>
      </w:r>
      <w:r w:rsidRPr="00F73059">
        <w:rPr>
          <w:rFonts w:eastAsia="Calibri" w:cs="Times New Roman"/>
          <w:sz w:val="20"/>
          <w:szCs w:val="20"/>
          <w:lang w:eastAsia="en-US"/>
        </w:rPr>
        <w:t>Ce plan précisera les indicateurs essentiels qu’il conviendra de renseigner et fournira les formulaires et les procédures de collecte des données. La Coordination du PIF organisera les formations nécessaires à la collecte, à la saisie de ces données, à leur traitement et à leur analyse. Elle prendra en charge l’organisation des ateliers de restitution et d’analyse commune.</w:t>
      </w:r>
    </w:p>
    <w:p w:rsidR="00170905" w:rsidRPr="00F73059" w:rsidRDefault="00555F5D" w:rsidP="00170905">
      <w:pPr>
        <w:spacing w:after="0" w:line="240" w:lineRule="auto"/>
        <w:jc w:val="both"/>
        <w:rPr>
          <w:rFonts w:eastAsia="Calibri" w:cs="Times New Roman"/>
          <w:sz w:val="20"/>
          <w:szCs w:val="20"/>
          <w:lang w:eastAsia="en-US"/>
        </w:rPr>
      </w:pPr>
      <w:r>
        <w:rPr>
          <w:rFonts w:eastAsia="Calibri" w:cs="Times New Roman"/>
          <w:sz w:val="20"/>
          <w:szCs w:val="20"/>
          <w:lang w:eastAsia="en-US"/>
        </w:rPr>
        <w:t xml:space="preserve">L’ALE </w:t>
      </w:r>
      <w:r w:rsidR="00170905" w:rsidRPr="00F73059">
        <w:rPr>
          <w:rFonts w:eastAsia="Calibri" w:cs="Times New Roman"/>
          <w:sz w:val="20"/>
          <w:szCs w:val="20"/>
          <w:lang w:eastAsia="en-US"/>
        </w:rPr>
        <w:t>est tenue par ailleurs de renseigner l’ensemble des indicateurs figurant au cadre de résultat du présent contrat, et qui seront repris par le plan général de suivi évaluation de l’</w:t>
      </w:r>
      <w:r>
        <w:rPr>
          <w:rFonts w:eastAsia="Calibri" w:cs="Times New Roman"/>
          <w:sz w:val="20"/>
          <w:szCs w:val="20"/>
          <w:lang w:eastAsia="en-US"/>
        </w:rPr>
        <w:t>UC-PIF</w:t>
      </w:r>
      <w:r w:rsidR="00170905" w:rsidRPr="00F73059">
        <w:rPr>
          <w:rFonts w:eastAsia="Calibri" w:cs="Times New Roman"/>
          <w:sz w:val="20"/>
          <w:szCs w:val="20"/>
          <w:lang w:eastAsia="en-US"/>
        </w:rPr>
        <w:t xml:space="preserve">. </w:t>
      </w:r>
    </w:p>
    <w:p w:rsidR="00170905" w:rsidRPr="00F73059" w:rsidRDefault="00170905" w:rsidP="00170905">
      <w:pPr>
        <w:spacing w:after="0" w:line="240" w:lineRule="auto"/>
        <w:jc w:val="both"/>
        <w:rPr>
          <w:rFonts w:eastAsia="Calibri" w:cs="Times New Roman"/>
          <w:sz w:val="20"/>
          <w:szCs w:val="20"/>
          <w:lang w:eastAsia="en-US"/>
        </w:rPr>
      </w:pPr>
    </w:p>
    <w:p w:rsidR="00170905" w:rsidRPr="00451070" w:rsidRDefault="00451070" w:rsidP="00451070">
      <w:pPr>
        <w:rPr>
          <w:rFonts w:eastAsia="Calibri"/>
          <w:b/>
          <w:lang w:eastAsia="en-US"/>
        </w:rPr>
      </w:pPr>
      <w:bookmarkStart w:id="52" w:name="_Toc397325853"/>
      <w:bookmarkStart w:id="53" w:name="_Toc72515209"/>
      <w:bookmarkStart w:id="54" w:name="_Toc72514812"/>
      <w:bookmarkStart w:id="55" w:name="_Toc356621480"/>
      <w:r>
        <w:rPr>
          <w:rFonts w:eastAsia="Calibri"/>
          <w:b/>
          <w:lang w:eastAsia="en-US"/>
        </w:rPr>
        <w:t xml:space="preserve">J </w:t>
      </w:r>
      <w:r w:rsidR="00170905" w:rsidRPr="00451070">
        <w:rPr>
          <w:rFonts w:eastAsia="Calibri"/>
          <w:b/>
          <w:lang w:eastAsia="en-US"/>
        </w:rPr>
        <w:t>Rapports</w:t>
      </w:r>
      <w:bookmarkEnd w:id="52"/>
      <w:bookmarkEnd w:id="53"/>
      <w:bookmarkEnd w:id="54"/>
      <w:bookmarkEnd w:id="55"/>
      <w:r w:rsidR="00170905" w:rsidRPr="00451070">
        <w:rPr>
          <w:rFonts w:eastAsia="Calibri"/>
          <w:b/>
          <w:lang w:eastAsia="en-US"/>
        </w:rPr>
        <w:t xml:space="preserve"> prévus dans le cadre de cette mission</w:t>
      </w:r>
    </w:p>
    <w:p w:rsidR="00170905" w:rsidRPr="00F73059" w:rsidRDefault="00170905" w:rsidP="00170905">
      <w:pPr>
        <w:spacing w:after="0" w:line="240" w:lineRule="auto"/>
        <w:jc w:val="both"/>
        <w:rPr>
          <w:rFonts w:eastAsia="Calibri" w:cs="Times New Roman"/>
          <w:sz w:val="20"/>
          <w:szCs w:val="20"/>
          <w:lang w:val="fr-CD" w:eastAsia="en-US"/>
        </w:rPr>
      </w:pPr>
      <w:r w:rsidRPr="00F73059">
        <w:rPr>
          <w:rFonts w:eastAsia="Calibri" w:cs="Times New Roman"/>
          <w:sz w:val="20"/>
          <w:szCs w:val="20"/>
          <w:lang w:eastAsia="en-US"/>
        </w:rPr>
        <w:t xml:space="preserve">L’ALE </w:t>
      </w:r>
      <w:r w:rsidRPr="00F73059">
        <w:rPr>
          <w:rFonts w:eastAsia="Calibri" w:cs="Times New Roman"/>
          <w:sz w:val="20"/>
          <w:szCs w:val="20"/>
          <w:lang w:val="fr-CD" w:eastAsia="en-US"/>
        </w:rPr>
        <w:t>soumettra à l’Unité de Coordination du PIF  une série des rapports requis par les termes de référence dans le cadre du contrat de Maîtrise d’Ouvrage Délégué (MOD) de ce projet.  Il s’agit :</w:t>
      </w:r>
    </w:p>
    <w:p w:rsidR="00170905" w:rsidRPr="00F73059" w:rsidRDefault="00170905" w:rsidP="002E3A02">
      <w:pPr>
        <w:numPr>
          <w:ilvl w:val="0"/>
          <w:numId w:val="45"/>
        </w:numPr>
        <w:spacing w:after="0" w:line="240" w:lineRule="auto"/>
        <w:rPr>
          <w:rFonts w:eastAsia="Times New Roman" w:cs="Times New Roman"/>
          <w:sz w:val="20"/>
          <w:szCs w:val="20"/>
          <w:lang w:val="fr-CD"/>
        </w:rPr>
      </w:pPr>
      <w:r w:rsidRPr="00F73059">
        <w:rPr>
          <w:rFonts w:eastAsia="Times New Roman" w:cs="Times New Roman"/>
          <w:sz w:val="20"/>
          <w:szCs w:val="20"/>
          <w:lang w:val="fr-CD"/>
        </w:rPr>
        <w:t xml:space="preserve">Des plans annuels de travail et des budgets d’opération à remettre au plus tard le 30 septembre de </w:t>
      </w:r>
      <w:r w:rsidR="0039694C">
        <w:rPr>
          <w:rFonts w:eastAsia="Times New Roman" w:cs="Times New Roman"/>
          <w:sz w:val="20"/>
          <w:szCs w:val="20"/>
          <w:lang w:val="fr-CD"/>
        </w:rPr>
        <w:t>c</w:t>
      </w:r>
      <w:r w:rsidRPr="00F73059">
        <w:rPr>
          <w:rFonts w:eastAsia="Times New Roman" w:cs="Times New Roman"/>
          <w:sz w:val="20"/>
          <w:szCs w:val="20"/>
          <w:lang w:val="fr-CD"/>
        </w:rPr>
        <w:t xml:space="preserve">haque année ; </w:t>
      </w:r>
    </w:p>
    <w:p w:rsidR="00170905" w:rsidRPr="00F73059" w:rsidRDefault="00170905" w:rsidP="002E3A02">
      <w:pPr>
        <w:numPr>
          <w:ilvl w:val="0"/>
          <w:numId w:val="45"/>
        </w:numPr>
        <w:spacing w:after="0" w:line="240" w:lineRule="auto"/>
        <w:rPr>
          <w:rFonts w:eastAsia="Times New Roman" w:cs="Times New Roman"/>
          <w:sz w:val="20"/>
          <w:szCs w:val="20"/>
          <w:lang w:val="fr-CD"/>
        </w:rPr>
      </w:pPr>
      <w:r w:rsidRPr="00F73059">
        <w:rPr>
          <w:rFonts w:eastAsia="Times New Roman" w:cs="Times New Roman"/>
          <w:sz w:val="20"/>
          <w:szCs w:val="20"/>
          <w:lang w:val="fr-CD"/>
        </w:rPr>
        <w:t>Des rapports trimestriels et semestriels d’activités ; </w:t>
      </w:r>
    </w:p>
    <w:p w:rsidR="00170905" w:rsidRPr="00F73059" w:rsidRDefault="00170905" w:rsidP="002E3A02">
      <w:pPr>
        <w:numPr>
          <w:ilvl w:val="0"/>
          <w:numId w:val="45"/>
        </w:numPr>
        <w:spacing w:after="0" w:line="240" w:lineRule="auto"/>
        <w:rPr>
          <w:rFonts w:eastAsia="Times New Roman" w:cs="Times New Roman"/>
          <w:sz w:val="20"/>
          <w:szCs w:val="20"/>
          <w:lang w:val="fr-CD"/>
        </w:rPr>
      </w:pPr>
      <w:r w:rsidRPr="00F73059">
        <w:rPr>
          <w:rFonts w:eastAsia="Times New Roman" w:cs="Times New Roman"/>
          <w:sz w:val="20"/>
          <w:szCs w:val="20"/>
          <w:lang w:val="fr-CD"/>
        </w:rPr>
        <w:t>Des rapports annuels d’activités (techniques et financiers) à remettre au plus tard le 31 janvier de chaque année ;</w:t>
      </w:r>
    </w:p>
    <w:p w:rsidR="00170905" w:rsidRPr="00F73059" w:rsidRDefault="00170905" w:rsidP="002E3A02">
      <w:pPr>
        <w:numPr>
          <w:ilvl w:val="0"/>
          <w:numId w:val="45"/>
        </w:numPr>
        <w:spacing w:after="0" w:line="240" w:lineRule="auto"/>
        <w:rPr>
          <w:rFonts w:eastAsia="Times New Roman" w:cs="Times New Roman"/>
          <w:sz w:val="20"/>
          <w:szCs w:val="20"/>
          <w:lang w:val="fr-CD"/>
        </w:rPr>
      </w:pPr>
      <w:r w:rsidRPr="00F73059">
        <w:rPr>
          <w:rFonts w:eastAsia="Times New Roman" w:cs="Times New Roman"/>
          <w:sz w:val="20"/>
          <w:szCs w:val="20"/>
          <w:lang w:val="fr-CD"/>
        </w:rPr>
        <w:t xml:space="preserve">D’un rapport technique et financier de fin de projet. </w:t>
      </w:r>
    </w:p>
    <w:p w:rsidR="00170905" w:rsidRPr="00F73059" w:rsidRDefault="00170905" w:rsidP="00170905">
      <w:pPr>
        <w:spacing w:after="0" w:line="240" w:lineRule="auto"/>
        <w:ind w:left="426" w:hanging="426"/>
        <w:rPr>
          <w:rFonts w:eastAsia="Calibri" w:cs="Times New Roman"/>
          <w:sz w:val="20"/>
          <w:szCs w:val="20"/>
          <w:lang w:val="fr-CD" w:eastAsia="en-US"/>
        </w:rPr>
      </w:pPr>
    </w:p>
    <w:p w:rsidR="00170905" w:rsidRPr="00F73059" w:rsidRDefault="00170905" w:rsidP="00170905">
      <w:pPr>
        <w:spacing w:after="0" w:line="240" w:lineRule="auto"/>
        <w:rPr>
          <w:rFonts w:eastAsia="Calibri" w:cs="Times New Roman"/>
          <w:sz w:val="20"/>
          <w:szCs w:val="20"/>
          <w:lang w:val="fr-CD" w:eastAsia="en-US"/>
        </w:rPr>
      </w:pPr>
      <w:r w:rsidRPr="00F73059">
        <w:rPr>
          <w:rFonts w:eastAsia="Calibri" w:cs="Times New Roman"/>
          <w:sz w:val="20"/>
          <w:szCs w:val="20"/>
          <w:lang w:val="fr-CD" w:eastAsia="en-US"/>
        </w:rPr>
        <w:lastRenderedPageBreak/>
        <w:t>Par ailleurs en plus des rapports trimestriels et annuels techniques et financiers, l’ALE soumettra les documents suivants :</w:t>
      </w:r>
    </w:p>
    <w:p w:rsidR="00170905" w:rsidRPr="00F73059" w:rsidRDefault="00170905" w:rsidP="00170905">
      <w:pPr>
        <w:spacing w:after="0" w:line="240" w:lineRule="auto"/>
        <w:jc w:val="both"/>
        <w:rPr>
          <w:rFonts w:eastAsia="Calibri" w:cs="Times New Roman"/>
          <w:sz w:val="20"/>
          <w:szCs w:val="20"/>
          <w:lang w:val="fr-CD" w:eastAsia="en-US"/>
        </w:rPr>
      </w:pPr>
    </w:p>
    <w:p w:rsidR="00170905" w:rsidRPr="00F73059" w:rsidRDefault="00170905" w:rsidP="002E3A02">
      <w:pPr>
        <w:numPr>
          <w:ilvl w:val="0"/>
          <w:numId w:val="49"/>
        </w:numPr>
        <w:spacing w:after="0" w:line="240" w:lineRule="auto"/>
        <w:jc w:val="both"/>
        <w:rPr>
          <w:rFonts w:eastAsia="Calibri" w:cs="Times New Roman"/>
          <w:sz w:val="20"/>
          <w:szCs w:val="20"/>
          <w:lang w:val="fr-CD" w:eastAsia="en-US"/>
        </w:rPr>
      </w:pPr>
      <w:r w:rsidRPr="00F73059">
        <w:rPr>
          <w:rFonts w:eastAsia="Calibri" w:cs="Times New Roman"/>
          <w:sz w:val="20"/>
          <w:szCs w:val="20"/>
          <w:lang w:val="fr-CD" w:eastAsia="en-US"/>
        </w:rPr>
        <w:t>Le rapport de démarrage après 3 ou 4 mois du début des activités du Projet.</w:t>
      </w:r>
    </w:p>
    <w:p w:rsidR="00170905" w:rsidRPr="00F73059" w:rsidRDefault="00170905" w:rsidP="002E3A02">
      <w:pPr>
        <w:numPr>
          <w:ilvl w:val="0"/>
          <w:numId w:val="49"/>
        </w:numPr>
        <w:spacing w:after="0" w:line="240" w:lineRule="auto"/>
        <w:jc w:val="both"/>
        <w:rPr>
          <w:rFonts w:eastAsia="Calibri" w:cs="Times New Roman"/>
          <w:sz w:val="20"/>
          <w:szCs w:val="20"/>
          <w:lang w:val="fr-CD" w:eastAsia="en-US"/>
        </w:rPr>
      </w:pPr>
      <w:r w:rsidRPr="00F73059">
        <w:rPr>
          <w:rFonts w:eastAsia="Calibri" w:cs="Times New Roman"/>
          <w:sz w:val="20"/>
          <w:szCs w:val="20"/>
          <w:lang w:val="fr-CD" w:eastAsia="en-US"/>
        </w:rPr>
        <w:t>Les rapports des réunions avec les différentes parties prenantes et organisations locales.</w:t>
      </w:r>
    </w:p>
    <w:p w:rsidR="00170905" w:rsidRPr="00F73059" w:rsidRDefault="00170905" w:rsidP="002E3A02">
      <w:pPr>
        <w:numPr>
          <w:ilvl w:val="0"/>
          <w:numId w:val="49"/>
        </w:numPr>
        <w:spacing w:after="0" w:line="240" w:lineRule="auto"/>
        <w:jc w:val="both"/>
        <w:rPr>
          <w:rFonts w:eastAsia="Calibri" w:cs="Times New Roman"/>
          <w:sz w:val="20"/>
          <w:szCs w:val="20"/>
          <w:lang w:val="fr-CD" w:eastAsia="en-US"/>
        </w:rPr>
      </w:pPr>
      <w:r w:rsidRPr="00F73059">
        <w:rPr>
          <w:rFonts w:eastAsia="Calibri" w:cs="Times New Roman"/>
          <w:sz w:val="20"/>
          <w:szCs w:val="20"/>
          <w:lang w:val="fr-CD" w:eastAsia="en-US"/>
        </w:rPr>
        <w:t>Les rapports de missions.</w:t>
      </w:r>
    </w:p>
    <w:p w:rsidR="00170905" w:rsidRPr="00F73059" w:rsidRDefault="00170905" w:rsidP="002E3A02">
      <w:pPr>
        <w:numPr>
          <w:ilvl w:val="0"/>
          <w:numId w:val="49"/>
        </w:numPr>
        <w:spacing w:after="0" w:line="240" w:lineRule="auto"/>
        <w:jc w:val="both"/>
        <w:rPr>
          <w:rFonts w:eastAsia="Calibri" w:cs="Times New Roman"/>
          <w:sz w:val="20"/>
          <w:szCs w:val="20"/>
          <w:lang w:val="fr-CD" w:eastAsia="en-US"/>
        </w:rPr>
      </w:pPr>
      <w:r w:rsidRPr="00F73059">
        <w:rPr>
          <w:rFonts w:eastAsia="Calibri" w:cs="Times New Roman"/>
          <w:sz w:val="20"/>
          <w:szCs w:val="20"/>
          <w:lang w:val="fr-CD" w:eastAsia="en-US"/>
        </w:rPr>
        <w:t>Les rapports de remise/ livraison  d’équipements aux associations/organisations locales.</w:t>
      </w:r>
    </w:p>
    <w:p w:rsidR="00170905" w:rsidRPr="00F73059" w:rsidRDefault="00170905" w:rsidP="002E3A02">
      <w:pPr>
        <w:numPr>
          <w:ilvl w:val="0"/>
          <w:numId w:val="49"/>
        </w:numPr>
        <w:spacing w:after="0" w:line="240" w:lineRule="auto"/>
        <w:jc w:val="both"/>
        <w:rPr>
          <w:rFonts w:eastAsia="Calibri" w:cs="Times New Roman"/>
          <w:sz w:val="20"/>
          <w:szCs w:val="20"/>
          <w:lang w:val="fr-CD" w:eastAsia="en-US"/>
        </w:rPr>
      </w:pPr>
      <w:r w:rsidRPr="00F73059">
        <w:rPr>
          <w:rFonts w:eastAsia="Calibri" w:cs="Times New Roman"/>
          <w:sz w:val="20"/>
          <w:szCs w:val="20"/>
          <w:lang w:val="fr-CD" w:eastAsia="en-US"/>
        </w:rPr>
        <w:t xml:space="preserve">Les rapports finals techniques et financiers de tous les appuis fournis aux associations et organisations locales.   </w:t>
      </w:r>
    </w:p>
    <w:p w:rsidR="00170905" w:rsidRPr="00F73059" w:rsidRDefault="00170905" w:rsidP="00170905">
      <w:pPr>
        <w:spacing w:after="0" w:line="240" w:lineRule="auto"/>
        <w:jc w:val="both"/>
        <w:rPr>
          <w:rFonts w:eastAsia="Calibri" w:cs="Times New Roman"/>
          <w:sz w:val="20"/>
          <w:szCs w:val="20"/>
          <w:lang w:val="fr-CD" w:eastAsia="en-US"/>
        </w:rPr>
      </w:pPr>
    </w:p>
    <w:p w:rsidR="00170905" w:rsidRPr="00F73059" w:rsidRDefault="00170905" w:rsidP="00170905">
      <w:pPr>
        <w:spacing w:after="0" w:line="240" w:lineRule="auto"/>
        <w:jc w:val="both"/>
        <w:rPr>
          <w:rFonts w:eastAsia="Calibri" w:cs="Times New Roman"/>
          <w:sz w:val="20"/>
          <w:szCs w:val="20"/>
          <w:lang w:val="fr-CD" w:eastAsia="en-US"/>
        </w:rPr>
      </w:pPr>
      <w:r w:rsidRPr="00F73059">
        <w:rPr>
          <w:rFonts w:eastAsia="Calibri" w:cs="Times New Roman"/>
          <w:sz w:val="20"/>
          <w:szCs w:val="20"/>
          <w:lang w:val="fr-CD" w:eastAsia="en-US"/>
        </w:rPr>
        <w:t>Les rapports techniques et financiers seront transmis à la coordination contre accusé de réception.</w:t>
      </w:r>
    </w:p>
    <w:p w:rsidR="00170905" w:rsidRPr="00F73059" w:rsidRDefault="00170905" w:rsidP="00170905">
      <w:pPr>
        <w:spacing w:after="0" w:line="240" w:lineRule="auto"/>
        <w:jc w:val="both"/>
        <w:rPr>
          <w:rFonts w:eastAsia="Calibri" w:cs="Times New Roman"/>
          <w:sz w:val="20"/>
          <w:szCs w:val="20"/>
          <w:lang w:val="fr-CD" w:eastAsia="en-US"/>
        </w:rPr>
      </w:pPr>
    </w:p>
    <w:p w:rsidR="00170905" w:rsidRPr="00F73059" w:rsidRDefault="00170905" w:rsidP="00170905">
      <w:pPr>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Le rapport de suivi financier est produit à la fin de chaque trimestre et est envoyé à la Coordination du PIF au plus tard  le 10 jours suivant le trimestre.</w:t>
      </w:r>
    </w:p>
    <w:p w:rsidR="00170905" w:rsidRPr="00F73059" w:rsidRDefault="00170905" w:rsidP="00170905">
      <w:pPr>
        <w:spacing w:after="0" w:line="240" w:lineRule="auto"/>
        <w:jc w:val="both"/>
        <w:rPr>
          <w:rFonts w:eastAsia="Calibri" w:cs="Times New Roman"/>
          <w:color w:val="000000"/>
          <w:sz w:val="20"/>
          <w:szCs w:val="20"/>
          <w:lang w:eastAsia="en-US"/>
        </w:rPr>
      </w:pPr>
    </w:p>
    <w:p w:rsidR="00170905" w:rsidRPr="00F73059" w:rsidRDefault="00170905" w:rsidP="00170905">
      <w:pPr>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Le Consultant doit  joindre au rapport de suivi financier :</w:t>
      </w:r>
    </w:p>
    <w:p w:rsidR="00170905" w:rsidRPr="00F73059" w:rsidRDefault="00170905" w:rsidP="00170905">
      <w:pPr>
        <w:spacing w:after="0" w:line="240" w:lineRule="auto"/>
        <w:jc w:val="both"/>
        <w:rPr>
          <w:rFonts w:eastAsia="Calibri" w:cs="Times New Roman"/>
          <w:color w:val="000000"/>
          <w:sz w:val="20"/>
          <w:szCs w:val="20"/>
          <w:lang w:eastAsia="en-US"/>
        </w:rPr>
      </w:pPr>
    </w:p>
    <w:p w:rsidR="00170905" w:rsidRPr="00F73059" w:rsidRDefault="00170905" w:rsidP="002E3A02">
      <w:pPr>
        <w:numPr>
          <w:ilvl w:val="0"/>
          <w:numId w:val="50"/>
        </w:numPr>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Les états de rapprochement bancaire mensuels ;</w:t>
      </w:r>
    </w:p>
    <w:p w:rsidR="00170905" w:rsidRPr="00F73059" w:rsidRDefault="00170905" w:rsidP="002E3A02">
      <w:pPr>
        <w:numPr>
          <w:ilvl w:val="0"/>
          <w:numId w:val="50"/>
        </w:numPr>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Les procès-verbaux d’inventaire de caisse mensuels ;</w:t>
      </w:r>
    </w:p>
    <w:p w:rsidR="00170905" w:rsidRPr="00F73059" w:rsidRDefault="00170905" w:rsidP="002E3A02">
      <w:pPr>
        <w:numPr>
          <w:ilvl w:val="0"/>
          <w:numId w:val="50"/>
        </w:numPr>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Le Fichier des immobilisations;</w:t>
      </w:r>
    </w:p>
    <w:p w:rsidR="00170905" w:rsidRPr="00F73059" w:rsidRDefault="00170905" w:rsidP="00170905">
      <w:pPr>
        <w:spacing w:after="0"/>
        <w:ind w:left="720"/>
        <w:jc w:val="both"/>
        <w:rPr>
          <w:rFonts w:eastAsia="Calibri" w:cs="Times New Roman"/>
          <w:color w:val="000000"/>
          <w:sz w:val="20"/>
          <w:szCs w:val="20"/>
          <w:lang w:eastAsia="en-US"/>
        </w:rPr>
      </w:pPr>
    </w:p>
    <w:p w:rsidR="00170905" w:rsidRPr="00F73059" w:rsidRDefault="00170905" w:rsidP="00170905">
      <w:pPr>
        <w:autoSpaceDE w:val="0"/>
        <w:autoSpaceDN w:val="0"/>
        <w:adjustRightInd w:val="0"/>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Le RSF doivent inclure des données sur :</w:t>
      </w:r>
    </w:p>
    <w:p w:rsidR="00170905" w:rsidRPr="00F73059" w:rsidRDefault="00170905" w:rsidP="00170905">
      <w:pPr>
        <w:autoSpaceDE w:val="0"/>
        <w:autoSpaceDN w:val="0"/>
        <w:adjustRightInd w:val="0"/>
        <w:spacing w:after="0" w:line="240" w:lineRule="auto"/>
        <w:jc w:val="both"/>
        <w:rPr>
          <w:rFonts w:eastAsia="Calibri" w:cs="Times New Roman"/>
          <w:color w:val="000000"/>
          <w:sz w:val="20"/>
          <w:szCs w:val="20"/>
          <w:lang w:eastAsia="en-US"/>
        </w:rPr>
      </w:pPr>
    </w:p>
    <w:p w:rsidR="00170905" w:rsidRPr="00F73059" w:rsidRDefault="00170905" w:rsidP="002E3A02">
      <w:pPr>
        <w:numPr>
          <w:ilvl w:val="0"/>
          <w:numId w:val="51"/>
        </w:numPr>
        <w:autoSpaceDE w:val="0"/>
        <w:autoSpaceDN w:val="0"/>
        <w:adjustRightInd w:val="0"/>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 xml:space="preserve">la situation financière, </w:t>
      </w:r>
    </w:p>
    <w:p w:rsidR="00170905" w:rsidRPr="00F73059" w:rsidRDefault="00170905" w:rsidP="002E3A02">
      <w:pPr>
        <w:numPr>
          <w:ilvl w:val="0"/>
          <w:numId w:val="51"/>
        </w:numPr>
        <w:autoSpaceDE w:val="0"/>
        <w:autoSpaceDN w:val="0"/>
        <w:adjustRightInd w:val="0"/>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 xml:space="preserve">l’avancement matériel des activités </w:t>
      </w:r>
    </w:p>
    <w:p w:rsidR="00170905" w:rsidRPr="00F73059" w:rsidRDefault="00170905" w:rsidP="002E3A02">
      <w:pPr>
        <w:numPr>
          <w:ilvl w:val="0"/>
          <w:numId w:val="51"/>
        </w:numPr>
        <w:autoSpaceDE w:val="0"/>
        <w:autoSpaceDN w:val="0"/>
        <w:adjustRightInd w:val="0"/>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 xml:space="preserve">la passation des marchés. </w:t>
      </w:r>
    </w:p>
    <w:p w:rsidR="00170905" w:rsidRPr="00F73059" w:rsidRDefault="00170905" w:rsidP="00170905">
      <w:pPr>
        <w:autoSpaceDE w:val="0"/>
        <w:autoSpaceDN w:val="0"/>
        <w:adjustRightInd w:val="0"/>
        <w:spacing w:after="0" w:line="240" w:lineRule="auto"/>
        <w:jc w:val="both"/>
        <w:rPr>
          <w:rFonts w:eastAsia="Calibri" w:cs="Times New Roman"/>
          <w:color w:val="000000"/>
          <w:sz w:val="20"/>
          <w:szCs w:val="20"/>
          <w:lang w:eastAsia="en-US"/>
        </w:rPr>
      </w:pPr>
      <w:r w:rsidRPr="00F73059">
        <w:rPr>
          <w:rFonts w:eastAsia="Calibri" w:cs="Times New Roman"/>
          <w:color w:val="000000"/>
          <w:sz w:val="20"/>
          <w:szCs w:val="20"/>
          <w:lang w:eastAsia="en-US"/>
        </w:rPr>
        <w:t>Ces rapports doivent inclure au moins un état financier indiquant, pour la période considérée et en valeur cumulée (depuis le début du projet ou de l’année en cours), les fonds reçus, par origine, et les dépenses, par grand poste de dépenses ; les soldes de trésorerie du projet en début et en fin de période ; et les tableaux comparant les dépenses effectives et les dépenses prévues. (Voir modèle en annexe à adapter selon les besoins).</w:t>
      </w:r>
    </w:p>
    <w:p w:rsidR="00170905" w:rsidRPr="00F73059" w:rsidRDefault="00170905" w:rsidP="00170905">
      <w:pPr>
        <w:autoSpaceDE w:val="0"/>
        <w:autoSpaceDN w:val="0"/>
        <w:adjustRightInd w:val="0"/>
        <w:spacing w:after="0" w:line="240" w:lineRule="auto"/>
        <w:jc w:val="both"/>
        <w:rPr>
          <w:rFonts w:eastAsia="Calibri" w:cs="Times New Roman"/>
          <w:color w:val="000000"/>
          <w:sz w:val="20"/>
          <w:szCs w:val="20"/>
          <w:lang w:eastAsia="en-US"/>
        </w:rPr>
      </w:pPr>
    </w:p>
    <w:p w:rsidR="00271D59" w:rsidRPr="00986D23" w:rsidRDefault="00170905" w:rsidP="00986D23">
      <w:pPr>
        <w:jc w:val="both"/>
        <w:rPr>
          <w:rFonts w:eastAsia="Calibri" w:cs="Times New Roman"/>
          <w:b/>
          <w:i/>
          <w:sz w:val="20"/>
          <w:szCs w:val="20"/>
          <w:u w:val="single"/>
          <w:lang w:eastAsia="en-US"/>
        </w:rPr>
      </w:pPr>
      <w:r w:rsidRPr="00F73059">
        <w:rPr>
          <w:rFonts w:eastAsia="Calibri" w:cs="Times New Roman"/>
          <w:sz w:val="20"/>
          <w:szCs w:val="20"/>
          <w:lang w:eastAsia="en-US"/>
        </w:rPr>
        <w:t xml:space="preserve">Le plan annuel et budget d’opérations est transmis à la Coordination du PIF au plus tard le 15 août de chaque année. </w:t>
      </w:r>
      <w:r w:rsidRPr="00F73059">
        <w:rPr>
          <w:rFonts w:eastAsia="Calibri" w:cs="Times New Roman"/>
          <w:b/>
          <w:i/>
          <w:sz w:val="20"/>
          <w:szCs w:val="20"/>
          <w:u w:val="single"/>
          <w:lang w:eastAsia="en-US"/>
        </w:rPr>
        <w:t>Il doit par ailleurs mentionner pour information les ressources des autres bailleurs de fonds intervenant éventuellement dans le programme et gérés par l’ALE.</w:t>
      </w:r>
    </w:p>
    <w:p w:rsidR="00170905" w:rsidRPr="00F73059" w:rsidRDefault="00170905" w:rsidP="00170905">
      <w:pPr>
        <w:jc w:val="both"/>
        <w:rPr>
          <w:rFonts w:eastAsia="Calibri" w:cs="Times New Roman"/>
          <w:b/>
          <w:sz w:val="20"/>
          <w:szCs w:val="20"/>
          <w:lang w:eastAsia="en-US"/>
        </w:rPr>
      </w:pPr>
      <w:r w:rsidRPr="00F73059">
        <w:rPr>
          <w:rFonts w:eastAsia="Calibri" w:cs="Times New Roman"/>
          <w:b/>
          <w:sz w:val="20"/>
          <w:szCs w:val="20"/>
          <w:lang w:eastAsia="en-US"/>
        </w:rPr>
        <w:t>Supervision financière, technique et passation des marchés</w:t>
      </w:r>
    </w:p>
    <w:p w:rsidR="00170905" w:rsidRPr="00F73059" w:rsidRDefault="00170905" w:rsidP="00170905">
      <w:pPr>
        <w:spacing w:after="0" w:line="240" w:lineRule="auto"/>
        <w:jc w:val="both"/>
        <w:rPr>
          <w:rFonts w:eastAsia="Calibri" w:cs="Times New Roman"/>
          <w:sz w:val="20"/>
          <w:szCs w:val="20"/>
          <w:lang w:eastAsia="en-US"/>
        </w:rPr>
      </w:pPr>
      <w:r w:rsidRPr="00F73059">
        <w:rPr>
          <w:rFonts w:eastAsia="Calibri" w:cs="Times New Roman"/>
          <w:sz w:val="20"/>
          <w:szCs w:val="20"/>
          <w:lang w:eastAsia="en-US"/>
        </w:rPr>
        <w:t xml:space="preserve">L’ALE fera l’objet de supervisions financières,  techniques et passation des marchés de la part de </w:t>
      </w:r>
      <w:r w:rsidR="007F1536">
        <w:rPr>
          <w:rFonts w:eastAsia="Calibri" w:cs="Times New Roman"/>
          <w:sz w:val="20"/>
          <w:szCs w:val="20"/>
          <w:lang w:eastAsia="en-US"/>
        </w:rPr>
        <w:t>l’Unité de  Coordination du PIF et de la Banque mondiale</w:t>
      </w:r>
      <w:r w:rsidRPr="00F73059">
        <w:rPr>
          <w:rFonts w:eastAsia="Calibri" w:cs="Times New Roman"/>
          <w:sz w:val="20"/>
          <w:szCs w:val="20"/>
          <w:lang w:eastAsia="en-US"/>
        </w:rPr>
        <w:t>. Bien entendu l’Unité de Coordination du PIF contactera officiellement l’ALE pour convenir des dates de ces supervisions.</w:t>
      </w:r>
    </w:p>
    <w:p w:rsidR="00170905" w:rsidRPr="00F73059" w:rsidRDefault="00170905" w:rsidP="00170905">
      <w:pPr>
        <w:spacing w:after="0" w:line="240" w:lineRule="auto"/>
        <w:jc w:val="both"/>
        <w:rPr>
          <w:rFonts w:eastAsia="Calibri" w:cs="Times New Roman"/>
          <w:sz w:val="20"/>
          <w:szCs w:val="20"/>
          <w:lang w:eastAsia="en-US"/>
        </w:rPr>
      </w:pPr>
    </w:p>
    <w:p w:rsidR="00170905" w:rsidRPr="00F73059" w:rsidRDefault="00170905" w:rsidP="00170905">
      <w:pPr>
        <w:spacing w:after="0" w:line="240" w:lineRule="auto"/>
        <w:jc w:val="both"/>
        <w:rPr>
          <w:rFonts w:eastAsia="Calibri" w:cs="Times New Roman"/>
          <w:b/>
          <w:sz w:val="20"/>
          <w:szCs w:val="20"/>
          <w:lang w:eastAsia="en-US"/>
        </w:rPr>
      </w:pPr>
      <w:r w:rsidRPr="00F73059">
        <w:rPr>
          <w:rFonts w:eastAsia="Calibri" w:cs="Times New Roman"/>
          <w:b/>
          <w:sz w:val="20"/>
          <w:szCs w:val="20"/>
          <w:lang w:eastAsia="en-US"/>
        </w:rPr>
        <w:t>Chronogramme de présentation des rapports</w:t>
      </w:r>
    </w:p>
    <w:p w:rsidR="00170905" w:rsidRPr="00F73059" w:rsidRDefault="00170905" w:rsidP="00170905">
      <w:pPr>
        <w:spacing w:after="0" w:line="240" w:lineRule="auto"/>
        <w:jc w:val="both"/>
        <w:rPr>
          <w:rFonts w:eastAsia="Calibri" w:cs="Times New Roman"/>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4742"/>
      </w:tblGrid>
      <w:tr w:rsidR="00170905" w:rsidRPr="00F73059" w:rsidTr="00170905">
        <w:tc>
          <w:tcPr>
            <w:tcW w:w="4834" w:type="dxa"/>
            <w:tcBorders>
              <w:top w:val="single" w:sz="4" w:space="0" w:color="auto"/>
              <w:left w:val="single" w:sz="4" w:space="0" w:color="auto"/>
              <w:bottom w:val="single" w:sz="4" w:space="0" w:color="auto"/>
              <w:right w:val="single" w:sz="4" w:space="0" w:color="auto"/>
            </w:tcBorders>
            <w:hideMark/>
          </w:tcPr>
          <w:p w:rsidR="00170905" w:rsidRPr="00F73059" w:rsidRDefault="00170905" w:rsidP="00170905">
            <w:pPr>
              <w:spacing w:after="0"/>
              <w:jc w:val="center"/>
              <w:rPr>
                <w:rFonts w:eastAsia="Calibri" w:cs="Times New Roman"/>
                <w:b/>
                <w:sz w:val="20"/>
                <w:szCs w:val="20"/>
                <w:lang w:eastAsia="en-US"/>
              </w:rPr>
            </w:pPr>
            <w:r w:rsidRPr="00F73059">
              <w:rPr>
                <w:rFonts w:eastAsia="Calibri" w:cs="Times New Roman"/>
                <w:b/>
                <w:sz w:val="20"/>
                <w:szCs w:val="20"/>
                <w:lang w:eastAsia="en-US"/>
              </w:rPr>
              <w:t>Rapports</w:t>
            </w:r>
          </w:p>
        </w:tc>
        <w:tc>
          <w:tcPr>
            <w:tcW w:w="4742" w:type="dxa"/>
            <w:tcBorders>
              <w:top w:val="single" w:sz="4" w:space="0" w:color="auto"/>
              <w:left w:val="single" w:sz="4" w:space="0" w:color="auto"/>
              <w:bottom w:val="single" w:sz="4" w:space="0" w:color="auto"/>
              <w:right w:val="single" w:sz="4" w:space="0" w:color="auto"/>
            </w:tcBorders>
            <w:hideMark/>
          </w:tcPr>
          <w:p w:rsidR="00170905" w:rsidRPr="00F73059" w:rsidRDefault="00170905" w:rsidP="00170905">
            <w:pPr>
              <w:spacing w:after="0"/>
              <w:jc w:val="center"/>
              <w:rPr>
                <w:rFonts w:eastAsia="Calibri" w:cs="Times New Roman"/>
                <w:b/>
                <w:sz w:val="20"/>
                <w:szCs w:val="20"/>
                <w:vertAlign w:val="superscript"/>
                <w:lang w:eastAsia="en-US"/>
              </w:rPr>
            </w:pPr>
            <w:r w:rsidRPr="00F73059">
              <w:rPr>
                <w:rFonts w:eastAsia="Calibri" w:cs="Times New Roman"/>
                <w:b/>
                <w:sz w:val="20"/>
                <w:szCs w:val="20"/>
                <w:lang w:eastAsia="en-US"/>
              </w:rPr>
              <w:t>Date</w:t>
            </w:r>
            <w:r w:rsidRPr="00F73059">
              <w:rPr>
                <w:rFonts w:eastAsia="Calibri" w:cs="Times New Roman"/>
                <w:b/>
                <w:sz w:val="20"/>
                <w:szCs w:val="20"/>
                <w:vertAlign w:val="superscript"/>
                <w:lang w:eastAsia="en-US"/>
              </w:rPr>
              <w:t>(*)</w:t>
            </w:r>
          </w:p>
        </w:tc>
      </w:tr>
      <w:tr w:rsidR="00170905" w:rsidRPr="00F73059" w:rsidTr="00170905">
        <w:tc>
          <w:tcPr>
            <w:tcW w:w="4834"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2E3A02">
            <w:pPr>
              <w:numPr>
                <w:ilvl w:val="0"/>
                <w:numId w:val="52"/>
              </w:numPr>
              <w:tabs>
                <w:tab w:val="num" w:pos="180"/>
              </w:tabs>
              <w:spacing w:after="0" w:line="240" w:lineRule="auto"/>
              <w:ind w:left="180" w:hanging="180"/>
              <w:rPr>
                <w:rFonts w:eastAsia="Calibri" w:cs="Times New Roman"/>
                <w:sz w:val="20"/>
                <w:szCs w:val="20"/>
                <w:lang w:eastAsia="en-US"/>
              </w:rPr>
            </w:pPr>
            <w:r w:rsidRPr="00F73059">
              <w:rPr>
                <w:rFonts w:eastAsia="Calibri" w:cs="Times New Roman"/>
                <w:sz w:val="20"/>
                <w:szCs w:val="20"/>
                <w:lang w:eastAsia="en-US"/>
              </w:rPr>
              <w:t>Rapport de démarrage</w:t>
            </w:r>
          </w:p>
        </w:tc>
        <w:tc>
          <w:tcPr>
            <w:tcW w:w="4742"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170905">
            <w:pPr>
              <w:spacing w:after="0"/>
              <w:rPr>
                <w:rFonts w:eastAsia="Calibri" w:cs="Times New Roman"/>
                <w:sz w:val="20"/>
                <w:szCs w:val="20"/>
                <w:lang w:eastAsia="en-US"/>
              </w:rPr>
            </w:pPr>
            <w:r w:rsidRPr="00F73059">
              <w:rPr>
                <w:rFonts w:eastAsia="Calibri" w:cs="Times New Roman"/>
                <w:sz w:val="20"/>
                <w:szCs w:val="20"/>
                <w:lang w:eastAsia="en-US"/>
              </w:rPr>
              <w:t>Au début des prestations</w:t>
            </w:r>
          </w:p>
        </w:tc>
      </w:tr>
      <w:tr w:rsidR="00170905" w:rsidRPr="00F73059" w:rsidTr="00170905">
        <w:tc>
          <w:tcPr>
            <w:tcW w:w="4834"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2E3A02">
            <w:pPr>
              <w:numPr>
                <w:ilvl w:val="0"/>
                <w:numId w:val="52"/>
              </w:numPr>
              <w:tabs>
                <w:tab w:val="num" w:pos="180"/>
              </w:tabs>
              <w:spacing w:after="0" w:line="240" w:lineRule="auto"/>
              <w:ind w:left="180" w:hanging="180"/>
              <w:rPr>
                <w:rFonts w:eastAsia="Calibri" w:cs="Times New Roman"/>
                <w:sz w:val="20"/>
                <w:szCs w:val="20"/>
                <w:lang w:eastAsia="en-US"/>
              </w:rPr>
            </w:pPr>
            <w:r w:rsidRPr="00F73059">
              <w:rPr>
                <w:rFonts w:eastAsia="Calibri" w:cs="Times New Roman"/>
                <w:sz w:val="20"/>
                <w:szCs w:val="20"/>
                <w:lang w:eastAsia="en-US"/>
              </w:rPr>
              <w:t>Rapport trimestriel</w:t>
            </w:r>
          </w:p>
        </w:tc>
        <w:tc>
          <w:tcPr>
            <w:tcW w:w="4742"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170905">
            <w:pPr>
              <w:spacing w:after="0"/>
              <w:rPr>
                <w:rFonts w:eastAsia="Calibri" w:cs="Times New Roman"/>
                <w:sz w:val="20"/>
                <w:szCs w:val="20"/>
                <w:lang w:eastAsia="en-US"/>
              </w:rPr>
            </w:pPr>
            <w:r w:rsidRPr="00F73059">
              <w:rPr>
                <w:rFonts w:eastAsia="Calibri" w:cs="Times New Roman"/>
                <w:sz w:val="20"/>
                <w:szCs w:val="20"/>
                <w:lang w:eastAsia="en-US"/>
              </w:rPr>
              <w:t>Janvier, avril, juillet et octobre de  chaque année</w:t>
            </w:r>
          </w:p>
        </w:tc>
      </w:tr>
      <w:tr w:rsidR="00170905" w:rsidRPr="00F73059" w:rsidTr="00170905">
        <w:tc>
          <w:tcPr>
            <w:tcW w:w="4834"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2E3A02">
            <w:pPr>
              <w:numPr>
                <w:ilvl w:val="0"/>
                <w:numId w:val="52"/>
              </w:numPr>
              <w:tabs>
                <w:tab w:val="num" w:pos="180"/>
              </w:tabs>
              <w:spacing w:after="0" w:line="240" w:lineRule="auto"/>
              <w:ind w:left="180" w:hanging="180"/>
              <w:rPr>
                <w:rFonts w:eastAsia="Calibri" w:cs="Times New Roman"/>
                <w:sz w:val="20"/>
                <w:szCs w:val="20"/>
                <w:lang w:eastAsia="en-US"/>
              </w:rPr>
            </w:pPr>
            <w:r w:rsidRPr="00F73059">
              <w:rPr>
                <w:rFonts w:eastAsia="Calibri" w:cs="Times New Roman"/>
                <w:sz w:val="20"/>
                <w:szCs w:val="20"/>
                <w:lang w:eastAsia="en-US"/>
              </w:rPr>
              <w:t>Rapport semi-annuel</w:t>
            </w:r>
          </w:p>
        </w:tc>
        <w:tc>
          <w:tcPr>
            <w:tcW w:w="4742"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170905">
            <w:pPr>
              <w:spacing w:after="0"/>
              <w:rPr>
                <w:rFonts w:eastAsia="Calibri" w:cs="Times New Roman"/>
                <w:sz w:val="20"/>
                <w:szCs w:val="20"/>
                <w:lang w:eastAsia="en-US"/>
              </w:rPr>
            </w:pPr>
            <w:r w:rsidRPr="00F73059">
              <w:rPr>
                <w:rFonts w:eastAsia="Calibri" w:cs="Times New Roman"/>
                <w:sz w:val="20"/>
                <w:szCs w:val="20"/>
                <w:lang w:eastAsia="en-US"/>
              </w:rPr>
              <w:t>janvier et juillet et de chaque année</w:t>
            </w:r>
          </w:p>
        </w:tc>
      </w:tr>
      <w:tr w:rsidR="00170905" w:rsidRPr="00F73059" w:rsidTr="00170905">
        <w:tc>
          <w:tcPr>
            <w:tcW w:w="4834"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2E3A02">
            <w:pPr>
              <w:numPr>
                <w:ilvl w:val="0"/>
                <w:numId w:val="52"/>
              </w:numPr>
              <w:tabs>
                <w:tab w:val="num" w:pos="180"/>
              </w:tabs>
              <w:spacing w:after="0" w:line="240" w:lineRule="auto"/>
              <w:ind w:left="180" w:hanging="180"/>
              <w:rPr>
                <w:rFonts w:eastAsia="Calibri" w:cs="Times New Roman"/>
                <w:sz w:val="20"/>
                <w:szCs w:val="20"/>
                <w:lang w:eastAsia="en-US"/>
              </w:rPr>
            </w:pPr>
            <w:r w:rsidRPr="00F73059">
              <w:rPr>
                <w:rFonts w:eastAsia="Calibri" w:cs="Times New Roman"/>
                <w:sz w:val="20"/>
                <w:szCs w:val="20"/>
                <w:lang w:eastAsia="en-US"/>
              </w:rPr>
              <w:t>Rapport annuel, technique et financier</w:t>
            </w:r>
          </w:p>
        </w:tc>
        <w:tc>
          <w:tcPr>
            <w:tcW w:w="4742"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170905">
            <w:pPr>
              <w:spacing w:after="0"/>
              <w:rPr>
                <w:rFonts w:eastAsia="Calibri" w:cs="Times New Roman"/>
                <w:sz w:val="20"/>
                <w:szCs w:val="20"/>
                <w:lang w:eastAsia="en-US"/>
              </w:rPr>
            </w:pPr>
            <w:r w:rsidRPr="00F73059">
              <w:rPr>
                <w:rFonts w:eastAsia="Calibri" w:cs="Times New Roman"/>
                <w:sz w:val="20"/>
                <w:szCs w:val="20"/>
                <w:lang w:eastAsia="en-US"/>
              </w:rPr>
              <w:t>31 janvier de chaque année</w:t>
            </w:r>
          </w:p>
        </w:tc>
      </w:tr>
      <w:tr w:rsidR="00170905" w:rsidRPr="00F73059" w:rsidTr="00170905">
        <w:tc>
          <w:tcPr>
            <w:tcW w:w="4834"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2E3A02">
            <w:pPr>
              <w:numPr>
                <w:ilvl w:val="0"/>
                <w:numId w:val="52"/>
              </w:numPr>
              <w:tabs>
                <w:tab w:val="num" w:pos="180"/>
              </w:tabs>
              <w:spacing w:after="0" w:line="240" w:lineRule="auto"/>
              <w:ind w:left="180" w:hanging="180"/>
              <w:rPr>
                <w:rFonts w:eastAsia="Calibri" w:cs="Times New Roman"/>
                <w:sz w:val="20"/>
                <w:szCs w:val="20"/>
                <w:lang w:eastAsia="en-US"/>
              </w:rPr>
            </w:pPr>
            <w:r w:rsidRPr="00F73059">
              <w:rPr>
                <w:rFonts w:eastAsia="Calibri" w:cs="Times New Roman"/>
                <w:sz w:val="20"/>
                <w:szCs w:val="20"/>
                <w:lang w:eastAsia="en-US"/>
              </w:rPr>
              <w:t>Projet de rapport final</w:t>
            </w:r>
          </w:p>
        </w:tc>
        <w:tc>
          <w:tcPr>
            <w:tcW w:w="4742"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170905">
            <w:pPr>
              <w:spacing w:after="0"/>
              <w:rPr>
                <w:rFonts w:eastAsia="Calibri" w:cs="Times New Roman"/>
                <w:sz w:val="20"/>
                <w:szCs w:val="20"/>
                <w:lang w:eastAsia="en-US"/>
              </w:rPr>
            </w:pPr>
            <w:r w:rsidRPr="00F73059">
              <w:rPr>
                <w:rFonts w:eastAsia="Calibri" w:cs="Times New Roman"/>
                <w:sz w:val="20"/>
                <w:szCs w:val="20"/>
                <w:lang w:eastAsia="en-US"/>
              </w:rPr>
              <w:t>1 mois après la fin du projet</w:t>
            </w:r>
          </w:p>
        </w:tc>
      </w:tr>
      <w:tr w:rsidR="00170905" w:rsidRPr="00F73059" w:rsidTr="00170905">
        <w:tc>
          <w:tcPr>
            <w:tcW w:w="4834"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2E3A02">
            <w:pPr>
              <w:numPr>
                <w:ilvl w:val="0"/>
                <w:numId w:val="52"/>
              </w:numPr>
              <w:tabs>
                <w:tab w:val="num" w:pos="180"/>
              </w:tabs>
              <w:spacing w:after="0" w:line="240" w:lineRule="auto"/>
              <w:ind w:left="180" w:hanging="180"/>
              <w:rPr>
                <w:rFonts w:eastAsia="Calibri" w:cs="Times New Roman"/>
                <w:sz w:val="20"/>
                <w:szCs w:val="20"/>
                <w:lang w:eastAsia="en-US"/>
              </w:rPr>
            </w:pPr>
            <w:r w:rsidRPr="00F73059">
              <w:rPr>
                <w:rFonts w:eastAsia="Calibri" w:cs="Times New Roman"/>
                <w:sz w:val="20"/>
                <w:szCs w:val="20"/>
                <w:lang w:eastAsia="en-US"/>
              </w:rPr>
              <w:t>Rapport final</w:t>
            </w:r>
          </w:p>
        </w:tc>
        <w:tc>
          <w:tcPr>
            <w:tcW w:w="4742" w:type="dxa"/>
            <w:tcBorders>
              <w:top w:val="single" w:sz="4" w:space="0" w:color="auto"/>
              <w:left w:val="single" w:sz="4" w:space="0" w:color="auto"/>
              <w:bottom w:val="single" w:sz="4" w:space="0" w:color="auto"/>
              <w:right w:val="single" w:sz="4" w:space="0" w:color="auto"/>
            </w:tcBorders>
            <w:vAlign w:val="center"/>
            <w:hideMark/>
          </w:tcPr>
          <w:p w:rsidR="00170905" w:rsidRPr="00F73059" w:rsidRDefault="00170905" w:rsidP="00170905">
            <w:pPr>
              <w:spacing w:after="0"/>
              <w:rPr>
                <w:rFonts w:eastAsia="Calibri" w:cs="Times New Roman"/>
                <w:sz w:val="20"/>
                <w:szCs w:val="20"/>
                <w:lang w:eastAsia="en-US"/>
              </w:rPr>
            </w:pPr>
            <w:r w:rsidRPr="00F73059">
              <w:rPr>
                <w:rFonts w:eastAsia="Calibri" w:cs="Times New Roman"/>
                <w:sz w:val="20"/>
                <w:szCs w:val="20"/>
                <w:lang w:eastAsia="en-US"/>
              </w:rPr>
              <w:t>6 mois après le projet du Rapport final.</w:t>
            </w:r>
          </w:p>
        </w:tc>
      </w:tr>
    </w:tbl>
    <w:p w:rsidR="00170905" w:rsidRPr="00F73059" w:rsidRDefault="00170905" w:rsidP="00170905">
      <w:pPr>
        <w:spacing w:after="0" w:line="240" w:lineRule="auto"/>
        <w:jc w:val="both"/>
        <w:rPr>
          <w:rFonts w:eastAsia="Calibri" w:cs="Times New Roman"/>
          <w:sz w:val="20"/>
          <w:szCs w:val="20"/>
          <w:lang w:eastAsia="en-US"/>
        </w:rPr>
      </w:pPr>
    </w:p>
    <w:p w:rsidR="00BE2CAB" w:rsidRDefault="00BE2CAB">
      <w:pPr>
        <w:spacing w:after="160" w:line="259" w:lineRule="auto"/>
        <w:rPr>
          <w:rFonts w:eastAsiaTheme="minorHAnsi" w:cstheme="majorBidi"/>
          <w:b/>
          <w:bCs/>
          <w:color w:val="2E74B5" w:themeColor="accent1" w:themeShade="BF"/>
          <w:sz w:val="20"/>
          <w:szCs w:val="20"/>
          <w:lang w:eastAsia="en-US"/>
        </w:rPr>
      </w:pPr>
      <w:r>
        <w:rPr>
          <w:rFonts w:eastAsiaTheme="minorHAnsi"/>
          <w:color w:val="2E74B5" w:themeColor="accent1" w:themeShade="BF"/>
          <w:sz w:val="20"/>
          <w:szCs w:val="20"/>
          <w:lang w:eastAsia="en-US"/>
        </w:rPr>
        <w:br w:type="page"/>
      </w:r>
    </w:p>
    <w:p w:rsidR="00A31FC5" w:rsidRPr="00302B2C" w:rsidRDefault="00A31FC5" w:rsidP="00302B2C">
      <w:pPr>
        <w:rPr>
          <w:b/>
          <w:color w:val="2E74B5" w:themeColor="accent1" w:themeShade="BF"/>
        </w:rPr>
      </w:pPr>
      <w:r w:rsidRPr="00302B2C">
        <w:rPr>
          <w:b/>
          <w:color w:val="2E74B5" w:themeColor="accent1" w:themeShade="BF"/>
        </w:rPr>
        <w:lastRenderedPageBreak/>
        <w:t>ANNEXE 3 : Termes de référence pour les études de sauvegarde socio-environnementales</w:t>
      </w:r>
    </w:p>
    <w:p w:rsidR="00A31FC5" w:rsidRDefault="00A31FC5" w:rsidP="00BE2CAB">
      <w:pPr>
        <w:autoSpaceDE w:val="0"/>
        <w:autoSpaceDN w:val="0"/>
        <w:adjustRightInd w:val="0"/>
        <w:spacing w:after="0" w:line="240" w:lineRule="auto"/>
        <w:rPr>
          <w:rFonts w:eastAsiaTheme="minorHAnsi" w:cs="Times New Roman"/>
          <w:sz w:val="20"/>
          <w:szCs w:val="20"/>
          <w:lang w:eastAsia="en-US"/>
        </w:rPr>
      </w:pPr>
    </w:p>
    <w:p w:rsidR="00A31FC5" w:rsidRDefault="00A31FC5" w:rsidP="00BE2CAB">
      <w:pPr>
        <w:autoSpaceDE w:val="0"/>
        <w:autoSpaceDN w:val="0"/>
        <w:adjustRightInd w:val="0"/>
        <w:spacing w:after="0" w:line="240" w:lineRule="auto"/>
        <w:rPr>
          <w:rFonts w:eastAsiaTheme="minorHAnsi" w:cs="Times New Roman"/>
          <w:sz w:val="20"/>
          <w:szCs w:val="20"/>
          <w:lang w:eastAsia="en-US"/>
        </w:rPr>
      </w:pPr>
    </w:p>
    <w:p w:rsidR="00A31FC5" w:rsidRDefault="00A31FC5" w:rsidP="00BE2CAB">
      <w:pPr>
        <w:autoSpaceDE w:val="0"/>
        <w:autoSpaceDN w:val="0"/>
        <w:adjustRightInd w:val="0"/>
        <w:spacing w:after="0" w:line="240" w:lineRule="auto"/>
        <w:rPr>
          <w:rFonts w:eastAsiaTheme="minorHAnsi" w:cs="Times New Roman"/>
          <w:sz w:val="20"/>
          <w:szCs w:val="20"/>
          <w:lang w:eastAsia="en-US"/>
        </w:rPr>
      </w:pPr>
      <w:r>
        <w:rPr>
          <w:rFonts w:eastAsiaTheme="minorHAnsi" w:cs="Times New Roman"/>
          <w:sz w:val="20"/>
          <w:szCs w:val="20"/>
          <w:lang w:eastAsia="en-US"/>
        </w:rPr>
        <w:t>Le PIREDD Mai-Ndombe, en tant que financement additionnel du PGPAF, utilisera les instruments de sauvegardes révisées du PIF. Aussi, il n’y a pas lieu de proposer de termes de référence pour les études de sauvegarde socio-environnementales. Les analyses et instruments existent. Ils sont accessibles en ligne. Les liens sont communiqués ci-après :</w:t>
      </w:r>
    </w:p>
    <w:p w:rsidR="00A31FC5" w:rsidRDefault="00A31FC5" w:rsidP="00BE2CAB">
      <w:pPr>
        <w:autoSpaceDE w:val="0"/>
        <w:autoSpaceDN w:val="0"/>
        <w:adjustRightInd w:val="0"/>
        <w:spacing w:after="0" w:line="240" w:lineRule="auto"/>
        <w:rPr>
          <w:rFonts w:eastAsiaTheme="minorHAnsi" w:cs="Times New Roman"/>
          <w:sz w:val="20"/>
          <w:szCs w:val="20"/>
          <w:lang w:val="fr-CD" w:eastAsia="en-US"/>
        </w:rPr>
      </w:pPr>
    </w:p>
    <w:p w:rsidR="00BE2CAB" w:rsidRDefault="00BE2CAB" w:rsidP="00BE2CAB">
      <w:pPr>
        <w:autoSpaceDE w:val="0"/>
        <w:autoSpaceDN w:val="0"/>
        <w:adjustRightInd w:val="0"/>
        <w:spacing w:after="0" w:line="240" w:lineRule="auto"/>
        <w:rPr>
          <w:rFonts w:eastAsiaTheme="minorHAnsi" w:cs="Times New Roman"/>
          <w:sz w:val="20"/>
          <w:szCs w:val="20"/>
          <w:lang w:val="fr-CD" w:eastAsia="en-US"/>
        </w:rPr>
      </w:pPr>
      <w:r w:rsidRPr="003C700A">
        <w:rPr>
          <w:rFonts w:eastAsiaTheme="minorHAnsi" w:cs="Times New Roman"/>
          <w:sz w:val="20"/>
          <w:szCs w:val="20"/>
          <w:lang w:val="fr-CD" w:eastAsia="en-US"/>
        </w:rPr>
        <w:t>Cadre de Gestion Environnementale et Sociale</w:t>
      </w:r>
    </w:p>
    <w:p w:rsidR="00BE2CAB" w:rsidRPr="003C700A" w:rsidRDefault="0003745E" w:rsidP="00BE2CAB">
      <w:pPr>
        <w:autoSpaceDE w:val="0"/>
        <w:autoSpaceDN w:val="0"/>
        <w:adjustRightInd w:val="0"/>
        <w:spacing w:after="0" w:line="240" w:lineRule="auto"/>
        <w:rPr>
          <w:rStyle w:val="Hyperlink"/>
          <w:sz w:val="20"/>
          <w:szCs w:val="20"/>
        </w:rPr>
      </w:pPr>
      <w:hyperlink r:id="rId30" w:history="1">
        <w:r w:rsidR="00BE2CAB" w:rsidRPr="003E1194">
          <w:rPr>
            <w:rStyle w:val="Hyperlink"/>
            <w:sz w:val="20"/>
            <w:szCs w:val="20"/>
            <w:lang w:val="fr-CD"/>
          </w:rPr>
          <w:t>http://documents.banquemondiale.org/curated/fr/2014/03/19394419/congo-democratic-republic-improved-forested-landscape-management-project-environmental-assessment-vol-2-3-cadre-de-g</w:t>
        </w:r>
        <w:r w:rsidR="00BE2CAB" w:rsidRPr="003E1194">
          <w:rPr>
            <w:rStyle w:val="Hyperlink"/>
            <w:sz w:val="20"/>
            <w:szCs w:val="20"/>
          </w:rPr>
          <w:t>estion-environnementale-sociale</w:t>
        </w:r>
      </w:hyperlink>
    </w:p>
    <w:p w:rsidR="00BE2CAB" w:rsidRPr="003C700A" w:rsidRDefault="00BE2CAB" w:rsidP="00BE2CAB">
      <w:pPr>
        <w:autoSpaceDE w:val="0"/>
        <w:autoSpaceDN w:val="0"/>
        <w:adjustRightInd w:val="0"/>
        <w:spacing w:after="0" w:line="240" w:lineRule="auto"/>
        <w:rPr>
          <w:rFonts w:eastAsiaTheme="minorHAnsi" w:cs="Times New Roman"/>
          <w:sz w:val="20"/>
          <w:szCs w:val="20"/>
          <w:lang w:val="fr-CD" w:eastAsia="en-US"/>
        </w:rPr>
      </w:pPr>
    </w:p>
    <w:p w:rsidR="00BE2CAB" w:rsidRPr="003C700A" w:rsidRDefault="00BE2CAB" w:rsidP="00BE2CAB">
      <w:pPr>
        <w:autoSpaceDE w:val="0"/>
        <w:autoSpaceDN w:val="0"/>
        <w:adjustRightInd w:val="0"/>
        <w:spacing w:after="0" w:line="240" w:lineRule="auto"/>
        <w:rPr>
          <w:rFonts w:eastAsiaTheme="minorHAnsi" w:cs="Times New Roman"/>
          <w:sz w:val="20"/>
          <w:szCs w:val="20"/>
          <w:lang w:val="fr-CD" w:eastAsia="en-US"/>
        </w:rPr>
      </w:pPr>
      <w:r w:rsidRPr="003C700A">
        <w:rPr>
          <w:rFonts w:eastAsiaTheme="minorHAnsi" w:cs="Times New Roman"/>
          <w:sz w:val="20"/>
          <w:szCs w:val="20"/>
          <w:lang w:val="fr-CD" w:eastAsia="en-US"/>
        </w:rPr>
        <w:t>Plan de Gestion des pestes et pesticides</w:t>
      </w:r>
    </w:p>
    <w:p w:rsidR="00BE2CAB" w:rsidRPr="003C700A" w:rsidRDefault="0003745E" w:rsidP="00BE2CAB">
      <w:pPr>
        <w:autoSpaceDE w:val="0"/>
        <w:autoSpaceDN w:val="0"/>
        <w:adjustRightInd w:val="0"/>
        <w:spacing w:after="0" w:line="240" w:lineRule="auto"/>
        <w:rPr>
          <w:rStyle w:val="Hyperlink"/>
          <w:sz w:val="20"/>
          <w:szCs w:val="20"/>
        </w:rPr>
      </w:pPr>
      <w:hyperlink r:id="rId31" w:history="1">
        <w:r w:rsidR="00BE2CAB" w:rsidRPr="003E1194">
          <w:rPr>
            <w:rStyle w:val="Hyperlink"/>
            <w:sz w:val="20"/>
            <w:szCs w:val="20"/>
            <w:lang w:val="fr-CD"/>
          </w:rPr>
          <w:t>http://documents.banquemondiale.org/curated/fr/2014/03/19394418/congo-democratic-republic-improved-forested-landscape-management-project-environmental-assessment-vol-1-3-plan-de-gestion-des-pestes-pesticides</w:t>
        </w:r>
      </w:hyperlink>
    </w:p>
    <w:p w:rsidR="00BE2CAB" w:rsidRPr="003C700A" w:rsidRDefault="00BE2CAB" w:rsidP="00BE2CAB">
      <w:pPr>
        <w:autoSpaceDE w:val="0"/>
        <w:autoSpaceDN w:val="0"/>
        <w:adjustRightInd w:val="0"/>
        <w:spacing w:after="0" w:line="240" w:lineRule="auto"/>
        <w:rPr>
          <w:rFonts w:eastAsiaTheme="minorHAnsi" w:cs="Times New Roman"/>
          <w:sz w:val="20"/>
          <w:szCs w:val="20"/>
          <w:lang w:val="fr-CD" w:eastAsia="en-US"/>
        </w:rPr>
      </w:pPr>
    </w:p>
    <w:p w:rsidR="00BE2CAB" w:rsidRPr="003C700A" w:rsidRDefault="00BE2CAB" w:rsidP="00BE2CAB">
      <w:pPr>
        <w:autoSpaceDE w:val="0"/>
        <w:autoSpaceDN w:val="0"/>
        <w:adjustRightInd w:val="0"/>
        <w:spacing w:after="0" w:line="240" w:lineRule="auto"/>
        <w:rPr>
          <w:rFonts w:eastAsiaTheme="minorHAnsi" w:cs="Times New Roman"/>
          <w:b/>
          <w:sz w:val="20"/>
          <w:szCs w:val="20"/>
          <w:lang w:val="fr-CD" w:eastAsia="en-US"/>
        </w:rPr>
      </w:pPr>
      <w:r w:rsidRPr="003C700A">
        <w:rPr>
          <w:rFonts w:eastAsiaTheme="minorHAnsi" w:cs="Times New Roman"/>
          <w:sz w:val="20"/>
          <w:szCs w:val="20"/>
          <w:lang w:val="fr-CD" w:eastAsia="en-US"/>
        </w:rPr>
        <w:t>Cadre de gestion des ressources culturelles physiques</w:t>
      </w:r>
      <w:r w:rsidRPr="003C700A">
        <w:rPr>
          <w:rFonts w:eastAsiaTheme="minorHAnsi" w:cs="Times New Roman"/>
          <w:b/>
          <w:sz w:val="20"/>
          <w:szCs w:val="20"/>
          <w:lang w:val="fr-CD" w:eastAsia="en-US"/>
        </w:rPr>
        <w:t xml:space="preserve"> </w:t>
      </w:r>
      <w:hyperlink r:id="rId32" w:history="1">
        <w:r w:rsidRPr="003E1194">
          <w:rPr>
            <w:rStyle w:val="Hyperlink"/>
            <w:sz w:val="20"/>
            <w:szCs w:val="20"/>
            <w:lang w:val="fr-CD"/>
          </w:rPr>
          <w:t>http://documents.banquemondiale.org/curated/fr/2014/03/19394409/congo-democratic-republic-improved-forested-landscape-management-project-environmental-assessment-vol-3-3-cadre-de-gestion-des-ressources-culturelles-physiques</w:t>
        </w:r>
      </w:hyperlink>
    </w:p>
    <w:p w:rsidR="00BE2CAB" w:rsidRPr="003C700A" w:rsidRDefault="00BE2CAB" w:rsidP="00BE2CAB">
      <w:pPr>
        <w:autoSpaceDE w:val="0"/>
        <w:autoSpaceDN w:val="0"/>
        <w:adjustRightInd w:val="0"/>
        <w:spacing w:after="0" w:line="240" w:lineRule="auto"/>
        <w:jc w:val="both"/>
        <w:rPr>
          <w:rFonts w:eastAsiaTheme="minorHAnsi" w:cs="Times New Roman"/>
          <w:b/>
          <w:sz w:val="20"/>
          <w:szCs w:val="20"/>
          <w:lang w:val="fr-CD" w:eastAsia="en-US"/>
        </w:rPr>
      </w:pPr>
    </w:p>
    <w:p w:rsidR="00BE2CAB" w:rsidRPr="003C700A" w:rsidRDefault="00BE2CAB" w:rsidP="00BE2CAB">
      <w:pPr>
        <w:autoSpaceDE w:val="0"/>
        <w:autoSpaceDN w:val="0"/>
        <w:adjustRightInd w:val="0"/>
        <w:spacing w:after="0" w:line="240" w:lineRule="auto"/>
        <w:jc w:val="both"/>
        <w:rPr>
          <w:rFonts w:eastAsiaTheme="minorHAnsi" w:cs="Times New Roman"/>
          <w:sz w:val="20"/>
          <w:szCs w:val="20"/>
          <w:lang w:val="fr-CD" w:eastAsia="en-US"/>
        </w:rPr>
      </w:pPr>
      <w:r w:rsidRPr="003C700A">
        <w:rPr>
          <w:rFonts w:eastAsiaTheme="minorHAnsi" w:cs="Times New Roman"/>
          <w:sz w:val="20"/>
          <w:szCs w:val="20"/>
          <w:lang w:val="fr-CD" w:eastAsia="en-US"/>
        </w:rPr>
        <w:t>Cadre de politique de réinstallation</w:t>
      </w:r>
    </w:p>
    <w:p w:rsidR="00BE2CAB" w:rsidRPr="003C700A" w:rsidRDefault="0003745E" w:rsidP="00BE2CAB">
      <w:pPr>
        <w:autoSpaceDE w:val="0"/>
        <w:autoSpaceDN w:val="0"/>
        <w:adjustRightInd w:val="0"/>
        <w:spacing w:after="0" w:line="240" w:lineRule="auto"/>
        <w:jc w:val="both"/>
        <w:rPr>
          <w:rStyle w:val="Hyperlink"/>
          <w:sz w:val="20"/>
          <w:szCs w:val="20"/>
        </w:rPr>
      </w:pPr>
      <w:hyperlink r:id="rId33" w:history="1">
        <w:r w:rsidR="00BE2CAB" w:rsidRPr="003E1194">
          <w:rPr>
            <w:rStyle w:val="Hyperlink"/>
            <w:sz w:val="20"/>
            <w:szCs w:val="20"/>
            <w:lang w:val="fr-CD"/>
          </w:rPr>
          <w:t>http://documents.banquemondiale.org/curated/fr/2014/03/19399764/congo-democratic-republic-improved-forested-landscape-management-project-resettlement-plan-vol-1-2-cadre-de-politique-de-reinstallation</w:t>
        </w:r>
      </w:hyperlink>
    </w:p>
    <w:p w:rsidR="00BE2CAB" w:rsidRPr="003C700A" w:rsidRDefault="00BE2CAB" w:rsidP="00BE2CAB">
      <w:pPr>
        <w:autoSpaceDE w:val="0"/>
        <w:autoSpaceDN w:val="0"/>
        <w:adjustRightInd w:val="0"/>
        <w:spacing w:after="0" w:line="240" w:lineRule="auto"/>
        <w:jc w:val="both"/>
        <w:rPr>
          <w:rFonts w:eastAsiaTheme="minorHAnsi" w:cs="Times New Roman"/>
          <w:b/>
          <w:sz w:val="20"/>
          <w:szCs w:val="20"/>
          <w:lang w:val="fr-CD" w:eastAsia="en-US"/>
        </w:rPr>
      </w:pPr>
    </w:p>
    <w:p w:rsidR="00BE2CAB" w:rsidRPr="003C700A" w:rsidRDefault="00BE2CAB" w:rsidP="00BE2CAB">
      <w:pPr>
        <w:autoSpaceDE w:val="0"/>
        <w:autoSpaceDN w:val="0"/>
        <w:adjustRightInd w:val="0"/>
        <w:spacing w:after="0" w:line="240" w:lineRule="auto"/>
        <w:jc w:val="both"/>
        <w:rPr>
          <w:rFonts w:eastAsiaTheme="minorHAnsi" w:cs="Times New Roman"/>
          <w:sz w:val="20"/>
          <w:szCs w:val="20"/>
          <w:lang w:val="fr-CD" w:eastAsia="en-US"/>
        </w:rPr>
      </w:pPr>
      <w:r w:rsidRPr="003C700A">
        <w:rPr>
          <w:rFonts w:eastAsiaTheme="minorHAnsi" w:cs="Times New Roman"/>
          <w:sz w:val="20"/>
          <w:szCs w:val="20"/>
          <w:lang w:val="fr-CD" w:eastAsia="en-US"/>
        </w:rPr>
        <w:t>Cadre fonctionnel</w:t>
      </w:r>
    </w:p>
    <w:p w:rsidR="00BE2CAB" w:rsidRPr="003C700A" w:rsidRDefault="0003745E" w:rsidP="00BE2CAB">
      <w:pPr>
        <w:autoSpaceDE w:val="0"/>
        <w:autoSpaceDN w:val="0"/>
        <w:adjustRightInd w:val="0"/>
        <w:spacing w:after="0" w:line="240" w:lineRule="auto"/>
        <w:jc w:val="both"/>
        <w:rPr>
          <w:rStyle w:val="Hyperlink"/>
          <w:sz w:val="20"/>
          <w:szCs w:val="20"/>
        </w:rPr>
      </w:pPr>
      <w:hyperlink r:id="rId34" w:history="1">
        <w:r w:rsidR="00BE2CAB" w:rsidRPr="003E1194">
          <w:rPr>
            <w:rStyle w:val="Hyperlink"/>
            <w:sz w:val="20"/>
            <w:szCs w:val="20"/>
            <w:lang w:val="fr-CD"/>
          </w:rPr>
          <w:t>http://documents.banquemondiale.org/curated/fr/2014/03/19399765/congo-democratic-republic-improved-forested-landscape-management-project-resettlement-plan-vol-2-2-cadre-fonctionnel</w:t>
        </w:r>
      </w:hyperlink>
    </w:p>
    <w:p w:rsidR="00BE2CAB" w:rsidRDefault="00BE2CAB" w:rsidP="00BE2CAB">
      <w:pPr>
        <w:autoSpaceDE w:val="0"/>
        <w:autoSpaceDN w:val="0"/>
        <w:adjustRightInd w:val="0"/>
        <w:spacing w:after="0" w:line="240" w:lineRule="auto"/>
        <w:jc w:val="both"/>
        <w:rPr>
          <w:rFonts w:eastAsiaTheme="minorHAnsi" w:cs="Times New Roman"/>
          <w:b/>
          <w:sz w:val="20"/>
          <w:szCs w:val="20"/>
          <w:lang w:val="fr-CD" w:eastAsia="en-US"/>
        </w:rPr>
      </w:pPr>
    </w:p>
    <w:p w:rsidR="00BE2CAB" w:rsidRPr="003C700A" w:rsidRDefault="00BE2CAB" w:rsidP="00BE2CAB">
      <w:pPr>
        <w:autoSpaceDE w:val="0"/>
        <w:autoSpaceDN w:val="0"/>
        <w:adjustRightInd w:val="0"/>
        <w:spacing w:after="0" w:line="240" w:lineRule="auto"/>
        <w:jc w:val="both"/>
        <w:rPr>
          <w:rFonts w:eastAsiaTheme="minorHAnsi" w:cs="Times New Roman"/>
          <w:sz w:val="20"/>
          <w:szCs w:val="20"/>
          <w:lang w:val="fr-CD" w:eastAsia="en-US"/>
        </w:rPr>
      </w:pPr>
      <w:r w:rsidRPr="003C700A">
        <w:rPr>
          <w:rFonts w:eastAsiaTheme="minorHAnsi" w:cs="Times New Roman"/>
          <w:sz w:val="20"/>
          <w:szCs w:val="20"/>
          <w:lang w:val="fr-CD" w:eastAsia="en-US"/>
        </w:rPr>
        <w:t>Plan pour les Peuples Autochtones</w:t>
      </w:r>
    </w:p>
    <w:p w:rsidR="00A31FC5" w:rsidRPr="003E1194" w:rsidRDefault="000918D3" w:rsidP="00BE2CAB">
      <w:pPr>
        <w:autoSpaceDE w:val="0"/>
        <w:autoSpaceDN w:val="0"/>
        <w:adjustRightInd w:val="0"/>
        <w:spacing w:after="0" w:line="240" w:lineRule="auto"/>
        <w:jc w:val="both"/>
        <w:rPr>
          <w:rStyle w:val="Hyperlink"/>
          <w:sz w:val="20"/>
          <w:szCs w:val="20"/>
          <w:lang w:val="fr-CD"/>
        </w:rPr>
      </w:pPr>
      <w:r>
        <w:rPr>
          <w:sz w:val="20"/>
          <w:szCs w:val="20"/>
          <w:lang w:val="fr-CD"/>
        </w:rPr>
        <w:fldChar w:fldCharType="begin"/>
      </w:r>
      <w:r w:rsidR="003E1194">
        <w:rPr>
          <w:sz w:val="20"/>
          <w:szCs w:val="20"/>
          <w:lang w:val="fr-CD"/>
        </w:rPr>
        <w:instrText xml:space="preserve"> HYPERLINK "http://documents.banquemondiale.org/curated/fr/2014/03/19407483/congo-democratic-republic-improved-forested-landscape-management-project-indigenous-peoples-plan" </w:instrText>
      </w:r>
      <w:r>
        <w:rPr>
          <w:sz w:val="20"/>
          <w:szCs w:val="20"/>
          <w:lang w:val="fr-CD"/>
        </w:rPr>
        <w:fldChar w:fldCharType="separate"/>
      </w:r>
      <w:r w:rsidR="00A31FC5" w:rsidRPr="003E1194">
        <w:rPr>
          <w:rStyle w:val="Hyperlink"/>
          <w:sz w:val="20"/>
          <w:szCs w:val="20"/>
          <w:lang w:val="fr-CD"/>
        </w:rPr>
        <w:t>http://documents.banquemondiale.org/curated/fr/2014/03/19407483/congo-democratic-republic-improved-forested-landscape-management-project-indigenous-peoples-plan</w:t>
      </w:r>
    </w:p>
    <w:p w:rsidR="0002196E" w:rsidRDefault="000918D3" w:rsidP="00302B2C">
      <w:pPr>
        <w:rPr>
          <w:color w:val="2E74B5" w:themeColor="accent1" w:themeShade="BF"/>
          <w:sz w:val="20"/>
          <w:szCs w:val="20"/>
        </w:rPr>
      </w:pPr>
      <w:r>
        <w:rPr>
          <w:sz w:val="20"/>
          <w:szCs w:val="20"/>
          <w:lang w:val="fr-CD"/>
        </w:rPr>
        <w:fldChar w:fldCharType="end"/>
      </w:r>
      <w:r w:rsidR="00A31FC5" w:rsidRPr="0002196E">
        <w:rPr>
          <w:rStyle w:val="Hyperlink"/>
          <w:sz w:val="20"/>
          <w:szCs w:val="20"/>
        </w:rPr>
        <w:br w:type="page"/>
      </w:r>
      <w:bookmarkStart w:id="56" w:name="_Toc420681570"/>
      <w:r w:rsidR="00965B36" w:rsidRPr="00302B2C">
        <w:rPr>
          <w:b/>
          <w:color w:val="2E74B5" w:themeColor="accent1" w:themeShade="BF"/>
        </w:rPr>
        <w:lastRenderedPageBreak/>
        <w:t>Annexe 4</w:t>
      </w:r>
      <w:r w:rsidR="003E1194">
        <w:rPr>
          <w:b/>
          <w:color w:val="2E74B5" w:themeColor="accent1" w:themeShade="BF"/>
        </w:rPr>
        <w:t>a</w:t>
      </w:r>
      <w:r w:rsidR="0002196E" w:rsidRPr="00302B2C">
        <w:rPr>
          <w:b/>
          <w:color w:val="2E74B5" w:themeColor="accent1" w:themeShade="BF"/>
        </w:rPr>
        <w:t> : Contexte de la Province du Mai-Ndombe</w:t>
      </w:r>
      <w:bookmarkEnd w:id="56"/>
    </w:p>
    <w:p w:rsidR="0002196E" w:rsidRPr="0002196E" w:rsidRDefault="0002196E" w:rsidP="0002196E">
      <w:pPr>
        <w:pStyle w:val="Style3"/>
        <w:numPr>
          <w:ilvl w:val="0"/>
          <w:numId w:val="0"/>
        </w:numPr>
        <w:rPr>
          <w:color w:val="0563C1" w:themeColor="hyperlink"/>
          <w:sz w:val="20"/>
          <w:szCs w:val="20"/>
          <w:u w:val="single"/>
        </w:rPr>
      </w:pPr>
    </w:p>
    <w:p w:rsidR="0002196E" w:rsidRPr="00451070" w:rsidRDefault="0002196E" w:rsidP="00451070">
      <w:pPr>
        <w:rPr>
          <w:b/>
        </w:rPr>
      </w:pPr>
      <w:bookmarkStart w:id="57" w:name="_Toc420681571"/>
      <w:r w:rsidRPr="00451070">
        <w:rPr>
          <w:b/>
        </w:rPr>
        <w:t>Territoires et populations</w:t>
      </w:r>
      <w:bookmarkEnd w:id="57"/>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La Constitution de la RDC (2006) et la Loi de Décentralisation</w:t>
      </w:r>
      <w:r w:rsidRPr="0002196E">
        <w:rPr>
          <w:rStyle w:val="FootnoteReference"/>
          <w:rFonts w:asciiTheme="minorHAnsi" w:hAnsiTheme="minorHAnsi"/>
          <w:sz w:val="20"/>
          <w:szCs w:val="20"/>
        </w:rPr>
        <w:footnoteReference w:id="29"/>
      </w:r>
      <w:r w:rsidRPr="0002196E">
        <w:rPr>
          <w:rFonts w:asciiTheme="minorHAnsi" w:hAnsiTheme="minorHAnsi"/>
          <w:sz w:val="20"/>
          <w:szCs w:val="20"/>
        </w:rPr>
        <w:t xml:space="preserve"> instituent les limites des nouvelles Provinces du pays. La Province du </w:t>
      </w:r>
      <w:r w:rsidR="00EB17C0">
        <w:rPr>
          <w:rFonts w:asciiTheme="minorHAnsi" w:hAnsiTheme="minorHAnsi"/>
          <w:sz w:val="20"/>
          <w:szCs w:val="20"/>
        </w:rPr>
        <w:t>Mai-Ndombe</w:t>
      </w:r>
      <w:r w:rsidRPr="0002196E">
        <w:rPr>
          <w:rFonts w:asciiTheme="minorHAnsi" w:hAnsiTheme="minorHAnsi"/>
          <w:sz w:val="20"/>
          <w:szCs w:val="20"/>
        </w:rPr>
        <w:t xml:space="preserve"> occupe les deux districts actuels de la Province du Bandundu (226 000 km2) que sont le district du Plateau (31 751 km2)  et le district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(99 641 km2). Avec 131 393 km2 répartis dans huit Territoires, le </w:t>
      </w:r>
      <w:r w:rsidR="00EB17C0">
        <w:rPr>
          <w:rFonts w:asciiTheme="minorHAnsi" w:hAnsiTheme="minorHAnsi"/>
          <w:sz w:val="20"/>
          <w:szCs w:val="20"/>
        </w:rPr>
        <w:t>Mai-Ndombe</w:t>
      </w:r>
      <w:r w:rsidR="00C8222D">
        <w:rPr>
          <w:rFonts w:asciiTheme="minorHAnsi" w:hAnsiTheme="minorHAnsi"/>
          <w:sz w:val="20"/>
          <w:szCs w:val="20"/>
        </w:rPr>
        <w:t xml:space="preserve"> est </w:t>
      </w:r>
      <w:r w:rsidRPr="0002196E">
        <w:rPr>
          <w:rFonts w:asciiTheme="minorHAnsi" w:hAnsiTheme="minorHAnsi"/>
          <w:sz w:val="20"/>
          <w:szCs w:val="20"/>
        </w:rPr>
        <w:t>l’une des plus grandes Provinces de la RDC. Par sa population (1 500 000 habitants) et sa densité (13), elle appartient en revanche au nombre des Provinces les moins peuplées. Les densités humaines de la Province y varient fortement : entre 80 dans le petit Territoire de Yumbi, et 7 dans le Territoire de Kwam</w:t>
      </w:r>
      <w:r w:rsidR="00C8222D">
        <w:rPr>
          <w:rFonts w:asciiTheme="minorHAnsi" w:hAnsiTheme="minorHAnsi"/>
          <w:sz w:val="20"/>
          <w:szCs w:val="20"/>
        </w:rPr>
        <w:t>o</w:t>
      </w:r>
      <w:r w:rsidRPr="0002196E">
        <w:rPr>
          <w:rFonts w:asciiTheme="minorHAnsi" w:hAnsiTheme="minorHAnsi"/>
          <w:sz w:val="20"/>
          <w:szCs w:val="20"/>
        </w:rPr>
        <w:t>uth.</w:t>
      </w:r>
    </w:p>
    <w:p w:rsidR="0002196E" w:rsidRPr="0002196E" w:rsidRDefault="0002196E" w:rsidP="0002196E">
      <w:pPr>
        <w:pStyle w:val="Caption"/>
        <w:rPr>
          <w:sz w:val="20"/>
          <w:szCs w:val="20"/>
        </w:rPr>
      </w:pPr>
      <w:bookmarkStart w:id="58" w:name="_Toc420681605"/>
      <w:r w:rsidRPr="0002196E">
        <w:rPr>
          <w:sz w:val="20"/>
          <w:szCs w:val="20"/>
        </w:rPr>
        <w:t xml:space="preserve">Superficies totales </w:t>
      </w:r>
      <w:r w:rsidR="003F1DAA">
        <w:rPr>
          <w:sz w:val="20"/>
          <w:szCs w:val="20"/>
        </w:rPr>
        <w:t>(dont</w:t>
      </w:r>
      <w:r w:rsidRPr="0002196E">
        <w:rPr>
          <w:sz w:val="20"/>
          <w:szCs w:val="20"/>
        </w:rPr>
        <w:t xml:space="preserve"> forêt</w:t>
      </w:r>
      <w:r w:rsidR="003F1DAA">
        <w:rPr>
          <w:sz w:val="20"/>
          <w:szCs w:val="20"/>
        </w:rPr>
        <w:t>s)</w:t>
      </w:r>
      <w:r w:rsidRPr="0002196E">
        <w:rPr>
          <w:sz w:val="20"/>
          <w:szCs w:val="20"/>
        </w:rPr>
        <w:t>, populations, densités</w:t>
      </w:r>
      <w:bookmarkEnd w:id="58"/>
      <w:r w:rsidR="009F7E02">
        <w:rPr>
          <w:sz w:val="20"/>
          <w:szCs w:val="20"/>
        </w:rPr>
        <w:t xml:space="preserve"> par Territoire</w:t>
      </w:r>
    </w:p>
    <w:tbl>
      <w:tblPr>
        <w:tblW w:w="9488" w:type="dxa"/>
        <w:tblInd w:w="5" w:type="dxa"/>
        <w:tblLayout w:type="fixed"/>
        <w:tblCellMar>
          <w:left w:w="70" w:type="dxa"/>
          <w:right w:w="70" w:type="dxa"/>
        </w:tblCellMar>
        <w:tblLook w:val="04A0" w:firstRow="1" w:lastRow="0" w:firstColumn="1" w:lastColumn="0" w:noHBand="0" w:noVBand="1"/>
      </w:tblPr>
      <w:tblGrid>
        <w:gridCol w:w="1660"/>
        <w:gridCol w:w="1200"/>
        <w:gridCol w:w="1325"/>
        <w:gridCol w:w="1326"/>
        <w:gridCol w:w="1325"/>
        <w:gridCol w:w="1326"/>
        <w:gridCol w:w="1326"/>
      </w:tblGrid>
      <w:tr w:rsidR="0002196E" w:rsidRPr="0002196E" w:rsidTr="0002196E">
        <w:trPr>
          <w:trHeight w:val="300"/>
        </w:trPr>
        <w:tc>
          <w:tcPr>
            <w:tcW w:w="94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b/>
                <w:bCs/>
                <w:color w:val="000000"/>
                <w:sz w:val="18"/>
                <w:szCs w:val="18"/>
              </w:rPr>
            </w:pPr>
            <w:r w:rsidRPr="0002196E">
              <w:rPr>
                <w:rFonts w:eastAsia="Times New Roman" w:cs="Times New Roman"/>
                <w:b/>
                <w:bCs/>
                <w:color w:val="000000"/>
                <w:sz w:val="18"/>
                <w:szCs w:val="18"/>
              </w:rPr>
              <w:t> 2012</w:t>
            </w:r>
          </w:p>
        </w:tc>
      </w:tr>
      <w:tr w:rsidR="0002196E" w:rsidRPr="0002196E" w:rsidTr="0002196E">
        <w:trPr>
          <w:trHeight w:val="520"/>
        </w:trPr>
        <w:tc>
          <w:tcPr>
            <w:tcW w:w="16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2196E" w:rsidRPr="0002196E" w:rsidRDefault="0002196E" w:rsidP="00ED144B">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Territoire</w:t>
            </w:r>
          </w:p>
        </w:tc>
        <w:tc>
          <w:tcPr>
            <w:tcW w:w="12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02196E" w:rsidRDefault="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Superficie Totale (ST)</w:t>
            </w:r>
          </w:p>
        </w:tc>
        <w:tc>
          <w:tcPr>
            <w:tcW w:w="132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02196E" w:rsidRDefault="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Populations 2012 (santé)</w:t>
            </w:r>
          </w:p>
        </w:tc>
        <w:tc>
          <w:tcPr>
            <w:tcW w:w="132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02196E" w:rsidRDefault="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Densité Totale</w:t>
            </w:r>
          </w:p>
        </w:tc>
        <w:tc>
          <w:tcPr>
            <w:tcW w:w="132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02196E" w:rsidRDefault="00C8222D">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S</w:t>
            </w:r>
            <w:r w:rsidR="0002196E" w:rsidRPr="0002196E">
              <w:rPr>
                <w:rFonts w:eastAsia="Times New Roman" w:cs="Times New Roman"/>
                <w:b/>
                <w:color w:val="000000"/>
                <w:sz w:val="18"/>
                <w:szCs w:val="18"/>
              </w:rPr>
              <w:t>uperficies en forêt  (SF)</w:t>
            </w:r>
          </w:p>
        </w:tc>
        <w:tc>
          <w:tcPr>
            <w:tcW w:w="132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8222D" w:rsidRDefault="00C8222D">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T</w:t>
            </w:r>
            <w:r w:rsidR="0002196E" w:rsidRPr="0002196E">
              <w:rPr>
                <w:rFonts w:eastAsia="Times New Roman" w:cs="Times New Roman"/>
                <w:b/>
                <w:color w:val="000000"/>
                <w:sz w:val="18"/>
                <w:szCs w:val="18"/>
              </w:rPr>
              <w:t>aux</w:t>
            </w:r>
          </w:p>
          <w:p w:rsidR="0002196E" w:rsidRPr="0002196E" w:rsidRDefault="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 xml:space="preserve">SF </w:t>
            </w:r>
            <w:r w:rsidR="00C8222D">
              <w:rPr>
                <w:rFonts w:eastAsia="Times New Roman" w:cs="Times New Roman"/>
                <w:b/>
                <w:color w:val="000000"/>
                <w:sz w:val="18"/>
                <w:szCs w:val="18"/>
              </w:rPr>
              <w:t>/</w:t>
            </w:r>
            <w:r w:rsidRPr="0002196E">
              <w:rPr>
                <w:rFonts w:eastAsia="Times New Roman" w:cs="Times New Roman"/>
                <w:b/>
                <w:color w:val="000000"/>
                <w:sz w:val="18"/>
                <w:szCs w:val="18"/>
              </w:rPr>
              <w:t xml:space="preserve"> ST</w:t>
            </w:r>
          </w:p>
        </w:tc>
        <w:tc>
          <w:tcPr>
            <w:tcW w:w="132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02196E" w:rsidRDefault="00C8222D">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D</w:t>
            </w:r>
            <w:r w:rsidR="0002196E" w:rsidRPr="0002196E">
              <w:rPr>
                <w:rFonts w:eastAsia="Times New Roman" w:cs="Times New Roman"/>
                <w:b/>
                <w:color w:val="000000"/>
                <w:sz w:val="18"/>
                <w:szCs w:val="18"/>
              </w:rPr>
              <w:t>ensité par rapport à la Surface en forêt (SF)</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Inongo</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25132</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315630</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21769</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87%</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Kiri</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14133</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158200</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13580</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96%</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Kutu</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19237</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405796</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21</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16271</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85%</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25</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Oshwe</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41141</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162069</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40431</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98%</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Mai-</w:t>
            </w:r>
            <w:r w:rsidR="00413A41">
              <w:rPr>
                <w:rFonts w:eastAsia="Times New Roman" w:cs="Times New Roman"/>
                <w:color w:val="000000"/>
                <w:sz w:val="18"/>
                <w:szCs w:val="18"/>
              </w:rPr>
              <w:t>N</w:t>
            </w:r>
            <w:r w:rsidRPr="0002196E">
              <w:rPr>
                <w:rFonts w:eastAsia="Times New Roman" w:cs="Times New Roman"/>
                <w:color w:val="000000"/>
                <w:sz w:val="18"/>
                <w:szCs w:val="18"/>
              </w:rPr>
              <w:t>dombe</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99641</w:t>
            </w:r>
          </w:p>
        </w:tc>
        <w:tc>
          <w:tcPr>
            <w:tcW w:w="1325"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1041695</w:t>
            </w:r>
          </w:p>
        </w:tc>
        <w:tc>
          <w:tcPr>
            <w:tcW w:w="1326"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1325"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92051</w:t>
            </w:r>
          </w:p>
        </w:tc>
        <w:tc>
          <w:tcPr>
            <w:tcW w:w="1326" w:type="dxa"/>
            <w:tcBorders>
              <w:top w:val="nil"/>
              <w:left w:val="nil"/>
              <w:bottom w:val="single" w:sz="4" w:space="0" w:color="auto"/>
              <w:right w:val="single" w:sz="4" w:space="0" w:color="auto"/>
            </w:tcBorders>
            <w:shd w:val="clear" w:color="auto" w:fill="BDD6EE" w:themeFill="accent1" w:themeFillTint="66"/>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92%</w:t>
            </w:r>
          </w:p>
        </w:tc>
        <w:tc>
          <w:tcPr>
            <w:tcW w:w="1326"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Bolobo</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4124</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112531</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27</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2976</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72%</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38</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Kwamouth</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14552</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94933</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8760</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60%</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Mushie</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11860</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103254</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9406</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79%</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Yumbi</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1215</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97112</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80</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844</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69%</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115</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Plateau</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31751</w:t>
            </w:r>
          </w:p>
        </w:tc>
        <w:tc>
          <w:tcPr>
            <w:tcW w:w="1325"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407829</w:t>
            </w:r>
          </w:p>
        </w:tc>
        <w:tc>
          <w:tcPr>
            <w:tcW w:w="1326"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w:t>
            </w:r>
          </w:p>
        </w:tc>
        <w:tc>
          <w:tcPr>
            <w:tcW w:w="1325"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21986</w:t>
            </w:r>
          </w:p>
        </w:tc>
        <w:tc>
          <w:tcPr>
            <w:tcW w:w="1326" w:type="dxa"/>
            <w:tcBorders>
              <w:top w:val="nil"/>
              <w:left w:val="nil"/>
              <w:bottom w:val="single" w:sz="4" w:space="0" w:color="auto"/>
              <w:right w:val="single" w:sz="4" w:space="0" w:color="auto"/>
            </w:tcBorders>
            <w:shd w:val="clear" w:color="auto" w:fill="BDD6EE" w:themeFill="accent1" w:themeFillTint="66"/>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69%</w:t>
            </w:r>
          </w:p>
        </w:tc>
        <w:tc>
          <w:tcPr>
            <w:tcW w:w="1326"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r>
      <w:tr w:rsidR="0002196E" w:rsidRPr="0002196E" w:rsidTr="0002196E">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Province</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131 393</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1 449 524</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c>
          <w:tcPr>
            <w:tcW w:w="1325"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114 037</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87%</w:t>
            </w:r>
          </w:p>
        </w:tc>
        <w:tc>
          <w:tcPr>
            <w:tcW w:w="1326"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w:t>
            </w:r>
          </w:p>
        </w:tc>
      </w:tr>
    </w:tbl>
    <w:p w:rsidR="0002196E" w:rsidRPr="0002196E" w:rsidRDefault="0002196E" w:rsidP="0002196E">
      <w:pPr>
        <w:pStyle w:val="ListParagraph"/>
        <w:jc w:val="both"/>
        <w:rPr>
          <w:rFonts w:asciiTheme="minorHAnsi" w:hAnsiTheme="minorHAnsi"/>
          <w:color w:val="000000"/>
          <w:sz w:val="20"/>
          <w:szCs w:val="20"/>
        </w:rPr>
      </w:pPr>
      <w:r w:rsidRPr="0002196E">
        <w:rPr>
          <w:rFonts w:asciiTheme="minorHAnsi" w:hAnsiTheme="minorHAnsi"/>
          <w:color w:val="000000"/>
          <w:sz w:val="20"/>
          <w:szCs w:val="20"/>
        </w:rPr>
        <w:t xml:space="preserve">Sources : Ministère de la Santé, Atlas des Forêts de la RDC (2012), Ministère de l’Intérieur. </w:t>
      </w:r>
    </w:p>
    <w:p w:rsidR="0002196E" w:rsidRPr="0002196E" w:rsidRDefault="0002196E" w:rsidP="0002196E">
      <w:pPr>
        <w:pStyle w:val="ListParagraph"/>
        <w:jc w:val="both"/>
        <w:rPr>
          <w:rFonts w:asciiTheme="minorHAnsi" w:hAnsiTheme="minorHAnsi"/>
          <w:sz w:val="20"/>
          <w:szCs w:val="20"/>
        </w:rPr>
      </w:pP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 tableau ci-dessus fait apparaître la part essentielle du couvert forestier dans la superficie totale du district du </w:t>
      </w:r>
      <w:r w:rsidR="00EB17C0">
        <w:rPr>
          <w:rFonts w:asciiTheme="minorHAnsi" w:hAnsiTheme="minorHAnsi"/>
          <w:sz w:val="20"/>
          <w:szCs w:val="20"/>
        </w:rPr>
        <w:t>Mai-Ndombe</w:t>
      </w:r>
      <w:r w:rsidR="00DD03A6">
        <w:rPr>
          <w:rFonts w:asciiTheme="minorHAnsi" w:hAnsiTheme="minorHAnsi"/>
          <w:sz w:val="20"/>
          <w:szCs w:val="20"/>
        </w:rPr>
        <w:t xml:space="preserve"> </w:t>
      </w:r>
      <w:r w:rsidRPr="0002196E">
        <w:rPr>
          <w:rFonts w:asciiTheme="minorHAnsi" w:hAnsiTheme="minorHAnsi"/>
          <w:sz w:val="20"/>
          <w:szCs w:val="20"/>
        </w:rPr>
        <w:t>(92%) un peu moins élevée dans le Plateau (69%) pour une moyenne à 87 %. Il s’agit donc d’un espace essentiellement forestier, mais avec de grandes savanes herbeuses ou arbustives dans le sud  sur sol sablonneux (Kwam</w:t>
      </w:r>
      <w:r w:rsidR="00C8222D">
        <w:rPr>
          <w:rFonts w:asciiTheme="minorHAnsi" w:hAnsiTheme="minorHAnsi"/>
          <w:sz w:val="20"/>
          <w:szCs w:val="20"/>
        </w:rPr>
        <w:t>o</w:t>
      </w:r>
      <w:r w:rsidRPr="0002196E">
        <w:rPr>
          <w:rFonts w:asciiTheme="minorHAnsi" w:hAnsiTheme="minorHAnsi"/>
          <w:sz w:val="20"/>
          <w:szCs w:val="20"/>
        </w:rPr>
        <w:t>uth) et une mosaïque de forêts et savanes au centre, sur des sols mieux tenus (Mushie, Kutu). La forêt inondée est très présente dans les Territoires du nord (Inongo, Kiri), auprès de l’Equateur géographique et dans Oshwe.</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La pluviométrie varie entre 1900 mm par an au nord et 1600mm au sud, distribuée entre deux saisons des pluies, de septembre à décembre et de mars à mai, entrecoupées par deux saisons sèches, de juin à août et de janvier à février, peu marquées au nord. Ces variations climatiques, et la qualité des sols, indiquent un potentiel agronomique plus favorable au nord pour les cultures pérennes de cacao (mois le plus sec à plus de 60 mm) et de palmier, adapté au sud pour le café, l’hévéa et le palmier. La perception des changements climatiques par les populations, non confirmée par des séries suffisantes de relevés météorologiques, indiquent des températures plus élevées ces dernières années, des saisons sèches plus marquées, et des périodes sèches plus nombreuses et plus longues durant les saisons des pluies. La préoccupation concernant les changements climatiques est très répandue parmi les populations urbaines comme rurales.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Les populations du </w:t>
      </w:r>
      <w:r w:rsidR="00EB17C0">
        <w:rPr>
          <w:rFonts w:asciiTheme="minorHAnsi" w:hAnsiTheme="minorHAnsi"/>
          <w:sz w:val="20"/>
          <w:szCs w:val="20"/>
        </w:rPr>
        <w:t>Mai-Ndombe</w:t>
      </w:r>
      <w:r w:rsidR="00C8222D">
        <w:rPr>
          <w:rFonts w:asciiTheme="minorHAnsi" w:hAnsiTheme="minorHAnsi"/>
          <w:sz w:val="20"/>
          <w:szCs w:val="20"/>
        </w:rPr>
        <w:t xml:space="preserve"> </w:t>
      </w:r>
      <w:r w:rsidRPr="0002196E">
        <w:rPr>
          <w:rFonts w:asciiTheme="minorHAnsi" w:hAnsiTheme="minorHAnsi"/>
          <w:sz w:val="20"/>
          <w:szCs w:val="20"/>
        </w:rPr>
        <w:t xml:space="preserve">sont bantoues et pygmées. Les bantous : Anamongo, Bateke, Basakata, Baboma et apparentés (Tende, pêcheurs Nunus) sont répartis dans tous les Territoires, avec un clivage nord, patrilinéaire  </w:t>
      </w:r>
      <w:r w:rsidRPr="0002196E">
        <w:rPr>
          <w:rFonts w:asciiTheme="minorHAnsi" w:hAnsiTheme="minorHAnsi"/>
          <w:sz w:val="20"/>
          <w:szCs w:val="20"/>
        </w:rPr>
        <w:lastRenderedPageBreak/>
        <w:t xml:space="preserve">(Anamongo : Kiri, Inongo), et sud, matrilinéaire (Teke dans  </w:t>
      </w:r>
      <w:r w:rsidR="00137F5C">
        <w:rPr>
          <w:rFonts w:asciiTheme="minorHAnsi" w:hAnsiTheme="minorHAnsi"/>
          <w:sz w:val="20"/>
          <w:szCs w:val="20"/>
        </w:rPr>
        <w:t>Kwamouth</w:t>
      </w:r>
      <w:r w:rsidRPr="0002196E">
        <w:rPr>
          <w:rFonts w:asciiTheme="minorHAnsi" w:hAnsiTheme="minorHAnsi"/>
          <w:sz w:val="20"/>
          <w:szCs w:val="20"/>
        </w:rPr>
        <w:t xml:space="preserve">, Bolobo et Yumbi ;  Baboma dans Mushie ; Basakata dans Kutu). Chacun de ces groupes humains </w:t>
      </w:r>
      <w:r w:rsidR="0039694C" w:rsidRPr="0002196E">
        <w:rPr>
          <w:rFonts w:asciiTheme="minorHAnsi" w:hAnsiTheme="minorHAnsi"/>
          <w:sz w:val="20"/>
          <w:szCs w:val="20"/>
        </w:rPr>
        <w:t>à</w:t>
      </w:r>
      <w:r w:rsidRPr="0002196E">
        <w:rPr>
          <w:rFonts w:asciiTheme="minorHAnsi" w:hAnsiTheme="minorHAnsi"/>
          <w:sz w:val="20"/>
          <w:szCs w:val="20"/>
        </w:rPr>
        <w:t xml:space="preserve"> sa langue propre mais le lingala est la langue de communication courante, avec le français.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L’organisation administrative comprend deux Districts, 8 Territoires,  23 Secteurs, 66 Groupements</w:t>
      </w:r>
      <w:r w:rsidR="00C8222D">
        <w:rPr>
          <w:rFonts w:asciiTheme="minorHAnsi" w:hAnsiTheme="minorHAnsi"/>
          <w:sz w:val="20"/>
          <w:szCs w:val="20"/>
        </w:rPr>
        <w:t>,</w:t>
      </w:r>
      <w:r w:rsidRPr="0002196E">
        <w:rPr>
          <w:rFonts w:asciiTheme="minorHAnsi" w:hAnsiTheme="minorHAnsi"/>
          <w:sz w:val="20"/>
          <w:szCs w:val="20"/>
        </w:rPr>
        <w:t xml:space="preserve"> 4 Villes (Inongo, Kutu, Nioki, Bokoro)</w:t>
      </w:r>
      <w:r w:rsidR="00C8222D">
        <w:rPr>
          <w:rFonts w:asciiTheme="minorHAnsi" w:hAnsiTheme="minorHAnsi"/>
          <w:sz w:val="20"/>
          <w:szCs w:val="20"/>
        </w:rPr>
        <w:t xml:space="preserve"> et 1751 villages</w:t>
      </w:r>
      <w:r w:rsidRPr="0002196E">
        <w:rPr>
          <w:rFonts w:asciiTheme="minorHAnsi" w:hAnsiTheme="minorHAnsi"/>
          <w:sz w:val="20"/>
          <w:szCs w:val="20"/>
        </w:rPr>
        <w:t>. Pratiquement tous les villages ont un chef de localité nommé par l’administration. La mission de BioCF</w:t>
      </w:r>
      <w:r w:rsidRPr="0002196E">
        <w:rPr>
          <w:rFonts w:asciiTheme="minorHAnsi" w:hAnsiTheme="minorHAnsi"/>
          <w:i/>
          <w:sz w:val="20"/>
          <w:szCs w:val="20"/>
        </w:rPr>
        <w:t>plus</w:t>
      </w:r>
      <w:r w:rsidRPr="0002196E">
        <w:rPr>
          <w:rFonts w:asciiTheme="minorHAnsi" w:hAnsiTheme="minorHAnsi"/>
          <w:sz w:val="20"/>
          <w:szCs w:val="20"/>
        </w:rPr>
        <w:t xml:space="preserve"> dans le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a établi qu’un chef de terre couvrait en moyenne 1,2 village tandis que dans le district du Plateau le ratio est de un chef de terre pour deux villages. Les chefs de Secteur et de Groupement sont actuellement nommés par l’administration, sauf dans les Secteurs chefferie où la charge est coutumière. Les chefs coutumiers ainsi adoubés sont intégrés à l’administration territoriale, comme les chefs de Groupement. La Constitution et la Loi de Décentralisation instituent les Secteurs comme Entités Territoriales de Base. Leurs Conseils de Gestion seront élus lorsque la RDC sera en mesure d’organiser les élections, de même pour les communes urbaines et rurales. </w:t>
      </w:r>
    </w:p>
    <w:p w:rsidR="0002196E" w:rsidRPr="0002196E" w:rsidRDefault="009F7E02" w:rsidP="0002196E">
      <w:pPr>
        <w:pStyle w:val="Caption"/>
        <w:ind w:left="426"/>
        <w:rPr>
          <w:sz w:val="20"/>
          <w:szCs w:val="20"/>
        </w:rPr>
      </w:pPr>
      <w:bookmarkStart w:id="59" w:name="_Toc420681606"/>
      <w:r>
        <w:rPr>
          <w:sz w:val="20"/>
          <w:szCs w:val="20"/>
        </w:rPr>
        <w:t>O</w:t>
      </w:r>
      <w:r w:rsidR="0002196E" w:rsidRPr="0002196E">
        <w:rPr>
          <w:sz w:val="20"/>
          <w:szCs w:val="20"/>
        </w:rPr>
        <w:t xml:space="preserve">rganisation administrative de la Province du </w:t>
      </w:r>
      <w:r w:rsidR="00DD03A6">
        <w:rPr>
          <w:sz w:val="20"/>
          <w:szCs w:val="20"/>
        </w:rPr>
        <w:t>Mai-Ndombe</w:t>
      </w:r>
      <w:bookmarkEnd w:id="59"/>
    </w:p>
    <w:tbl>
      <w:tblPr>
        <w:tblW w:w="8460" w:type="dxa"/>
        <w:tblInd w:w="633" w:type="dxa"/>
        <w:tblCellMar>
          <w:left w:w="70" w:type="dxa"/>
          <w:right w:w="70" w:type="dxa"/>
        </w:tblCellMar>
        <w:tblLook w:val="04A0" w:firstRow="1" w:lastRow="0" w:firstColumn="1" w:lastColumn="0" w:noHBand="0" w:noVBand="1"/>
      </w:tblPr>
      <w:tblGrid>
        <w:gridCol w:w="2280"/>
        <w:gridCol w:w="1200"/>
        <w:gridCol w:w="1380"/>
        <w:gridCol w:w="1200"/>
        <w:gridCol w:w="1200"/>
        <w:gridCol w:w="1200"/>
      </w:tblGrid>
      <w:tr w:rsidR="0002196E" w:rsidRPr="0002196E" w:rsidTr="0002196E">
        <w:trPr>
          <w:trHeight w:val="300"/>
          <w:tblHeader/>
        </w:trPr>
        <w:tc>
          <w:tcPr>
            <w:tcW w:w="22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Territoire</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Secteur</w:t>
            </w:r>
          </w:p>
        </w:tc>
        <w:tc>
          <w:tcPr>
            <w:tcW w:w="138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Groupement</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Ville</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Commune</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villages</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Bolobo</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51</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Kwam</w:t>
            </w:r>
            <w:r w:rsidR="00C8222D">
              <w:rPr>
                <w:rFonts w:eastAsia="Times New Roman" w:cs="Times New Roman"/>
                <w:color w:val="000000"/>
                <w:sz w:val="18"/>
                <w:szCs w:val="18"/>
              </w:rPr>
              <w:t>o</w:t>
            </w:r>
            <w:r w:rsidRPr="0002196E">
              <w:rPr>
                <w:rFonts w:eastAsia="Times New Roman" w:cs="Times New Roman"/>
                <w:color w:val="000000"/>
                <w:sz w:val="18"/>
                <w:szCs w:val="18"/>
              </w:rPr>
              <w:t>uth</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148</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Mushie</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141</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Yumbi</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39</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Sous-total Plateau</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138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379</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Inongo</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491</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Kiri</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232</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Kutu</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389</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Oshwe</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138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260</w:t>
            </w:r>
          </w:p>
        </w:tc>
      </w:tr>
      <w:tr w:rsidR="0002196E" w:rsidRPr="0002196E" w:rsidTr="0002196E">
        <w:trPr>
          <w:trHeight w:val="170"/>
        </w:trPr>
        <w:tc>
          <w:tcPr>
            <w:tcW w:w="228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ED144B">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 xml:space="preserve">Sous-total </w:t>
            </w:r>
            <w:r w:rsidR="00DD03A6">
              <w:rPr>
                <w:rFonts w:eastAsia="Times New Roman" w:cs="Times New Roman"/>
                <w:color w:val="000000"/>
                <w:sz w:val="18"/>
                <w:szCs w:val="18"/>
              </w:rPr>
              <w:t>Mai-Ndombe</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15</w:t>
            </w:r>
          </w:p>
        </w:tc>
        <w:tc>
          <w:tcPr>
            <w:tcW w:w="138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46</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w:t>
            </w:r>
          </w:p>
        </w:tc>
        <w:tc>
          <w:tcPr>
            <w:tcW w:w="1200" w:type="dxa"/>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1372</w:t>
            </w:r>
          </w:p>
        </w:tc>
      </w:tr>
      <w:tr w:rsidR="0002196E" w:rsidRPr="0002196E" w:rsidTr="0002196E">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ED144B">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Total Province</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23</w:t>
            </w:r>
          </w:p>
        </w:tc>
        <w:tc>
          <w:tcPr>
            <w:tcW w:w="138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66</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12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1751</w:t>
            </w:r>
          </w:p>
        </w:tc>
      </w:tr>
    </w:tbl>
    <w:p w:rsidR="0002196E" w:rsidRPr="0002196E" w:rsidRDefault="0002196E" w:rsidP="0002196E">
      <w:pPr>
        <w:pStyle w:val="Default"/>
        <w:ind w:left="708"/>
        <w:jc w:val="both"/>
        <w:rPr>
          <w:rFonts w:asciiTheme="minorHAnsi" w:hAnsiTheme="minorHAnsi"/>
          <w:sz w:val="20"/>
          <w:szCs w:val="20"/>
        </w:rPr>
      </w:pPr>
      <w:r w:rsidRPr="0002196E">
        <w:rPr>
          <w:rFonts w:asciiTheme="minorHAnsi" w:hAnsiTheme="minorHAnsi"/>
          <w:sz w:val="20"/>
          <w:szCs w:val="20"/>
        </w:rPr>
        <w:t xml:space="preserve">Source : Administration du Territoire, CNI. </w:t>
      </w:r>
    </w:p>
    <w:p w:rsidR="0002196E" w:rsidRPr="0002196E" w:rsidRDefault="0002196E" w:rsidP="0002196E">
      <w:pPr>
        <w:pStyle w:val="Default"/>
        <w:ind w:left="708"/>
        <w:jc w:val="both"/>
        <w:rPr>
          <w:rFonts w:asciiTheme="minorHAnsi" w:hAnsiTheme="minorHAnsi"/>
          <w:sz w:val="20"/>
          <w:szCs w:val="20"/>
        </w:rPr>
      </w:pP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Les Peuples Autochtones (PA) représentent quelques 3% de la population, d’après les recoupements de la mission BioCf</w:t>
      </w:r>
      <w:r w:rsidRPr="0002196E">
        <w:rPr>
          <w:rFonts w:asciiTheme="minorHAnsi" w:hAnsiTheme="minorHAnsi"/>
          <w:i/>
          <w:sz w:val="20"/>
          <w:szCs w:val="20"/>
        </w:rPr>
        <w:t>plus</w:t>
      </w:r>
      <w:r w:rsidRPr="0002196E">
        <w:rPr>
          <w:rFonts w:asciiTheme="minorHAnsi" w:hAnsiTheme="minorHAnsi"/>
          <w:sz w:val="20"/>
          <w:szCs w:val="20"/>
        </w:rPr>
        <w:t xml:space="preserve">, pour un effectif total de l’ordre de 45 000 personnes réparties en 177 villages (10 % du nombre total des villages de la Province, mais 13 % du district du </w:t>
      </w:r>
      <w:r w:rsidR="00DD03A6">
        <w:rPr>
          <w:rFonts w:asciiTheme="minorHAnsi" w:hAnsiTheme="minorHAnsi"/>
          <w:sz w:val="20"/>
          <w:szCs w:val="20"/>
        </w:rPr>
        <w:t>Mai-Ndombe</w:t>
      </w:r>
      <w:r w:rsidRPr="0002196E">
        <w:rPr>
          <w:rFonts w:asciiTheme="minorHAnsi" w:hAnsiTheme="minorHAnsi"/>
          <w:sz w:val="20"/>
          <w:szCs w:val="20"/>
        </w:rPr>
        <w:t>)  dont 39 villages exclusivement PA, les autres mixtes. S’y ajoutent des communautés PA  de l’ordre de 200 personnes chacune, d’implantation récente (20</w:t>
      </w:r>
      <w:r w:rsidRPr="0002196E">
        <w:rPr>
          <w:rFonts w:asciiTheme="minorHAnsi" w:hAnsiTheme="minorHAnsi"/>
          <w:sz w:val="20"/>
          <w:szCs w:val="20"/>
          <w:vertAlign w:val="superscript"/>
        </w:rPr>
        <w:t>ème</w:t>
      </w:r>
      <w:r w:rsidRPr="0002196E">
        <w:rPr>
          <w:rFonts w:asciiTheme="minorHAnsi" w:hAnsiTheme="minorHAnsi"/>
          <w:sz w:val="20"/>
          <w:szCs w:val="20"/>
        </w:rPr>
        <w:t xml:space="preserve"> siècle) dans les Villes du Territoire de Kutu (Nioki, Kutu, Bokoro) dans le district du </w:t>
      </w:r>
      <w:r w:rsidR="00DD03A6">
        <w:rPr>
          <w:rFonts w:asciiTheme="minorHAnsi" w:hAnsiTheme="minorHAnsi"/>
          <w:sz w:val="20"/>
          <w:szCs w:val="20"/>
        </w:rPr>
        <w:t>Mai-Ndombe</w:t>
      </w:r>
      <w:r w:rsidRPr="0002196E">
        <w:rPr>
          <w:rFonts w:asciiTheme="minorHAnsi" w:hAnsiTheme="minorHAnsi"/>
          <w:sz w:val="20"/>
          <w:szCs w:val="20"/>
        </w:rPr>
        <w:t xml:space="preserve">. Le District du Plateau ne comprend aucun village ou campement PA et ses Territoires ne sont dans aucune aire de migration vitale traditionnelle des PA. Les PA sont en revanche fortement représentés dans les Territoires « Anamongo » de Kiri, Oshwe et Inongo. Dans ces trois Territoires cependant, tous les Secteurs et Groupements n’ont pas de PA. Dans trois Secteurs administratifs (Bolia, Pendzwa et Lokolama) le pourcentage des PA est important et compris entre 15 et 25%. Ces populations pygmées sont entièrement sédentaires, bien qu’elles évoluent en profondeur de leurs villages sur une vingtaine de kilomètres pour la chasse, la cueillette et l’apiculture, mais pour des durées de mouvement qui ne dépassent pas la semaine. L’agriculture, soit en propre soit comme main d’œuvre sur les terres des bantous, est leur activité principale comme la source majeure de leurs revenus monétaires. </w:t>
      </w:r>
    </w:p>
    <w:p w:rsidR="0002196E" w:rsidRPr="0002196E" w:rsidRDefault="0002196E" w:rsidP="0002196E">
      <w:pPr>
        <w:pStyle w:val="Caption"/>
        <w:ind w:left="360"/>
        <w:rPr>
          <w:sz w:val="20"/>
          <w:szCs w:val="20"/>
        </w:rPr>
      </w:pPr>
      <w:bookmarkStart w:id="60" w:name="_Toc420681607"/>
      <w:r w:rsidRPr="0002196E">
        <w:rPr>
          <w:sz w:val="20"/>
          <w:szCs w:val="20"/>
        </w:rPr>
        <w:t>Populations, n</w:t>
      </w:r>
      <w:r w:rsidR="00E15FEC">
        <w:rPr>
          <w:sz w:val="20"/>
          <w:szCs w:val="20"/>
        </w:rPr>
        <w:t>om</w:t>
      </w:r>
      <w:r w:rsidRPr="0002196E">
        <w:rPr>
          <w:sz w:val="20"/>
          <w:szCs w:val="20"/>
        </w:rPr>
        <w:t xml:space="preserve">bre de villages, chefferies, répartition des villages et effectifs des populations PA dans la Province du </w:t>
      </w:r>
      <w:r w:rsidR="00DD03A6">
        <w:rPr>
          <w:sz w:val="20"/>
          <w:szCs w:val="20"/>
        </w:rPr>
        <w:t>Mai-Ndombe</w:t>
      </w:r>
      <w:r w:rsidRPr="0002196E">
        <w:rPr>
          <w:sz w:val="20"/>
          <w:szCs w:val="20"/>
        </w:rPr>
        <w:t>.</w:t>
      </w:r>
      <w:bookmarkEnd w:id="60"/>
      <w:r w:rsidRPr="0002196E">
        <w:rPr>
          <w:sz w:val="20"/>
          <w:szCs w:val="20"/>
        </w:rPr>
        <w:t xml:space="preserve"> </w:t>
      </w:r>
    </w:p>
    <w:tbl>
      <w:tblPr>
        <w:tblW w:w="5162" w:type="pct"/>
        <w:tblInd w:w="-5" w:type="dxa"/>
        <w:tblLayout w:type="fixed"/>
        <w:tblCellMar>
          <w:left w:w="70" w:type="dxa"/>
          <w:right w:w="70" w:type="dxa"/>
        </w:tblCellMar>
        <w:tblLook w:val="04A0" w:firstRow="1" w:lastRow="0" w:firstColumn="1" w:lastColumn="0" w:noHBand="0" w:noVBand="1"/>
      </w:tblPr>
      <w:tblGrid>
        <w:gridCol w:w="1730"/>
        <w:gridCol w:w="933"/>
        <w:gridCol w:w="848"/>
        <w:gridCol w:w="850"/>
        <w:gridCol w:w="850"/>
        <w:gridCol w:w="850"/>
        <w:gridCol w:w="848"/>
        <w:gridCol w:w="764"/>
        <w:gridCol w:w="791"/>
        <w:gridCol w:w="968"/>
        <w:gridCol w:w="863"/>
      </w:tblGrid>
      <w:tr w:rsidR="00C8222D" w:rsidRPr="0002196E" w:rsidTr="00C8222D">
        <w:trPr>
          <w:trHeight w:val="992"/>
          <w:tblHeader/>
        </w:trPr>
        <w:tc>
          <w:tcPr>
            <w:tcW w:w="8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196E" w:rsidRPr="00ED144B" w:rsidRDefault="0002196E" w:rsidP="00ED144B">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Territoires et Secteurs</w:t>
            </w:r>
          </w:p>
        </w:tc>
        <w:tc>
          <w:tcPr>
            <w:tcW w:w="45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02196E">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Population en 2014 (Santé)</w:t>
            </w:r>
          </w:p>
        </w:tc>
        <w:tc>
          <w:tcPr>
            <w:tcW w:w="41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02196E">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Superficie (km²)</w:t>
            </w:r>
          </w:p>
        </w:tc>
        <w:tc>
          <w:tcPr>
            <w:tcW w:w="41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02196E">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Densité en 2014 (santé)</w:t>
            </w:r>
          </w:p>
        </w:tc>
        <w:tc>
          <w:tcPr>
            <w:tcW w:w="41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C8222D">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02196E" w:rsidRPr="00ED144B">
              <w:rPr>
                <w:rFonts w:eastAsia="Times New Roman" w:cs="Times New Roman"/>
                <w:b/>
                <w:color w:val="000000"/>
                <w:sz w:val="16"/>
                <w:szCs w:val="16"/>
              </w:rPr>
              <w:t>ombre de villages   (2)</w:t>
            </w:r>
          </w:p>
        </w:tc>
        <w:tc>
          <w:tcPr>
            <w:tcW w:w="41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C8222D">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02196E" w:rsidRPr="00ED144B">
              <w:rPr>
                <w:rFonts w:eastAsia="Times New Roman" w:cs="Times New Roman"/>
                <w:b/>
                <w:color w:val="000000"/>
                <w:sz w:val="16"/>
                <w:szCs w:val="16"/>
              </w:rPr>
              <w:t>ombre de chefs de terre</w:t>
            </w:r>
          </w:p>
        </w:tc>
        <w:tc>
          <w:tcPr>
            <w:tcW w:w="41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C8222D">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02196E" w:rsidRPr="00ED144B">
              <w:rPr>
                <w:rFonts w:eastAsia="Times New Roman" w:cs="Times New Roman"/>
                <w:b/>
                <w:color w:val="000000"/>
                <w:sz w:val="16"/>
                <w:szCs w:val="16"/>
              </w:rPr>
              <w:t>ombre de village(s) par chef de terre</w:t>
            </w:r>
          </w:p>
        </w:tc>
        <w:tc>
          <w:tcPr>
            <w:tcW w:w="37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C8222D">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02196E" w:rsidRPr="00ED144B">
              <w:rPr>
                <w:rFonts w:eastAsia="Times New Roman" w:cs="Times New Roman"/>
                <w:b/>
                <w:color w:val="000000"/>
                <w:sz w:val="16"/>
                <w:szCs w:val="16"/>
              </w:rPr>
              <w:t>ombre de villages  PA</w:t>
            </w:r>
          </w:p>
        </w:tc>
        <w:tc>
          <w:tcPr>
            <w:tcW w:w="38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C8222D">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02196E" w:rsidRPr="00ED144B">
              <w:rPr>
                <w:rFonts w:eastAsia="Times New Roman" w:cs="Times New Roman"/>
                <w:b/>
                <w:color w:val="000000"/>
                <w:sz w:val="16"/>
                <w:szCs w:val="16"/>
              </w:rPr>
              <w:t>ombre de villages mixtes</w:t>
            </w:r>
          </w:p>
        </w:tc>
        <w:tc>
          <w:tcPr>
            <w:tcW w:w="47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02196E">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Population estimée mission BM 2014</w:t>
            </w:r>
          </w:p>
        </w:tc>
        <w:tc>
          <w:tcPr>
            <w:tcW w:w="42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ED144B" w:rsidRDefault="0002196E">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 de la population</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INONGO</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BASENGELE</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141422</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7545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250</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250</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1,000</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INONGO</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106756</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10695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116</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108</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1,074</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18</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4400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4,1%</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BOLIA</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58758</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6499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138</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0,906</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37</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8800</w:t>
            </w:r>
          </w:p>
        </w:tc>
        <w:tc>
          <w:tcPr>
            <w:tcW w:w="420"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15</w:t>
            </w:r>
            <w:r w:rsidRPr="0002196E">
              <w:rPr>
                <w:rFonts w:eastAsia="Times New Roman" w:cs="Times New Roman"/>
                <w:color w:val="000000"/>
                <w:sz w:val="18"/>
                <w:szCs w:val="18"/>
                <w:shd w:val="clear" w:color="auto" w:fill="DEEAF6" w:themeFill="accent1" w:themeFillTint="33"/>
              </w:rPr>
              <w:t>,</w:t>
            </w: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TOTAL  INONGO</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306936</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24739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491</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496</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56</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13250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4,3%</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KIRI</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BERONGE</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159334</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13945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69</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1,7</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3800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LUTOY</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70747</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5158</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42</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20</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2,1</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25</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5800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lastRenderedPageBreak/>
              <w:t>PENDZWA</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67513</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3144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21</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56</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75</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16600</w:t>
            </w:r>
          </w:p>
        </w:tc>
        <w:tc>
          <w:tcPr>
            <w:tcW w:w="420"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25%</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TOTAL KIRI</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297594</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22246</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232</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145</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119</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26200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KUTU</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BADIA</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74523</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3229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23</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43</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0,7</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BATERE</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72737</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1656</w:t>
            </w:r>
          </w:p>
        </w:tc>
        <w:tc>
          <w:tcPr>
            <w:tcW w:w="413"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83</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45</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1,8</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MFIMI</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113761</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6040</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123</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107</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KEMBA</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93551</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3977</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54</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LUABU</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51222</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3917</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58</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0,8</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TOTAL KUTU</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405796</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18819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22</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389</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307</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OSHWE</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LOKOLAMA</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8152</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18652</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81</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14</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5,8</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1200</w:t>
            </w:r>
          </w:p>
        </w:tc>
        <w:tc>
          <w:tcPr>
            <w:tcW w:w="420"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15%</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 xml:space="preserve">NKAW </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56276</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7413</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75</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40</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2200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LUKENIE</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63529</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6356</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50</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50</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KANGARA</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34111</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8720</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54</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0%</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OSHWE</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162069</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41141</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260</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158</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1,6</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15</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3600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 xml:space="preserve">Total DISTRICT </w:t>
            </w:r>
            <w:r w:rsidR="00DD03A6">
              <w:rPr>
                <w:rFonts w:eastAsia="Times New Roman" w:cs="Times New Roman"/>
                <w:color w:val="000000"/>
                <w:sz w:val="18"/>
                <w:szCs w:val="18"/>
              </w:rPr>
              <w:t>Mai-Ndombe</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1172394</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106946</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1372</w:t>
            </w: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1106</w:t>
            </w: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1,2</w:t>
            </w: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39</w:t>
            </w: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177</w:t>
            </w:r>
          </w:p>
        </w:tc>
        <w:tc>
          <w:tcPr>
            <w:tcW w:w="47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43050</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r>
      <w:tr w:rsidR="00C8222D" w:rsidRPr="0002196E" w:rsidTr="00C8222D">
        <w:trPr>
          <w:trHeight w:val="240"/>
        </w:trPr>
        <w:tc>
          <w:tcPr>
            <w:tcW w:w="840" w:type="pct"/>
            <w:tcBorders>
              <w:top w:val="nil"/>
              <w:left w:val="single" w:sz="4" w:space="0" w:color="auto"/>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rPr>
                <w:rFonts w:eastAsia="Times New Roman" w:cs="Times New Roman"/>
                <w:color w:val="000000"/>
                <w:sz w:val="18"/>
                <w:szCs w:val="18"/>
              </w:rPr>
            </w:pPr>
            <w:r w:rsidRPr="0002196E">
              <w:rPr>
                <w:rFonts w:eastAsia="Times New Roman" w:cs="Times New Roman"/>
                <w:color w:val="000000"/>
                <w:sz w:val="18"/>
                <w:szCs w:val="18"/>
              </w:rPr>
              <w:t> </w:t>
            </w:r>
          </w:p>
        </w:tc>
        <w:tc>
          <w:tcPr>
            <w:tcW w:w="45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3"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12"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71"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384"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c>
          <w:tcPr>
            <w:tcW w:w="470"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3%</w:t>
            </w:r>
          </w:p>
        </w:tc>
        <w:tc>
          <w:tcPr>
            <w:tcW w:w="420"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p>
        </w:tc>
      </w:tr>
    </w:tbl>
    <w:p w:rsidR="0002196E" w:rsidRPr="0002196E" w:rsidRDefault="0002196E" w:rsidP="0002196E">
      <w:pPr>
        <w:rPr>
          <w:sz w:val="20"/>
          <w:szCs w:val="20"/>
        </w:rPr>
      </w:pPr>
      <w:r w:rsidRPr="0002196E">
        <w:rPr>
          <w:sz w:val="20"/>
          <w:szCs w:val="20"/>
        </w:rPr>
        <w:t xml:space="preserve">Sources : Ministères de la santé, de l’Intérieur, CNI, PDPA.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Les effectifs de population pris en compte dans ces tableaux proviennent des recensements effectués par les enquêteurs des Aires de Santé (découpage de base du Territoire effectué par le Ministère de la Santé) des deux Provinces. Le taux de croissance annuel admis (Léon de Saint Moulin) pour les populations rurales est de 3% et les chiffres des Aires de Santé sont en général cohérents avec ce taux appliqué aux chiffres du recensement dit scientifique de 1984</w:t>
      </w:r>
      <w:r w:rsidRPr="0002196E">
        <w:rPr>
          <w:rStyle w:val="FootnoteReference"/>
          <w:rFonts w:asciiTheme="minorHAnsi" w:hAnsiTheme="minorHAnsi"/>
          <w:sz w:val="20"/>
          <w:szCs w:val="20"/>
        </w:rPr>
        <w:footnoteReference w:id="30"/>
      </w:r>
      <w:r w:rsidRPr="0002196E">
        <w:rPr>
          <w:rFonts w:asciiTheme="minorHAnsi" w:hAnsiTheme="minorHAnsi"/>
          <w:sz w:val="20"/>
          <w:szCs w:val="20"/>
        </w:rPr>
        <w:t>. Les chiffres fournis par le Ministère de l’Intérieur pour 2014 lors de la mission BioCf</w:t>
      </w:r>
      <w:r w:rsidRPr="0002196E">
        <w:rPr>
          <w:rFonts w:asciiTheme="minorHAnsi" w:hAnsiTheme="minorHAnsi"/>
          <w:i/>
          <w:sz w:val="20"/>
          <w:szCs w:val="20"/>
        </w:rPr>
        <w:t>plus</w:t>
      </w:r>
      <w:r w:rsidRPr="0002196E">
        <w:rPr>
          <w:rFonts w:asciiTheme="minorHAnsi" w:hAnsiTheme="minorHAnsi"/>
          <w:sz w:val="20"/>
          <w:szCs w:val="20"/>
        </w:rPr>
        <w:t xml:space="preserve"> dans le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sont très supérieurs (souvent le double) à ces valeurs.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Ces populations sont essentiellement réparties en villages de 50 à 300 ménages le long des grandes voies d’eau et de leurs affluents (Congo, Kasaï, Mfimi, Molibampe, Bolongo Lule, Lutoy, Lokoro, Lac </w:t>
      </w:r>
      <w:r w:rsidR="00DD03A6">
        <w:rPr>
          <w:rFonts w:asciiTheme="minorHAnsi" w:hAnsiTheme="minorHAnsi"/>
          <w:sz w:val="20"/>
          <w:szCs w:val="20"/>
        </w:rPr>
        <w:t>Mai-Ndombe</w:t>
      </w:r>
      <w:r w:rsidRPr="0002196E">
        <w:rPr>
          <w:rFonts w:asciiTheme="minorHAnsi" w:hAnsiTheme="minorHAnsi"/>
          <w:sz w:val="20"/>
          <w:szCs w:val="20"/>
        </w:rPr>
        <w:t xml:space="preserve">, Lukenie) ainsi que du réseau des routes principales. </w:t>
      </w:r>
    </w:p>
    <w:p w:rsidR="0002196E" w:rsidRPr="00451070" w:rsidRDefault="0002196E" w:rsidP="00451070">
      <w:pPr>
        <w:rPr>
          <w:b/>
        </w:rPr>
      </w:pPr>
      <w:bookmarkStart w:id="61" w:name="_Toc420681572"/>
      <w:r w:rsidRPr="00451070">
        <w:rPr>
          <w:b/>
        </w:rPr>
        <w:t>Occupation et usage des sols et des eaux</w:t>
      </w:r>
      <w:bookmarkEnd w:id="61"/>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Les populations rurales de la Province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pratiquent cinq grandes activités principales: l’agriculture, l’élevage du petit bétail,  la pêche, la chasse et la cueillette. Ces deux dernières activités restent très importantes pour les pygmées mais elles sont pratiquées par toute la population rurale. Pour la quasi-totalité des communautés toutefois, l’activité principale est l’agriculture ainsi que la source principale des revenus monétaires, y compris pour les PA ou pour les pêcheurs spécialisés comme les Nunus, étant donné la destruction progressive des ressources halieutiques du fait des techniques de pêche employées et de l’augmentation du nombre des pêcheurs.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L’élevage du gros bétail est devenu l’activité prisée par les plus prospères des agriculteurs et des habitants des villes, haut-fonctionnaires, commerçants. Ils acquièrent pour ce faire des « fermes », sur des superficies de 50 à 500 ha,  délimitées par les agronomes des Secteurs du Ministère de l’Agriculture puis enregistrées pour partie au Secteur, éventuellement au Territoire sous le titre semi officiel de « concessions fermières ». Ce sont des baux à ferme d’une durée de 5 ans, avec paiement de redevance au chef de terre. Ils peuvent évoluer vers l’appropriation perpétuelle par passage au service du cadastre, qui délivre les certificats d’enregistrement. Une part significative des savanes de Bolobo, de Mushie, de Yumbi et des Basengele, de Kutu, du sud d’Oshwe sont ainsi sous bail à ferme. L’élevage y est </w:t>
      </w:r>
      <w:r w:rsidRPr="0002196E">
        <w:rPr>
          <w:rFonts w:asciiTheme="minorHAnsi" w:hAnsiTheme="minorHAnsi"/>
          <w:sz w:val="20"/>
          <w:szCs w:val="20"/>
        </w:rPr>
        <w:lastRenderedPageBreak/>
        <w:t xml:space="preserve">pratiqué de manière très extensive, avec des charges très faibles à l’hectare, constituant une menace permanente pour l’agriculture par la divagation des troupeaux, souvent réduits à quelques têtes, mais aussi et surtout par la pratique du feu de brousse afin d’obtenir du regain, durant les mois les plus déconseillés de la saison sèche, juillet et août. Il est impossible d’évaluer les superficies ainsi mises sous bail à ferme d’élevage dans les Territoires du </w:t>
      </w:r>
      <w:r w:rsidR="00DD03A6">
        <w:rPr>
          <w:rFonts w:asciiTheme="minorHAnsi" w:hAnsiTheme="minorHAnsi"/>
          <w:sz w:val="20"/>
          <w:szCs w:val="20"/>
        </w:rPr>
        <w:t>Mai-Ndombe</w:t>
      </w:r>
      <w:r w:rsidRPr="0002196E">
        <w:rPr>
          <w:rFonts w:asciiTheme="minorHAnsi" w:hAnsiTheme="minorHAnsi"/>
          <w:sz w:val="20"/>
          <w:szCs w:val="20"/>
        </w:rPr>
        <w:t>. En effet, nombre de ces élevages ne sont pas enregistrés du tout et la quasi-totalité des mesures de superficies sont fantaisistes. Certaines forêts secondaires de Kwam</w:t>
      </w:r>
      <w:r w:rsidR="00137F5C">
        <w:rPr>
          <w:rFonts w:asciiTheme="minorHAnsi" w:hAnsiTheme="minorHAnsi"/>
          <w:sz w:val="20"/>
          <w:szCs w:val="20"/>
        </w:rPr>
        <w:t>o</w:t>
      </w:r>
      <w:r w:rsidRPr="0002196E">
        <w:rPr>
          <w:rFonts w:asciiTheme="minorHAnsi" w:hAnsiTheme="minorHAnsi"/>
          <w:sz w:val="20"/>
          <w:szCs w:val="20"/>
        </w:rPr>
        <w:t xml:space="preserve">uth par exemple ont été transformées ces dix dernières années en concession d’élevage, par dégradation active et volontaire de la forêt, afin d’en faire des pâturages. Avec la chasse des rats de savane, ces fermes d’élevage sont la cause principale des feux de brousse annuels dans le </w:t>
      </w:r>
      <w:r w:rsidR="00DD03A6">
        <w:rPr>
          <w:rFonts w:asciiTheme="minorHAnsi" w:hAnsiTheme="minorHAnsi"/>
          <w:sz w:val="20"/>
          <w:szCs w:val="20"/>
        </w:rPr>
        <w:t>Mai-Ndombe</w:t>
      </w:r>
      <w:r w:rsidRPr="0002196E">
        <w:rPr>
          <w:rFonts w:asciiTheme="minorHAnsi" w:hAnsiTheme="minorHAnsi"/>
          <w:sz w:val="20"/>
          <w:szCs w:val="20"/>
        </w:rPr>
        <w:t xml:space="preserve">. Le passage annuel ou bisannuel du feu fait la différence entre un terrain de savane (passage annuel) et de forêt cultivée (champ de forêt du complexe rural, passage du feu tous les 5 à 8 ans) ou de forêt secondaire ou primaire (sans passage du feu ou au-delà d’une fois tous les 10 à 15 ans). Dans le premier cas, passage annuel, le recru forestier est difficile, il se limite à une flore herbacée et arbustive spécialisée. Dans le Territoire de Yumbi, la plupart des terres disponibles ont été ainsi vendues ou mises sous bail à ferme, alors que la densité humaine y est très élevée. Les conflits fonciers y sont d’autant plus aigus.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Les mauvaises performances de la pêche, dénoncées par les pêcheurs eux-mêmes dans l’ensemble de la Province, sont une cause importante du recours croissant à l’agriculture comme source de revenus monétaires. Outre la dimension non réglementaire des mailles des filets (jusqu’à la moustiquaire, recyclage courant des campagnes de distribution contre la malaria), la cause la plus radicale de la destruction  de la ressource halieutique est l’encerclement systématique des frayères dès le début de la saison sèche, à la décru des rivières. Le recours des pêcheurs à l’agriculture sur les îles du Fleuve Congo, qui s’est développé ces dernières années pour compenser la diminution des prises de poisson, a abouti à la destruction progressive de ces îles dont les bordures arborées ont été détruites, ouvrant la voie à l’ensablement du Fleuve. Le PIF a prévu un travail spécifique de reboisement et de recherche développement sur ces îles. Des ONGs se sont employées depuis plusieurs années à organiser les pêcheurs pour qu’ils modifient leurs pratiques en conformité avec les préconisations du Ministère de l’Agriculture. Ces efforts n’ont pas donné de résultats très probants pour l’instant, par manque de suivi en particulier et par faiblesse de l’implication de l’état dans le processus: aucune des pratiques de pêche interdites n’est en réalité sanctionnée.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 charbonnage est pratiqué depuis plusieurs décennies sur les berges du Fleuve Congo, surtout sur la rive gauche qui évolue vers une savanisation herbeuse. L’épuisement des forêts du Bas Congo et la diminution des coûts de transport des marchandises sur les voies fluviales à partir de 2010 </w:t>
      </w:r>
      <w:r w:rsidRPr="0002196E">
        <w:rPr>
          <w:rStyle w:val="FootnoteReference"/>
          <w:rFonts w:asciiTheme="minorHAnsi" w:hAnsiTheme="minorHAnsi"/>
          <w:sz w:val="20"/>
          <w:szCs w:val="20"/>
        </w:rPr>
        <w:footnoteReference w:id="31"/>
      </w:r>
      <w:r w:rsidRPr="0002196E">
        <w:rPr>
          <w:rFonts w:asciiTheme="minorHAnsi" w:hAnsiTheme="minorHAnsi"/>
          <w:sz w:val="20"/>
          <w:szCs w:val="20"/>
        </w:rPr>
        <w:t xml:space="preserve"> ont abouti à la pénétration très en profondeur du charbonnage le long des rivières et des berges du lac, c’est-à-dire à plus de 500 km de Kinshasa, destination finale de cette exploitation, avec Brazzaville. On observe deux provenances principales du charbon de bois du </w:t>
      </w:r>
      <w:r w:rsidR="00EB17C0">
        <w:rPr>
          <w:rFonts w:asciiTheme="minorHAnsi" w:hAnsiTheme="minorHAnsi"/>
          <w:sz w:val="20"/>
          <w:szCs w:val="20"/>
        </w:rPr>
        <w:t>Mai-Ndombe</w:t>
      </w:r>
      <w:r w:rsidRPr="0002196E">
        <w:rPr>
          <w:rFonts w:asciiTheme="minorHAnsi" w:hAnsiTheme="minorHAnsi"/>
          <w:sz w:val="20"/>
          <w:szCs w:val="20"/>
        </w:rPr>
        <w:t>: les berges de la Lukenie autour de Tolo et les lambeaux forestiers proches du Fleuve et du Kwa, dans Kwam</w:t>
      </w:r>
      <w:r w:rsidR="00137F5C">
        <w:rPr>
          <w:rFonts w:asciiTheme="minorHAnsi" w:hAnsiTheme="minorHAnsi"/>
          <w:sz w:val="20"/>
          <w:szCs w:val="20"/>
        </w:rPr>
        <w:t>o</w:t>
      </w:r>
      <w:r w:rsidRPr="0002196E">
        <w:rPr>
          <w:rFonts w:asciiTheme="minorHAnsi" w:hAnsiTheme="minorHAnsi"/>
          <w:sz w:val="20"/>
          <w:szCs w:val="20"/>
        </w:rPr>
        <w:t xml:space="preserve">uth, qui servent également de fronts pionniers à maïs. Mais aujourd’hui le charbonnage est presque général le long des cours d’eau comme des routes qui y conduisent. Il est souvent le fait d’entrepreneurs qui opéraient auparavant dans le Bas Congo, qui utilisent les jeunes des villages comme main d’œuvre. Le prix du sac de charbon de bois est deux fois moins élevé dans le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(4 000 FC)  que dans le reste du Bandundu et dans le Bas Congo (8 000 FC).</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Il est difficile d’estimer le nombre de sacs de charbon de bois livrés à Kinshasa ou à Brazzaville en provenance du </w:t>
      </w:r>
      <w:r w:rsidR="00EB17C0">
        <w:rPr>
          <w:rFonts w:asciiTheme="minorHAnsi" w:hAnsiTheme="minorHAnsi"/>
          <w:sz w:val="20"/>
          <w:szCs w:val="20"/>
        </w:rPr>
        <w:t>Mai-Ndombe</w:t>
      </w:r>
      <w:r w:rsidR="00137F5C">
        <w:rPr>
          <w:rFonts w:asciiTheme="minorHAnsi" w:hAnsiTheme="minorHAnsi"/>
          <w:sz w:val="20"/>
          <w:szCs w:val="20"/>
        </w:rPr>
        <w:t xml:space="preserve"> </w:t>
      </w:r>
      <w:r w:rsidRPr="0002196E">
        <w:rPr>
          <w:rFonts w:asciiTheme="minorHAnsi" w:hAnsiTheme="minorHAnsi"/>
          <w:sz w:val="20"/>
          <w:szCs w:val="20"/>
        </w:rPr>
        <w:t>(de même pour les grumes ou le bois scié, d’exploitation industrielle ou artisanale) du fait qu’une grande partie des bateaux  et baleinières qui les transportent contournent le poste de contrôle de Mushie où ils devraient payer une taxe de 2 000 FC par sac de charbon.  On peut l’estimer à plusieurs centaines de milliers de sacs</w:t>
      </w:r>
      <w:r w:rsidRPr="0002196E">
        <w:rPr>
          <w:rStyle w:val="FootnoteReference"/>
          <w:rFonts w:asciiTheme="minorHAnsi" w:hAnsiTheme="minorHAnsi"/>
          <w:sz w:val="20"/>
          <w:szCs w:val="20"/>
        </w:rPr>
        <w:footnoteReference w:id="32"/>
      </w:r>
      <w:r w:rsidRPr="0002196E">
        <w:rPr>
          <w:rFonts w:asciiTheme="minorHAnsi" w:hAnsiTheme="minorHAnsi"/>
          <w:sz w:val="20"/>
          <w:szCs w:val="20"/>
        </w:rPr>
        <w:t>. Cette estimation ne prend pas en compte l’aval de Mushie sur le Kwa, dont Kwam</w:t>
      </w:r>
      <w:r w:rsidR="00137F5C">
        <w:rPr>
          <w:rFonts w:asciiTheme="minorHAnsi" w:hAnsiTheme="minorHAnsi"/>
          <w:sz w:val="20"/>
          <w:szCs w:val="20"/>
        </w:rPr>
        <w:t>o</w:t>
      </w:r>
      <w:r w:rsidRPr="0002196E">
        <w:rPr>
          <w:rFonts w:asciiTheme="minorHAnsi" w:hAnsiTheme="minorHAnsi"/>
          <w:sz w:val="20"/>
          <w:szCs w:val="20"/>
        </w:rPr>
        <w:t xml:space="preserve">uth, ni Bolobo et Yumbi, côté Fleuve.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Dans toute la Province du </w:t>
      </w:r>
      <w:r w:rsidR="00DD03A6">
        <w:rPr>
          <w:rFonts w:asciiTheme="minorHAnsi" w:hAnsiTheme="minorHAnsi"/>
          <w:sz w:val="20"/>
          <w:szCs w:val="20"/>
        </w:rPr>
        <w:t>Mai-Ndombe</w:t>
      </w:r>
      <w:r w:rsidRPr="0002196E">
        <w:rPr>
          <w:rFonts w:asciiTheme="minorHAnsi" w:hAnsiTheme="minorHAnsi"/>
          <w:sz w:val="20"/>
          <w:szCs w:val="20"/>
        </w:rPr>
        <w:t xml:space="preserve">, l’agriculture est principalement pratiquée sur jachère brulis ou dans le « complexe rural », c’est-à-dire sur des terres exondées où la jachère dure de 4 à 7 ans. Le « complexe rural » est lui-même issu de la dégradation de la forêt originelle. En considérant que 90 % des ménages sont agricoles, en comptant 5,5 habitants par ménage moyen et une population globale d’1,5 million de personnes, leur nombre est de 245 000 en 2014. Leur besoin en terre cultivée et en jachère (en comptant un cycle de culture de 2 ans et une </w:t>
      </w:r>
      <w:r w:rsidRPr="0002196E">
        <w:rPr>
          <w:rFonts w:asciiTheme="minorHAnsi" w:hAnsiTheme="minorHAnsi"/>
          <w:sz w:val="20"/>
          <w:szCs w:val="20"/>
        </w:rPr>
        <w:lastRenderedPageBreak/>
        <w:t>durée de jachère de 5 ans) est de 5ha</w:t>
      </w:r>
      <w:r w:rsidRPr="0002196E">
        <w:rPr>
          <w:rStyle w:val="FootnoteReference"/>
          <w:rFonts w:asciiTheme="minorHAnsi" w:hAnsiTheme="minorHAnsi"/>
          <w:sz w:val="20"/>
          <w:szCs w:val="20"/>
        </w:rPr>
        <w:footnoteReference w:id="33"/>
      </w:r>
      <w:r w:rsidRPr="0002196E">
        <w:rPr>
          <w:rFonts w:asciiTheme="minorHAnsi" w:hAnsiTheme="minorHAnsi"/>
          <w:sz w:val="20"/>
          <w:szCs w:val="20"/>
        </w:rPr>
        <w:t xml:space="preserve">. La superficie requise par l’agriculture vivrière à ce compte est de 1 225 000 hectares, 12 250 km2. Elle double tous les 23 ans en comptant un taux de croissance de 3% de la population. Pour compléter l’analyse des besoins en terre dans le </w:t>
      </w:r>
      <w:r w:rsidR="00DD03A6">
        <w:rPr>
          <w:rFonts w:asciiTheme="minorHAnsi" w:hAnsiTheme="minorHAnsi"/>
          <w:sz w:val="20"/>
          <w:szCs w:val="20"/>
        </w:rPr>
        <w:t>Mai-Ndombe</w:t>
      </w:r>
      <w:r w:rsidRPr="0002196E">
        <w:rPr>
          <w:rFonts w:asciiTheme="minorHAnsi" w:hAnsiTheme="minorHAnsi"/>
          <w:sz w:val="20"/>
          <w:szCs w:val="20"/>
        </w:rPr>
        <w:t xml:space="preserve">, il convient de signaler l’importante migration (non étudiée) vers la Province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en provenance de la zone savanicole du Kwilu (Masi Manimba, Idiofa, Bulungu) et même de la forêt totalement anthropisée du nord d’Idiofa, rive gauche du Kasaï. Les zones les plus menacées par cette migration sont les forêts de </w:t>
      </w:r>
      <w:r w:rsidR="00137F5C">
        <w:rPr>
          <w:rFonts w:asciiTheme="minorHAnsi" w:hAnsiTheme="minorHAnsi"/>
          <w:sz w:val="20"/>
          <w:szCs w:val="20"/>
        </w:rPr>
        <w:t>Kwamouth</w:t>
      </w:r>
      <w:r w:rsidRPr="0002196E">
        <w:rPr>
          <w:rFonts w:asciiTheme="minorHAnsi" w:hAnsiTheme="minorHAnsi"/>
          <w:sz w:val="20"/>
          <w:szCs w:val="20"/>
        </w:rPr>
        <w:t xml:space="preserve"> et celles du sud d’Oshwe</w:t>
      </w:r>
      <w:r w:rsidRPr="0002196E">
        <w:rPr>
          <w:rStyle w:val="FootnoteReference"/>
          <w:rFonts w:asciiTheme="minorHAnsi" w:hAnsiTheme="minorHAnsi"/>
          <w:sz w:val="20"/>
          <w:szCs w:val="20"/>
        </w:rPr>
        <w:footnoteReference w:id="34"/>
      </w:r>
      <w:r w:rsidRPr="0002196E">
        <w:rPr>
          <w:rFonts w:asciiTheme="minorHAnsi" w:hAnsiTheme="minorHAnsi"/>
          <w:sz w:val="20"/>
          <w:szCs w:val="20"/>
        </w:rPr>
        <w:t>.</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L’agriculture se réalise sur des terres exondées, et non pas sur des terres subissant une inondation permanente ou temporaire en saison des pluies (saison précisément où l’on cultive). Les terres de forêt exondées et du complexe rural représentent dans la Province une superficie de 99 174 km2. Les superficies cultivées représentent 12 % de cette superficie en 2012.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 district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et non pas celui du Plateau, a été une zone de grande production de café et d’hévéa, mais aussi, à moindre échelle, de cacao (Inongo, Kiri, nord d’Oshwe). Des dizaines de milliers d’ha de plantations ont été abandonné</w:t>
      </w:r>
      <w:r w:rsidR="00137F5C">
        <w:rPr>
          <w:rFonts w:asciiTheme="minorHAnsi" w:hAnsiTheme="minorHAnsi"/>
          <w:sz w:val="20"/>
          <w:szCs w:val="20"/>
        </w:rPr>
        <w:t>e</w:t>
      </w:r>
      <w:r w:rsidRPr="0002196E">
        <w:rPr>
          <w:rFonts w:asciiTheme="minorHAnsi" w:hAnsiTheme="minorHAnsi"/>
          <w:sz w:val="20"/>
          <w:szCs w:val="20"/>
        </w:rPr>
        <w:t>s dans les années 70 (zaïrianisation) et 80 (baisse des prix du marché). On doit à l’ONG Trias la relance du cacao dans Inongo. Elle y a créé des coopératives de producteurs qui ont exporté 120 tonnes de cacao en 2014, les a dotées en fonds de roulement, en équipements de transport et de fermentation et séchage, et elle a engagé un programme de réhabilitation des cacaoyères et de formation des paysans à l’amélioration de leurs pratiques de culture</w:t>
      </w:r>
      <w:r w:rsidRPr="0002196E">
        <w:rPr>
          <w:rStyle w:val="FootnoteReference"/>
          <w:rFonts w:asciiTheme="minorHAnsi" w:hAnsiTheme="minorHAnsi"/>
          <w:sz w:val="20"/>
          <w:szCs w:val="20"/>
        </w:rPr>
        <w:footnoteReference w:id="35"/>
      </w:r>
      <w:r w:rsidRPr="0002196E">
        <w:rPr>
          <w:rFonts w:asciiTheme="minorHAnsi" w:hAnsiTheme="minorHAnsi"/>
          <w:sz w:val="20"/>
          <w:szCs w:val="20"/>
        </w:rPr>
        <w:t xml:space="preserve">. Les plantations d’hévéa de Inongo et de la Lukenie, un temps en sommeil, sont en cours de relance, sous l’impulsion de la Société Congo Forêt, qui dispose d’une unité de transformation à Dima, près de Bandundu. Des variétés améliorées de café ont été introduites en 2011 par le </w:t>
      </w:r>
      <w:r w:rsidR="00137F5C" w:rsidRPr="00137F5C">
        <w:rPr>
          <w:rFonts w:asciiTheme="minorHAnsi" w:hAnsiTheme="minorHAnsi"/>
          <w:sz w:val="20"/>
          <w:szCs w:val="20"/>
        </w:rPr>
        <w:t xml:space="preserve">Projet Agricole du Bandundu </w:t>
      </w:r>
      <w:r w:rsidR="00137F5C">
        <w:rPr>
          <w:rFonts w:asciiTheme="minorHAnsi" w:hAnsiTheme="minorHAnsi"/>
          <w:sz w:val="20"/>
          <w:szCs w:val="20"/>
        </w:rPr>
        <w:t>(</w:t>
      </w:r>
      <w:r w:rsidRPr="0002196E">
        <w:rPr>
          <w:rFonts w:asciiTheme="minorHAnsi" w:hAnsiTheme="minorHAnsi"/>
          <w:sz w:val="20"/>
          <w:szCs w:val="20"/>
        </w:rPr>
        <w:t>PAB</w:t>
      </w:r>
      <w:r w:rsidR="00137F5C">
        <w:rPr>
          <w:rFonts w:asciiTheme="minorHAnsi" w:hAnsiTheme="minorHAnsi"/>
          <w:sz w:val="20"/>
          <w:szCs w:val="20"/>
        </w:rPr>
        <w:t>)</w:t>
      </w:r>
      <w:r w:rsidRPr="0002196E">
        <w:rPr>
          <w:rFonts w:asciiTheme="minorHAnsi" w:hAnsiTheme="minorHAnsi"/>
          <w:sz w:val="20"/>
          <w:szCs w:val="20"/>
        </w:rPr>
        <w:t xml:space="preserve"> créant une disponibilité massive en semences améliorées pour un éventuel programme de relance du café.</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L’analyse des temps de travaux dans le district du </w:t>
      </w:r>
      <w:r w:rsidR="00EB17C0">
        <w:rPr>
          <w:rFonts w:asciiTheme="minorHAnsi" w:hAnsiTheme="minorHAnsi"/>
          <w:sz w:val="20"/>
          <w:szCs w:val="20"/>
        </w:rPr>
        <w:t>Mai-Ndombe</w:t>
      </w:r>
      <w:r w:rsidR="00137F5C">
        <w:rPr>
          <w:rFonts w:asciiTheme="minorHAnsi" w:hAnsiTheme="minorHAnsi"/>
          <w:sz w:val="20"/>
          <w:szCs w:val="20"/>
        </w:rPr>
        <w:t xml:space="preserve"> </w:t>
      </w:r>
      <w:r w:rsidRPr="0002196E">
        <w:rPr>
          <w:rFonts w:asciiTheme="minorHAnsi" w:hAnsiTheme="minorHAnsi"/>
          <w:sz w:val="20"/>
          <w:szCs w:val="20"/>
        </w:rPr>
        <w:t>(enquête BioCf</w:t>
      </w:r>
      <w:r w:rsidRPr="0002196E">
        <w:rPr>
          <w:rFonts w:asciiTheme="minorHAnsi" w:hAnsiTheme="minorHAnsi"/>
          <w:i/>
          <w:sz w:val="20"/>
          <w:szCs w:val="20"/>
        </w:rPr>
        <w:t>plus</w:t>
      </w:r>
      <w:r w:rsidRPr="0002196E">
        <w:rPr>
          <w:rFonts w:asciiTheme="minorHAnsi" w:hAnsiTheme="minorHAnsi"/>
          <w:sz w:val="20"/>
          <w:szCs w:val="20"/>
        </w:rPr>
        <w:t xml:space="preserve"> </w:t>
      </w:r>
      <w:r w:rsidR="00DD03A6">
        <w:rPr>
          <w:rFonts w:asciiTheme="minorHAnsi" w:hAnsiTheme="minorHAnsi"/>
          <w:sz w:val="20"/>
          <w:szCs w:val="20"/>
        </w:rPr>
        <w:t>Mai-Ndombe</w:t>
      </w:r>
      <w:r w:rsidRPr="0002196E">
        <w:rPr>
          <w:rFonts w:asciiTheme="minorHAnsi" w:hAnsiTheme="minorHAnsi"/>
          <w:sz w:val="20"/>
          <w:szCs w:val="20"/>
        </w:rPr>
        <w:t xml:space="preserve">) montre qu’il existe des réserves de main d’œuvre pour diversifier les productions agricoles, à condition que les pointes de travaux de ces nouvelles productions ne se situent pas au moment des entretiens des cultures ou des autres activités comme la pêche ou la chasse.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dispose de ressources pétrolières de profondeur qui ont jusqu’à présent découragé leur exploitation. L’exploitation artisanale du diamant dans la rivière </w:t>
      </w:r>
      <w:r w:rsidR="00137F5C" w:rsidRPr="0002196E">
        <w:rPr>
          <w:rFonts w:asciiTheme="minorHAnsi" w:hAnsiTheme="minorHAnsi"/>
          <w:sz w:val="20"/>
          <w:szCs w:val="20"/>
        </w:rPr>
        <w:t>Kasaï</w:t>
      </w:r>
      <w:r w:rsidRPr="0002196E">
        <w:rPr>
          <w:rFonts w:asciiTheme="minorHAnsi" w:hAnsiTheme="minorHAnsi"/>
          <w:sz w:val="20"/>
          <w:szCs w:val="20"/>
        </w:rPr>
        <w:t xml:space="preserve"> est ancienne mais elle a connu depuis 2010 une accélération du fait de l’utilisation d’engins de plongée. Des mines importantes apparaissent et disparaissent du jour au lendemain le long de cette rivière. Elles représentent une population de quelques milliers de personnes, qui constituent des marchés d’aubaine localisés et mobiles pour les paysans riverains, qui y écoulent leurs produits à meilleur prix. Globalement, l’exploitation minière n’est pas aujourd’hui une alternative d’emploi dans la Province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et son impact sur la déforestation est très faible voire inexistant. </w:t>
      </w:r>
    </w:p>
    <w:p w:rsidR="0002196E" w:rsidRPr="00451070" w:rsidRDefault="0002196E" w:rsidP="00451070">
      <w:pPr>
        <w:rPr>
          <w:b/>
        </w:rPr>
      </w:pPr>
      <w:bookmarkStart w:id="62" w:name="_Toc420681573"/>
      <w:r w:rsidRPr="00451070">
        <w:rPr>
          <w:b/>
        </w:rPr>
        <w:t>Conditions de vie et revenus des populations</w:t>
      </w:r>
      <w:bookmarkEnd w:id="62"/>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L’enquête ménage réalisée en 2011 par le Ministère de l’Agriculture</w:t>
      </w:r>
      <w:r w:rsidRPr="0002196E">
        <w:rPr>
          <w:rFonts w:asciiTheme="minorHAnsi" w:hAnsiTheme="minorHAnsi"/>
          <w:sz w:val="20"/>
          <w:szCs w:val="20"/>
          <w:vertAlign w:val="superscript"/>
        </w:rPr>
        <w:footnoteReference w:id="36"/>
      </w:r>
      <w:r w:rsidRPr="0002196E">
        <w:rPr>
          <w:rFonts w:asciiTheme="minorHAnsi" w:hAnsiTheme="minorHAnsi"/>
          <w:sz w:val="20"/>
          <w:szCs w:val="20"/>
        </w:rPr>
        <w:t xml:space="preserve"> a montré que dans la Province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l’alimentation protéique de la population était nettement meilleure que celle du reste de la Province, grâce à la pêche et à la consommation régulière du poisson ou de viande de brousse (Oshwe, Kiri, Inongo). Ceci est surtout vrai pour les riverains, car à l’intérieur des terres savanicoles</w:t>
      </w:r>
      <w:r w:rsidR="00E15FEC">
        <w:rPr>
          <w:rFonts w:asciiTheme="minorHAnsi" w:hAnsiTheme="minorHAnsi"/>
          <w:sz w:val="20"/>
          <w:szCs w:val="20"/>
        </w:rPr>
        <w:t>,</w:t>
      </w:r>
      <w:r w:rsidRPr="0002196E">
        <w:rPr>
          <w:rFonts w:asciiTheme="minorHAnsi" w:hAnsiTheme="minorHAnsi"/>
          <w:sz w:val="20"/>
          <w:szCs w:val="20"/>
        </w:rPr>
        <w:t xml:space="preserve"> l’alimentation protéique connaît des éclipses.  Pour le reste, comme dans les autres Provinces, on compte des Groupements et populations à disettes temporaires de manioc, constituant partout la base de l’alimentation, avec en complément du maïs et du riz, et parfois du plantain et des productions généralement destinées à la commercialisation, comme le haricot (Oshwe) et l’arachide (partout). Les Peuples Autochtones Pygmées d’Inongo ont signalé des disettes temporaires de manioc à la mission BioCfplus, en janvier et février. L’ONG Coopi a mis en place ces deux dernières années un programme qui s’achève de complémentation alimentaire chez les Mbelo des Basengele, en zone savanicole, tant les indicateurs étaient </w:t>
      </w:r>
      <w:r w:rsidRPr="0002196E">
        <w:rPr>
          <w:rFonts w:asciiTheme="minorHAnsi" w:hAnsiTheme="minorHAnsi"/>
          <w:sz w:val="20"/>
          <w:szCs w:val="20"/>
        </w:rPr>
        <w:lastRenderedPageBreak/>
        <w:t>problématiques chez les jeunes enfants</w:t>
      </w:r>
      <w:r w:rsidRPr="0002196E">
        <w:rPr>
          <w:rFonts w:asciiTheme="minorHAnsi" w:hAnsiTheme="minorHAnsi"/>
          <w:sz w:val="20"/>
          <w:szCs w:val="20"/>
          <w:vertAlign w:val="superscript"/>
        </w:rPr>
        <w:footnoteReference w:id="37"/>
      </w:r>
      <w:r w:rsidRPr="0002196E">
        <w:rPr>
          <w:rFonts w:asciiTheme="minorHAnsi" w:hAnsiTheme="minorHAnsi"/>
          <w:sz w:val="20"/>
          <w:szCs w:val="20"/>
          <w:vertAlign w:val="superscript"/>
        </w:rPr>
        <w:t xml:space="preserve"> </w:t>
      </w:r>
      <w:r w:rsidRPr="0002196E">
        <w:rPr>
          <w:rFonts w:asciiTheme="minorHAnsi" w:hAnsiTheme="minorHAnsi"/>
          <w:sz w:val="20"/>
          <w:szCs w:val="20"/>
        </w:rPr>
        <w:t>de cette population. A part ces exceptions, la situation globale de la Province en matière de production alimentaire est excédentaire sauf pour l’huile de palme que les Territoires savanicoles importent, tandis que dans ceux du sud elle est une production privilégiée des PA, à partir des plants sauvages. Un Territoire échappe largement à ce diagnostic, celui de Yumbi. Fortement déficitaire il dépend d’Inongo (et en particulier des Basengele) pour son alimentation.</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 Le tableau des conditions de vie des populations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ne diffère pas de celui des autres Provinces les plus pauvres du pays: dépendance à l’eau de sources non aménagées, parfois à la rivière, peu ou pas de forages, habitat très rarement en dur, services publics de santé tributaires de l’approvisionnement en médicaments et intrants de l’aide internationale, coûts prohibitifs pour les plus pauvres, coûts de l’éducation bien qu’apparemment faibles, élevés pour les plus pauvres,  taux de scolarité dans le primaire de 48% pour les garçons et 43% pour les filles (source Ministère de l’Education), etc. Malgré la gratuité des frais de scolarité qui leur a été attribuée dans tout le pays par le Ministère de l’Education Nationale, les taux de fréquentation des écoles par les </w:t>
      </w:r>
      <w:r w:rsidR="00C8222D">
        <w:rPr>
          <w:rFonts w:asciiTheme="minorHAnsi" w:hAnsiTheme="minorHAnsi"/>
          <w:sz w:val="20"/>
          <w:szCs w:val="20"/>
        </w:rPr>
        <w:t>PA</w:t>
      </w:r>
      <w:r w:rsidRPr="0002196E">
        <w:rPr>
          <w:rFonts w:asciiTheme="minorHAnsi" w:hAnsiTheme="minorHAnsi"/>
          <w:sz w:val="20"/>
          <w:szCs w:val="20"/>
        </w:rPr>
        <w:t xml:space="preserve"> y compris dans le primaire sont inférieurs (30 %) à ceux des bantous de même pour l’accès aux soins de santé. Ils incriminent pour l’expliquer la faiblesse de leurs revenus, mais reconnaissent également leur préférence pour la médecine traditionnelle et celle de leurs enfants pour la vie au grand air</w:t>
      </w:r>
      <w:r w:rsidRPr="0002196E">
        <w:rPr>
          <w:rFonts w:asciiTheme="minorHAnsi" w:hAnsiTheme="minorHAnsi"/>
          <w:sz w:val="20"/>
          <w:szCs w:val="20"/>
          <w:vertAlign w:val="superscript"/>
        </w:rPr>
        <w:footnoteReference w:id="38"/>
      </w:r>
      <w:r w:rsidRPr="0002196E">
        <w:rPr>
          <w:rFonts w:asciiTheme="minorHAnsi" w:hAnsiTheme="minorHAnsi"/>
          <w:sz w:val="20"/>
          <w:szCs w:val="20"/>
        </w:rPr>
        <w:t>.</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L’enquête ménage réalisée lors de la mission BioCf</w:t>
      </w:r>
      <w:r w:rsidRPr="0002196E">
        <w:rPr>
          <w:rFonts w:asciiTheme="minorHAnsi" w:hAnsiTheme="minorHAnsi"/>
          <w:i/>
          <w:sz w:val="20"/>
          <w:szCs w:val="20"/>
        </w:rPr>
        <w:t>plus</w:t>
      </w:r>
      <w:r w:rsidRPr="0002196E">
        <w:rPr>
          <w:rFonts w:asciiTheme="minorHAnsi" w:hAnsiTheme="minorHAnsi"/>
          <w:sz w:val="20"/>
          <w:szCs w:val="20"/>
        </w:rPr>
        <w:t xml:space="preserve"> dans le district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fait apparaître une différenciation sociale marquée tout autant par la perception sociale que par la réalité des revenus, des superficies cultivées annuellement ouvertes. Les variations pour tous ces indicateurs sont légères d’un Territoire à l’autre. D’après l’enquête, les revenus de 35 % des ménages sont inférieurs à 14 $US par mois. Ce sont les plus pauvres, ils sont perçus clairement comme tels par les populations. La catégorie qui suit, de 14 à 32 $US par mois n’est guère mieux lotie. Au-delà, les situations ne sont pas forcément meilleures, car elles dépendent du nombre des actifs par ménage. L’enquête montre que les revenus monétaires les plus hauts proviennent non seulement de l’agriculture mais aussi de la diversification des sources de revenus: l’élevage et la pêche font la différence. Et il est frappant de constater que l’augmentation du nombre d’actifs dans les familles se traduit, mais de manière peu marquée dans les superficies des champs ouverts annuellement: elles passent de 0,6 à 0,8 ha pour les classes de revenus au-delà de 100 000 FC/an. Au-dessous, les superficies sont de l’ordre de 0,25 ares, compte non tenu des 10% qui ne cultivent pas.</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Pour 90% des ménages, l’essentiel des revenus agricoles vient de l’agriculture, le manioc et le maïs venant en tête des quantités commercialisées.</w:t>
      </w:r>
    </w:p>
    <w:p w:rsidR="0002196E" w:rsidRPr="0002196E" w:rsidRDefault="0002196E" w:rsidP="0002196E">
      <w:pPr>
        <w:pStyle w:val="Caption"/>
        <w:rPr>
          <w:sz w:val="20"/>
          <w:szCs w:val="20"/>
        </w:rPr>
      </w:pPr>
      <w:bookmarkStart w:id="63" w:name="_Toc420681608"/>
      <w:r w:rsidRPr="0002196E">
        <w:rPr>
          <w:sz w:val="20"/>
          <w:szCs w:val="20"/>
        </w:rPr>
        <w:t xml:space="preserve">Niveaux et répartition des revenus. District du </w:t>
      </w:r>
      <w:r w:rsidR="00DD03A6">
        <w:rPr>
          <w:sz w:val="20"/>
          <w:szCs w:val="20"/>
        </w:rPr>
        <w:t>Mai-Ndombe</w:t>
      </w:r>
      <w:r w:rsidRPr="0002196E">
        <w:rPr>
          <w:sz w:val="20"/>
          <w:szCs w:val="20"/>
        </w:rPr>
        <w:t>. Novembre 2015.</w:t>
      </w:r>
      <w:bookmarkEnd w:id="63"/>
    </w:p>
    <w:tbl>
      <w:tblPr>
        <w:tblW w:w="5000" w:type="pct"/>
        <w:tblCellMar>
          <w:left w:w="70" w:type="dxa"/>
          <w:right w:w="70" w:type="dxa"/>
        </w:tblCellMar>
        <w:tblLook w:val="04A0" w:firstRow="1" w:lastRow="0" w:firstColumn="1" w:lastColumn="0" w:noHBand="0" w:noVBand="1"/>
      </w:tblPr>
      <w:tblGrid>
        <w:gridCol w:w="4674"/>
        <w:gridCol w:w="1480"/>
        <w:gridCol w:w="1480"/>
        <w:gridCol w:w="1169"/>
        <w:gridCol w:w="1169"/>
      </w:tblGrid>
      <w:tr w:rsidR="0002196E" w:rsidRPr="0002196E" w:rsidTr="0002196E">
        <w:trPr>
          <w:trHeight w:val="20"/>
          <w:tblHeader/>
        </w:trPr>
        <w:tc>
          <w:tcPr>
            <w:tcW w:w="2344"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2196E" w:rsidRPr="0002196E" w:rsidRDefault="00413A41">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F</w:t>
            </w:r>
            <w:r w:rsidR="0002196E" w:rsidRPr="0002196E">
              <w:rPr>
                <w:rFonts w:eastAsia="Times New Roman" w:cs="Times New Roman"/>
                <w:b/>
                <w:color w:val="000000"/>
                <w:sz w:val="18"/>
                <w:szCs w:val="18"/>
              </w:rPr>
              <w:t>ourchette des revenus</w:t>
            </w:r>
          </w:p>
        </w:tc>
        <w:tc>
          <w:tcPr>
            <w:tcW w:w="74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02196E" w:rsidRDefault="0002196E">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 de l'échantillon</w:t>
            </w:r>
          </w:p>
        </w:tc>
        <w:tc>
          <w:tcPr>
            <w:tcW w:w="74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02196E" w:rsidRPr="0002196E" w:rsidRDefault="00413A41">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R</w:t>
            </w:r>
            <w:r w:rsidR="0002196E" w:rsidRPr="0002196E">
              <w:rPr>
                <w:rFonts w:eastAsia="Times New Roman" w:cs="Times New Roman"/>
                <w:b/>
                <w:color w:val="000000"/>
                <w:sz w:val="18"/>
                <w:szCs w:val="18"/>
              </w:rPr>
              <w:t>evenus par mois</w:t>
            </w:r>
          </w:p>
        </w:tc>
        <w:tc>
          <w:tcPr>
            <w:tcW w:w="586"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02196E" w:rsidRPr="0002196E" w:rsidRDefault="0002196E" w:rsidP="00ED144B">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 du total</w:t>
            </w:r>
          </w:p>
        </w:tc>
        <w:tc>
          <w:tcPr>
            <w:tcW w:w="586"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ED144B">
            <w:pPr>
              <w:spacing w:after="0" w:line="240" w:lineRule="auto"/>
              <w:jc w:val="center"/>
              <w:rPr>
                <w:rFonts w:eastAsia="Times New Roman" w:cs="Times New Roman"/>
                <w:b/>
                <w:color w:val="000000"/>
                <w:sz w:val="18"/>
                <w:szCs w:val="18"/>
              </w:rPr>
            </w:pPr>
            <w:r w:rsidRPr="0002196E">
              <w:rPr>
                <w:rFonts w:eastAsia="Times New Roman" w:cs="Times New Roman"/>
                <w:b/>
                <w:color w:val="000000"/>
                <w:sz w:val="18"/>
                <w:szCs w:val="18"/>
              </w:rPr>
              <w:t>% du total</w:t>
            </w: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02196E" w:rsidRPr="0002196E" w:rsidRDefault="00413A41" w:rsidP="00965B36">
            <w:pPr>
              <w:spacing w:after="0" w:line="240" w:lineRule="auto"/>
              <w:rPr>
                <w:rFonts w:eastAsia="Times New Roman" w:cs="Arial"/>
                <w:sz w:val="18"/>
                <w:szCs w:val="18"/>
              </w:rPr>
            </w:pPr>
            <w:r>
              <w:rPr>
                <w:rFonts w:eastAsia="Times New Roman" w:cs="Arial"/>
                <w:sz w:val="18"/>
                <w:szCs w:val="18"/>
              </w:rPr>
              <w:t>R</w:t>
            </w:r>
            <w:r w:rsidR="0002196E" w:rsidRPr="0002196E">
              <w:rPr>
                <w:rFonts w:eastAsia="Times New Roman" w:cs="Arial"/>
                <w:sz w:val="18"/>
                <w:szCs w:val="18"/>
              </w:rPr>
              <w:t>evenus nuls (personnes dépendantes, handicapés, vieux</w:t>
            </w:r>
            <w:r>
              <w:rPr>
                <w:rFonts w:eastAsia="Times New Roman" w:cs="Arial"/>
                <w:sz w:val="18"/>
                <w:szCs w:val="18"/>
              </w:rPr>
              <w:t>)</w:t>
            </w:r>
          </w:p>
        </w:tc>
        <w:tc>
          <w:tcPr>
            <w:tcW w:w="742"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02196E" w:rsidRDefault="0002196E" w:rsidP="00965B36">
            <w:pPr>
              <w:spacing w:after="0" w:line="240" w:lineRule="auto"/>
              <w:jc w:val="center"/>
              <w:rPr>
                <w:rFonts w:eastAsia="Times New Roman" w:cs="Arial"/>
                <w:sz w:val="18"/>
                <w:szCs w:val="18"/>
              </w:rPr>
            </w:pPr>
            <w:r w:rsidRPr="0002196E">
              <w:rPr>
                <w:rFonts w:eastAsia="Times New Roman" w:cs="Arial"/>
                <w:sz w:val="18"/>
                <w:szCs w:val="18"/>
              </w:rPr>
              <w:t>10%</w:t>
            </w:r>
          </w:p>
        </w:tc>
        <w:tc>
          <w:tcPr>
            <w:tcW w:w="742" w:type="pct"/>
            <w:vMerge w:val="restart"/>
            <w:tcBorders>
              <w:top w:val="nil"/>
              <w:left w:val="single" w:sz="4" w:space="0" w:color="auto"/>
              <w:bottom w:val="single" w:sz="4" w:space="0" w:color="000000"/>
              <w:right w:val="single" w:sz="4" w:space="0" w:color="auto"/>
            </w:tcBorders>
            <w:shd w:val="clear" w:color="auto" w:fill="DEEAF6" w:themeFill="accent1" w:themeFillTint="33"/>
            <w:noWrap/>
            <w:vAlign w:val="center"/>
            <w:hideMark/>
          </w:tcPr>
          <w:p w:rsidR="0002196E" w:rsidRPr="0002196E" w:rsidRDefault="0002196E" w:rsidP="00965B36">
            <w:pPr>
              <w:spacing w:after="0" w:line="240" w:lineRule="auto"/>
              <w:jc w:val="center"/>
              <w:rPr>
                <w:rFonts w:eastAsia="Times New Roman" w:cs="Arial"/>
                <w:sz w:val="18"/>
                <w:szCs w:val="18"/>
              </w:rPr>
            </w:pPr>
            <w:r w:rsidRPr="0002196E">
              <w:rPr>
                <w:rFonts w:eastAsia="Times New Roman" w:cs="Arial"/>
                <w:sz w:val="18"/>
                <w:szCs w:val="18"/>
              </w:rPr>
              <w:t>14</w:t>
            </w:r>
          </w:p>
        </w:tc>
        <w:tc>
          <w:tcPr>
            <w:tcW w:w="5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35%</w:t>
            </w:r>
          </w:p>
        </w:tc>
        <w:tc>
          <w:tcPr>
            <w:tcW w:w="5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54%</w:t>
            </w: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M</w:t>
            </w:r>
            <w:r w:rsidR="0002196E" w:rsidRPr="0002196E">
              <w:rPr>
                <w:rFonts w:eastAsia="Times New Roman" w:cs="Arial"/>
                <w:sz w:val="18"/>
                <w:szCs w:val="18"/>
              </w:rPr>
              <w:t>oins de 50</w:t>
            </w:r>
            <w:r>
              <w:rPr>
                <w:rFonts w:eastAsia="Times New Roman" w:cs="Arial"/>
                <w:sz w:val="18"/>
                <w:szCs w:val="18"/>
              </w:rPr>
              <w:t xml:space="preserve"> </w:t>
            </w:r>
            <w:r w:rsidR="0002196E" w:rsidRPr="0002196E">
              <w:rPr>
                <w:rFonts w:eastAsia="Times New Roman" w:cs="Arial"/>
                <w:sz w:val="18"/>
                <w:szCs w:val="18"/>
              </w:rPr>
              <w:t>000 FC</w:t>
            </w:r>
          </w:p>
        </w:tc>
        <w:tc>
          <w:tcPr>
            <w:tcW w:w="742"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12%</w:t>
            </w:r>
          </w:p>
        </w:tc>
        <w:tc>
          <w:tcPr>
            <w:tcW w:w="742" w:type="pct"/>
            <w:vMerge/>
            <w:tcBorders>
              <w:top w:val="nil"/>
              <w:left w:val="single" w:sz="4" w:space="0" w:color="auto"/>
              <w:bottom w:val="single" w:sz="4" w:space="0" w:color="000000"/>
              <w:right w:val="single" w:sz="4" w:space="0" w:color="auto"/>
            </w:tcBorders>
            <w:shd w:val="clear" w:color="auto" w:fill="DEEAF6" w:themeFill="accent1" w:themeFillTint="33"/>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02196E" w:rsidRPr="0002196E" w:rsidRDefault="0002196E" w:rsidP="0002196E">
            <w:pPr>
              <w:spacing w:after="0" w:line="240" w:lineRule="auto"/>
              <w:rPr>
                <w:rFonts w:eastAsia="Times New Roman" w:cs="Arial"/>
                <w:sz w:val="18"/>
                <w:szCs w:val="18"/>
              </w:rPr>
            </w:pPr>
            <w:r w:rsidRPr="0002196E">
              <w:rPr>
                <w:rFonts w:eastAsia="Times New Roman" w:cs="Arial"/>
                <w:sz w:val="18"/>
                <w:szCs w:val="18"/>
              </w:rPr>
              <w:t>De 50 à 100</w:t>
            </w:r>
            <w:r w:rsidR="00413A41">
              <w:rPr>
                <w:rFonts w:eastAsia="Times New Roman" w:cs="Arial"/>
                <w:sz w:val="18"/>
                <w:szCs w:val="18"/>
              </w:rPr>
              <w:t xml:space="preserve"> </w:t>
            </w:r>
            <w:r w:rsidRPr="0002196E">
              <w:rPr>
                <w:rFonts w:eastAsia="Times New Roman" w:cs="Arial"/>
                <w:sz w:val="18"/>
                <w:szCs w:val="18"/>
              </w:rPr>
              <w:t>000</w:t>
            </w:r>
            <w:r w:rsidR="00413A41">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7%</w:t>
            </w:r>
          </w:p>
        </w:tc>
        <w:tc>
          <w:tcPr>
            <w:tcW w:w="742" w:type="pct"/>
            <w:vMerge/>
            <w:tcBorders>
              <w:top w:val="nil"/>
              <w:left w:val="single" w:sz="4" w:space="0" w:color="auto"/>
              <w:bottom w:val="single" w:sz="4" w:space="0" w:color="000000"/>
              <w:right w:val="single" w:sz="4" w:space="0" w:color="auto"/>
            </w:tcBorders>
            <w:shd w:val="clear" w:color="auto" w:fill="DEEAF6" w:themeFill="accent1" w:themeFillTint="33"/>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D</w:t>
            </w:r>
            <w:r w:rsidR="0002196E" w:rsidRPr="0002196E">
              <w:rPr>
                <w:rFonts w:eastAsia="Times New Roman" w:cs="Arial"/>
                <w:sz w:val="18"/>
                <w:szCs w:val="18"/>
              </w:rPr>
              <w:t>e 100 à 150</w:t>
            </w:r>
            <w:r>
              <w:rPr>
                <w:rFonts w:eastAsia="Times New Roman" w:cs="Arial"/>
                <w:sz w:val="18"/>
                <w:szCs w:val="18"/>
              </w:rPr>
              <w:t xml:space="preserve"> </w:t>
            </w:r>
            <w:r w:rsidR="0002196E" w:rsidRPr="0002196E">
              <w:rPr>
                <w:rFonts w:eastAsia="Times New Roman" w:cs="Arial"/>
                <w:sz w:val="18"/>
                <w:szCs w:val="18"/>
              </w:rPr>
              <w:t>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7%</w:t>
            </w:r>
          </w:p>
        </w:tc>
        <w:tc>
          <w:tcPr>
            <w:tcW w:w="742" w:type="pct"/>
            <w:vMerge/>
            <w:tcBorders>
              <w:top w:val="nil"/>
              <w:left w:val="single" w:sz="4" w:space="0" w:color="auto"/>
              <w:bottom w:val="single" w:sz="4" w:space="0" w:color="000000"/>
              <w:right w:val="single" w:sz="4" w:space="0" w:color="auto"/>
            </w:tcBorders>
            <w:shd w:val="clear" w:color="auto" w:fill="DEEAF6" w:themeFill="accent1" w:themeFillTint="33"/>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D</w:t>
            </w:r>
            <w:r w:rsidR="0002196E" w:rsidRPr="0002196E">
              <w:rPr>
                <w:rFonts w:eastAsia="Times New Roman" w:cs="Arial"/>
                <w:sz w:val="18"/>
                <w:szCs w:val="18"/>
              </w:rPr>
              <w:t>e 150 à 250</w:t>
            </w:r>
            <w:r>
              <w:rPr>
                <w:rFonts w:eastAsia="Times New Roman" w:cs="Arial"/>
                <w:sz w:val="18"/>
                <w:szCs w:val="18"/>
              </w:rPr>
              <w:t xml:space="preserve"> </w:t>
            </w:r>
            <w:r w:rsidR="0002196E" w:rsidRPr="0002196E">
              <w:rPr>
                <w:rFonts w:eastAsia="Times New Roman" w:cs="Arial"/>
                <w:sz w:val="18"/>
                <w:szCs w:val="18"/>
              </w:rPr>
              <w:t>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12%</w:t>
            </w:r>
          </w:p>
        </w:tc>
        <w:tc>
          <w:tcPr>
            <w:tcW w:w="7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de 14 à 32</w:t>
            </w:r>
          </w:p>
        </w:tc>
        <w:tc>
          <w:tcPr>
            <w:tcW w:w="586" w:type="pct"/>
            <w:vMerge w:val="restart"/>
            <w:tcBorders>
              <w:top w:val="nil"/>
              <w:left w:val="single" w:sz="4" w:space="0" w:color="auto"/>
              <w:bottom w:val="single" w:sz="4" w:space="0" w:color="000000"/>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D</w:t>
            </w:r>
            <w:r w:rsidR="0002196E" w:rsidRPr="0002196E">
              <w:rPr>
                <w:rFonts w:eastAsia="Times New Roman" w:cs="Arial"/>
                <w:sz w:val="18"/>
                <w:szCs w:val="18"/>
              </w:rPr>
              <w:t>e 250 à 350 000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7%</w:t>
            </w:r>
          </w:p>
        </w:tc>
        <w:tc>
          <w:tcPr>
            <w:tcW w:w="742"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shd w:val="clear" w:color="auto" w:fill="DEEAF6" w:themeFill="accent1" w:themeFillTint="33"/>
            <w:vAlign w:val="center"/>
            <w:hideMark/>
          </w:tcPr>
          <w:p w:rsidR="0002196E" w:rsidRPr="0002196E" w:rsidRDefault="0002196E" w:rsidP="0002196E">
            <w:pPr>
              <w:spacing w:after="0" w:line="240" w:lineRule="auto"/>
              <w:rPr>
                <w:rFonts w:eastAsia="Times New Roman" w:cs="Times New Roman"/>
                <w:color w:val="000000"/>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D</w:t>
            </w:r>
            <w:r w:rsidR="0002196E" w:rsidRPr="0002196E">
              <w:rPr>
                <w:rFonts w:eastAsia="Times New Roman" w:cs="Arial"/>
                <w:sz w:val="18"/>
                <w:szCs w:val="18"/>
              </w:rPr>
              <w:t>e 350 à 500 000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12%</w:t>
            </w:r>
          </w:p>
        </w:tc>
        <w:tc>
          <w:tcPr>
            <w:tcW w:w="742" w:type="pct"/>
            <w:vMerge w:val="restart"/>
            <w:tcBorders>
              <w:top w:val="nil"/>
              <w:left w:val="single" w:sz="4" w:space="0" w:color="auto"/>
              <w:bottom w:val="single" w:sz="4" w:space="0" w:color="000000"/>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de 32 à 65</w:t>
            </w:r>
          </w:p>
        </w:tc>
        <w:tc>
          <w:tcPr>
            <w:tcW w:w="5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24%</w:t>
            </w:r>
          </w:p>
        </w:tc>
        <w:tc>
          <w:tcPr>
            <w:tcW w:w="58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42%</w:t>
            </w: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D</w:t>
            </w:r>
            <w:r w:rsidR="0002196E" w:rsidRPr="0002196E">
              <w:rPr>
                <w:rFonts w:eastAsia="Times New Roman" w:cs="Arial"/>
                <w:sz w:val="18"/>
                <w:szCs w:val="18"/>
              </w:rPr>
              <w:t>e 500 à 700 000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12%</w:t>
            </w:r>
          </w:p>
        </w:tc>
        <w:tc>
          <w:tcPr>
            <w:tcW w:w="742" w:type="pct"/>
            <w:vMerge/>
            <w:tcBorders>
              <w:top w:val="nil"/>
              <w:left w:val="single" w:sz="4" w:space="0" w:color="auto"/>
              <w:bottom w:val="single" w:sz="4" w:space="0" w:color="000000"/>
              <w:right w:val="single" w:sz="4" w:space="0" w:color="auto"/>
            </w:tcBorders>
            <w:shd w:val="clear" w:color="auto" w:fill="DEEAF6" w:themeFill="accent1" w:themeFillTint="33"/>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D</w:t>
            </w:r>
            <w:r w:rsidR="0002196E" w:rsidRPr="0002196E">
              <w:rPr>
                <w:rFonts w:eastAsia="Times New Roman" w:cs="Arial"/>
                <w:sz w:val="18"/>
                <w:szCs w:val="18"/>
              </w:rPr>
              <w:t>e 700 à 1</w:t>
            </w:r>
            <w:r>
              <w:rPr>
                <w:rFonts w:eastAsia="Times New Roman" w:cs="Arial"/>
                <w:sz w:val="18"/>
                <w:szCs w:val="18"/>
              </w:rPr>
              <w:t xml:space="preserve"> </w:t>
            </w:r>
            <w:r w:rsidR="0002196E" w:rsidRPr="0002196E">
              <w:rPr>
                <w:rFonts w:eastAsia="Times New Roman" w:cs="Arial"/>
                <w:sz w:val="18"/>
                <w:szCs w:val="18"/>
              </w:rPr>
              <w:t>000 000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11%</w:t>
            </w:r>
          </w:p>
        </w:tc>
        <w:tc>
          <w:tcPr>
            <w:tcW w:w="7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de 65 à 138</w:t>
            </w:r>
          </w:p>
        </w:tc>
        <w:tc>
          <w:tcPr>
            <w:tcW w:w="586" w:type="pct"/>
            <w:vMerge w:val="restart"/>
            <w:tcBorders>
              <w:top w:val="nil"/>
              <w:left w:val="single" w:sz="4" w:space="0" w:color="auto"/>
              <w:bottom w:val="single" w:sz="4" w:space="0" w:color="000000"/>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19%</w:t>
            </w: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D</w:t>
            </w:r>
            <w:r w:rsidR="0002196E" w:rsidRPr="0002196E">
              <w:rPr>
                <w:rFonts w:eastAsia="Times New Roman" w:cs="Arial"/>
                <w:sz w:val="18"/>
                <w:szCs w:val="18"/>
              </w:rPr>
              <w:t>e 1</w:t>
            </w:r>
            <w:r>
              <w:rPr>
                <w:rFonts w:eastAsia="Times New Roman" w:cs="Arial"/>
                <w:sz w:val="18"/>
                <w:szCs w:val="18"/>
              </w:rPr>
              <w:t xml:space="preserve"> </w:t>
            </w:r>
            <w:r w:rsidR="0002196E" w:rsidRPr="0002196E">
              <w:rPr>
                <w:rFonts w:eastAsia="Times New Roman" w:cs="Arial"/>
                <w:sz w:val="18"/>
                <w:szCs w:val="18"/>
              </w:rPr>
              <w:t>000 à 1</w:t>
            </w:r>
            <w:r>
              <w:rPr>
                <w:rFonts w:eastAsia="Times New Roman" w:cs="Arial"/>
                <w:sz w:val="18"/>
                <w:szCs w:val="18"/>
              </w:rPr>
              <w:t xml:space="preserve"> </w:t>
            </w:r>
            <w:r w:rsidR="0002196E" w:rsidRPr="0002196E">
              <w:rPr>
                <w:rFonts w:eastAsia="Times New Roman" w:cs="Arial"/>
                <w:sz w:val="18"/>
                <w:szCs w:val="18"/>
              </w:rPr>
              <w:t>500 000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8%</w:t>
            </w:r>
          </w:p>
        </w:tc>
        <w:tc>
          <w:tcPr>
            <w:tcW w:w="742"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Arial"/>
                <w:sz w:val="18"/>
                <w:szCs w:val="18"/>
              </w:rPr>
            </w:pPr>
          </w:p>
        </w:tc>
        <w:tc>
          <w:tcPr>
            <w:tcW w:w="586" w:type="pct"/>
            <w:vMerge/>
            <w:tcBorders>
              <w:top w:val="nil"/>
              <w:left w:val="single" w:sz="4" w:space="0" w:color="auto"/>
              <w:bottom w:val="single" w:sz="4" w:space="0" w:color="000000"/>
              <w:right w:val="single" w:sz="4" w:space="0" w:color="auto"/>
            </w:tcBorders>
            <w:shd w:val="clear" w:color="auto" w:fill="DEEAF6" w:themeFill="accent1" w:themeFillTint="33"/>
            <w:vAlign w:val="center"/>
            <w:hideMark/>
          </w:tcPr>
          <w:p w:rsidR="0002196E" w:rsidRPr="0002196E" w:rsidRDefault="0002196E" w:rsidP="0002196E">
            <w:pPr>
              <w:spacing w:after="0" w:line="240" w:lineRule="auto"/>
              <w:rPr>
                <w:rFonts w:eastAsia="Times New Roman" w:cs="Times New Roman"/>
                <w:color w:val="000000"/>
                <w:sz w:val="18"/>
                <w:szCs w:val="18"/>
              </w:rPr>
            </w:pPr>
          </w:p>
        </w:tc>
        <w:tc>
          <w:tcPr>
            <w:tcW w:w="586" w:type="pct"/>
            <w:vMerge/>
            <w:tcBorders>
              <w:top w:val="nil"/>
              <w:left w:val="single" w:sz="4" w:space="0" w:color="auto"/>
              <w:bottom w:val="single" w:sz="4" w:space="0" w:color="000000"/>
              <w:right w:val="single" w:sz="4" w:space="0" w:color="auto"/>
            </w:tcBorders>
            <w:vAlign w:val="center"/>
            <w:hideMark/>
          </w:tcPr>
          <w:p w:rsidR="0002196E" w:rsidRPr="0002196E" w:rsidRDefault="0002196E" w:rsidP="0002196E">
            <w:pPr>
              <w:spacing w:after="0" w:line="240" w:lineRule="auto"/>
              <w:rPr>
                <w:rFonts w:eastAsia="Times New Roman" w:cs="Times New Roman"/>
                <w:color w:val="000000"/>
                <w:sz w:val="18"/>
                <w:szCs w:val="18"/>
              </w:rPr>
            </w:pPr>
          </w:p>
        </w:tc>
      </w:tr>
      <w:tr w:rsidR="0002196E" w:rsidRPr="0002196E" w:rsidTr="003F24A8">
        <w:trPr>
          <w:trHeight w:val="20"/>
        </w:trPr>
        <w:tc>
          <w:tcPr>
            <w:tcW w:w="2344"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bottom"/>
            <w:hideMark/>
          </w:tcPr>
          <w:p w:rsidR="0002196E" w:rsidRPr="0002196E" w:rsidRDefault="00413A41" w:rsidP="0002196E">
            <w:pPr>
              <w:spacing w:after="0" w:line="240" w:lineRule="auto"/>
              <w:rPr>
                <w:rFonts w:eastAsia="Times New Roman" w:cs="Arial"/>
                <w:sz w:val="18"/>
                <w:szCs w:val="18"/>
              </w:rPr>
            </w:pPr>
            <w:r>
              <w:rPr>
                <w:rFonts w:eastAsia="Times New Roman" w:cs="Arial"/>
                <w:sz w:val="18"/>
                <w:szCs w:val="18"/>
              </w:rPr>
              <w:t>P</w:t>
            </w:r>
            <w:r w:rsidR="0002196E" w:rsidRPr="0002196E">
              <w:rPr>
                <w:rFonts w:eastAsia="Times New Roman" w:cs="Arial"/>
                <w:sz w:val="18"/>
                <w:szCs w:val="18"/>
              </w:rPr>
              <w:t>lus de 1 500 000</w:t>
            </w:r>
            <w:r>
              <w:rPr>
                <w:rFonts w:eastAsia="Times New Roman" w:cs="Arial"/>
                <w:sz w:val="18"/>
                <w:szCs w:val="18"/>
              </w:rPr>
              <w:t xml:space="preserve"> FC</w:t>
            </w:r>
          </w:p>
        </w:tc>
        <w:tc>
          <w:tcPr>
            <w:tcW w:w="742" w:type="pct"/>
            <w:tcBorders>
              <w:top w:val="nil"/>
              <w:left w:val="nil"/>
              <w:bottom w:val="single" w:sz="4" w:space="0" w:color="auto"/>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4%</w:t>
            </w:r>
          </w:p>
        </w:tc>
        <w:tc>
          <w:tcPr>
            <w:tcW w:w="742" w:type="pct"/>
            <w:tcBorders>
              <w:top w:val="nil"/>
              <w:left w:val="nil"/>
              <w:bottom w:val="single" w:sz="4" w:space="0" w:color="auto"/>
              <w:right w:val="single" w:sz="4" w:space="0" w:color="auto"/>
            </w:tcBorders>
            <w:shd w:val="clear" w:color="auto" w:fill="DEEAF6" w:themeFill="accent1" w:themeFillTint="33"/>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plus de 138</w:t>
            </w:r>
          </w:p>
        </w:tc>
        <w:tc>
          <w:tcPr>
            <w:tcW w:w="586"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c>
          <w:tcPr>
            <w:tcW w:w="586"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4%</w:t>
            </w:r>
          </w:p>
        </w:tc>
      </w:tr>
      <w:tr w:rsidR="0002196E" w:rsidRPr="0002196E" w:rsidTr="0002196E">
        <w:trPr>
          <w:trHeight w:val="20"/>
        </w:trPr>
        <w:tc>
          <w:tcPr>
            <w:tcW w:w="2344"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 </w:t>
            </w:r>
          </w:p>
        </w:tc>
        <w:tc>
          <w:tcPr>
            <w:tcW w:w="742"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Arial"/>
                <w:sz w:val="18"/>
                <w:szCs w:val="18"/>
              </w:rPr>
            </w:pPr>
            <w:r w:rsidRPr="0002196E">
              <w:rPr>
                <w:rFonts w:eastAsia="Times New Roman" w:cs="Arial"/>
                <w:sz w:val="18"/>
                <w:szCs w:val="18"/>
              </w:rPr>
              <w:t>100%</w:t>
            </w:r>
          </w:p>
        </w:tc>
        <w:tc>
          <w:tcPr>
            <w:tcW w:w="742"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rPr>
                <w:rFonts w:eastAsia="Times New Roman" w:cs="Arial"/>
                <w:sz w:val="18"/>
                <w:szCs w:val="18"/>
              </w:rPr>
            </w:pPr>
            <w:r w:rsidRPr="0002196E">
              <w:rPr>
                <w:rFonts w:eastAsia="Times New Roman" w:cs="Arial"/>
                <w:sz w:val="18"/>
                <w:szCs w:val="18"/>
              </w:rPr>
              <w:t> </w:t>
            </w:r>
          </w:p>
        </w:tc>
        <w:tc>
          <w:tcPr>
            <w:tcW w:w="586" w:type="pct"/>
            <w:tcBorders>
              <w:top w:val="nil"/>
              <w:left w:val="nil"/>
              <w:bottom w:val="single" w:sz="4" w:space="0" w:color="auto"/>
              <w:right w:val="single" w:sz="4" w:space="0" w:color="auto"/>
            </w:tcBorders>
            <w:shd w:val="clear" w:color="auto" w:fill="auto"/>
            <w:noWrap/>
            <w:vAlign w:val="center"/>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100%</w:t>
            </w:r>
          </w:p>
        </w:tc>
        <w:tc>
          <w:tcPr>
            <w:tcW w:w="586" w:type="pct"/>
            <w:tcBorders>
              <w:top w:val="nil"/>
              <w:left w:val="nil"/>
              <w:bottom w:val="single" w:sz="4" w:space="0" w:color="auto"/>
              <w:right w:val="single" w:sz="4" w:space="0" w:color="auto"/>
            </w:tcBorders>
            <w:shd w:val="clear" w:color="auto" w:fill="auto"/>
            <w:noWrap/>
            <w:vAlign w:val="bottom"/>
            <w:hideMark/>
          </w:tcPr>
          <w:p w:rsidR="0002196E" w:rsidRPr="0002196E" w:rsidRDefault="0002196E" w:rsidP="0002196E">
            <w:pPr>
              <w:spacing w:after="0" w:line="240" w:lineRule="auto"/>
              <w:jc w:val="center"/>
              <w:rPr>
                <w:rFonts w:eastAsia="Times New Roman" w:cs="Times New Roman"/>
                <w:color w:val="000000"/>
                <w:sz w:val="18"/>
                <w:szCs w:val="18"/>
              </w:rPr>
            </w:pPr>
            <w:r w:rsidRPr="0002196E">
              <w:rPr>
                <w:rFonts w:eastAsia="Times New Roman" w:cs="Times New Roman"/>
                <w:color w:val="000000"/>
                <w:sz w:val="18"/>
                <w:szCs w:val="18"/>
              </w:rPr>
              <w:t>100%</w:t>
            </w:r>
          </w:p>
        </w:tc>
      </w:tr>
    </w:tbl>
    <w:p w:rsidR="0002196E" w:rsidRPr="0002196E" w:rsidRDefault="0002196E" w:rsidP="0002196E">
      <w:pPr>
        <w:pStyle w:val="Default"/>
        <w:spacing w:after="240"/>
        <w:jc w:val="both"/>
        <w:rPr>
          <w:rFonts w:asciiTheme="minorHAnsi" w:hAnsiTheme="minorHAnsi"/>
          <w:sz w:val="20"/>
          <w:szCs w:val="20"/>
        </w:rPr>
      </w:pPr>
      <w:r w:rsidRPr="0002196E">
        <w:rPr>
          <w:rFonts w:asciiTheme="minorHAnsi" w:hAnsiTheme="minorHAnsi"/>
          <w:sz w:val="20"/>
          <w:szCs w:val="20"/>
        </w:rPr>
        <w:t>Source : enquête Mission BioCf</w:t>
      </w:r>
      <w:r w:rsidRPr="0002196E">
        <w:rPr>
          <w:rFonts w:asciiTheme="minorHAnsi" w:hAnsiTheme="minorHAnsi"/>
          <w:i/>
          <w:sz w:val="20"/>
          <w:szCs w:val="20"/>
        </w:rPr>
        <w:t>plus</w:t>
      </w:r>
      <w:r w:rsidRPr="0002196E">
        <w:rPr>
          <w:rFonts w:asciiTheme="minorHAnsi" w:hAnsiTheme="minorHAnsi"/>
          <w:sz w:val="20"/>
          <w:szCs w:val="20"/>
        </w:rPr>
        <w:t xml:space="preserve"> </w:t>
      </w:r>
      <w:r w:rsidR="00DD03A6">
        <w:rPr>
          <w:rFonts w:asciiTheme="minorHAnsi" w:hAnsiTheme="minorHAnsi"/>
          <w:sz w:val="20"/>
          <w:szCs w:val="20"/>
        </w:rPr>
        <w:t>Mai-Ndombe</w:t>
      </w:r>
      <w:r w:rsidRPr="0002196E">
        <w:rPr>
          <w:rFonts w:asciiTheme="minorHAnsi" w:hAnsiTheme="minorHAnsi"/>
          <w:sz w:val="20"/>
          <w:szCs w:val="20"/>
        </w:rPr>
        <w:t xml:space="preserve">.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Les revenus (principaux) sont issus du manioc, du maïs, du riz et de l’arachide. Au-delà des disparités, assez fortes, il se dégage un  profil médian à quelques 400 000 FC de revenus monétaires moyens par an, avec une base manioc (autour de 200 000 FC par an)  et des compléments divers, qui peuvent faire de sérieuses différences, en plus ou en moins. Pour les matières premières de base que sont le maïs et le manioc, les prix d’achat bord champs sont de </w:t>
      </w:r>
      <w:r w:rsidRPr="0002196E">
        <w:rPr>
          <w:rFonts w:asciiTheme="minorHAnsi" w:hAnsiTheme="minorHAnsi"/>
          <w:sz w:val="20"/>
          <w:szCs w:val="20"/>
        </w:rPr>
        <w:lastRenderedPageBreak/>
        <w:t>l’ordre respectivement de 156 $US/tonne (12 000FC le sac de 85 kg de cossettes) et de 144 $US/tonne (15 000FC/sac de 115 kg) pour le maïs, mais, dans ce dernier cas, une garde opportune permet de doubler le prix en contresaison. Les prix de demi gros à Kinshasa sont triples. Ce sont des prix élevés, supérieurs au marché mondial. Leur augmentation aurait des conséquences négatives sur la sécurité alimentaire de Kinshasa</w:t>
      </w:r>
      <w:r w:rsidRPr="0002196E">
        <w:rPr>
          <w:rStyle w:val="FootnoteReference"/>
          <w:rFonts w:asciiTheme="minorHAnsi" w:hAnsiTheme="minorHAnsi"/>
          <w:sz w:val="20"/>
          <w:szCs w:val="20"/>
        </w:rPr>
        <w:footnoteReference w:id="39"/>
      </w:r>
      <w:r w:rsidRPr="0002196E">
        <w:rPr>
          <w:rFonts w:asciiTheme="minorHAnsi" w:hAnsiTheme="minorHAnsi"/>
          <w:sz w:val="20"/>
          <w:szCs w:val="20"/>
        </w:rPr>
        <w:t>.</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Aucune de ces activités de base ne peut se comparer par la rapidité de production et par les revenus obtenus à celle du charbon de bois. En un mois un professionnel peut produire 300 sacs à 4 000 FC le sac, soit 1 200 000 FC, avec un ou deux aides. Si l’attente du bateau qui les enlèvera peut être longue, le charbon de bois n’est pas un produit périssable au contraire du manioc et du maïs. Même taxé à 2 000 FC au poste de contrôle provincial de Mushie, et à 6 000 FC en transport et autres, la braise vendue à Kinshasa ne peut pas rapporter moins de 4 000 FC par sac au commerçant qui l’aura achetée dans le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(8 000 dollars pour une baleinière de 2000 sacs). Le prix bas du charbon de bois est à cet égard un incitatif à la quantité, dont toute la chaine de valeur profite, permettant le turn-over rapide des bateaux et du capital roulant, conditions d’un enlèvement rapide de la marchandise.</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Ainsi, les pratiques agricoles actuelles ne permettent pas aux agriculteurs communautaires de véritablement sortir de la pauvreté. Ils sont contraints par les besoins de travaux en pointe, qui  ne leur permettent pas d’augmenter les superficies cultivées. Pour augmenter leurs revenus ils doivent diversifier leurs spéculations et changer de pratiques agricoles, y compris en savane. </w:t>
      </w:r>
    </w:p>
    <w:p w:rsidR="0002196E" w:rsidRPr="00451070" w:rsidRDefault="0002196E" w:rsidP="00451070">
      <w:pPr>
        <w:rPr>
          <w:b/>
        </w:rPr>
      </w:pPr>
      <w:bookmarkStart w:id="64" w:name="_Toc420681574"/>
      <w:r w:rsidRPr="00451070">
        <w:rPr>
          <w:b/>
        </w:rPr>
        <w:t>Accès au foncier rural</w:t>
      </w:r>
      <w:bookmarkEnd w:id="64"/>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Dans tout le district du </w:t>
      </w:r>
      <w:r w:rsidR="00DD03A6">
        <w:rPr>
          <w:rFonts w:asciiTheme="minorHAnsi" w:hAnsiTheme="minorHAnsi"/>
          <w:sz w:val="20"/>
          <w:szCs w:val="20"/>
        </w:rPr>
        <w:t>Mai-Ndombe</w:t>
      </w:r>
      <w:r w:rsidRPr="0002196E">
        <w:rPr>
          <w:rFonts w:asciiTheme="minorHAnsi" w:hAnsiTheme="minorHAnsi"/>
          <w:sz w:val="20"/>
          <w:szCs w:val="20"/>
        </w:rPr>
        <w:t>, les terres appartiennent à l’Etat, selon la Loi Foncière Congolaise, mais sont gérées localement par les Chefs de Terre (C</w:t>
      </w:r>
      <w:r w:rsidR="007E73FA">
        <w:rPr>
          <w:rFonts w:asciiTheme="minorHAnsi" w:hAnsiTheme="minorHAnsi"/>
          <w:sz w:val="20"/>
          <w:szCs w:val="20"/>
        </w:rPr>
        <w:t>T</w:t>
      </w:r>
      <w:r w:rsidRPr="0002196E">
        <w:rPr>
          <w:rFonts w:asciiTheme="minorHAnsi" w:hAnsiTheme="minorHAnsi"/>
          <w:sz w:val="20"/>
          <w:szCs w:val="20"/>
        </w:rPr>
        <w:t>) considérés comme les propriétaires par tout un chacun. Les textes récents (Code Forestier) reconnaissent ce droit de jouissance et le dédommagent éventuellement, en l’attribuant plus exactement aux « communautés ». Les particuliers y sont soumis expressément. Lorsque les terres de forêts se font rares le Chef de Terre joue un rôle dans l’affectation des terres de forêt primaire (mais pas secondaire) y compris aux membres de son propre clan. Ailleurs les membres du clan en jouissent librement, non sans en informer le C</w:t>
      </w:r>
      <w:r w:rsidR="007E73FA">
        <w:rPr>
          <w:rFonts w:asciiTheme="minorHAnsi" w:hAnsiTheme="minorHAnsi"/>
          <w:sz w:val="20"/>
          <w:szCs w:val="20"/>
        </w:rPr>
        <w:t>T</w:t>
      </w:r>
      <w:r w:rsidRPr="0002196E">
        <w:rPr>
          <w:rFonts w:asciiTheme="minorHAnsi" w:hAnsiTheme="minorHAnsi"/>
          <w:sz w:val="20"/>
          <w:szCs w:val="20"/>
        </w:rPr>
        <w:t>. Personne (C</w:t>
      </w:r>
      <w:r w:rsidR="007E73FA">
        <w:rPr>
          <w:rFonts w:asciiTheme="minorHAnsi" w:hAnsiTheme="minorHAnsi"/>
          <w:sz w:val="20"/>
          <w:szCs w:val="20"/>
        </w:rPr>
        <w:t>T</w:t>
      </w:r>
      <w:r w:rsidRPr="0002196E">
        <w:rPr>
          <w:rFonts w:asciiTheme="minorHAnsi" w:hAnsiTheme="minorHAnsi"/>
          <w:sz w:val="20"/>
          <w:szCs w:val="20"/>
        </w:rPr>
        <w:t>, chefs de Groupement, etc.) ne peut enlever une terre de forêt ou du complexe rural à celui qui la cultive l’ayant défrichée initialement ou acquise. Il y a  trois modes d’acquisition de droits formels sur les terres, outre le mode d’acquisition clanique qui vient d’être décrit: la concession fermière – bail de cinq ans renouvelable, le bail emphytéotique de 25 ans pour les concessions de tous types détenues par des propriétaires étrangers, sous certificat d’enregistrement, le bail perpétuel, sous certificat d’enregistrement au cadastre. On pourrait y ajouter la concession d’exploitation artisanale du bois, elle-même limitée dans le temps, ou la concession minière artisanale. Le principal moyen d’acquisition privée d’un droit non coutumier sur le foncier est le bail à ferme</w:t>
      </w:r>
      <w:r w:rsidRPr="0002196E">
        <w:rPr>
          <w:rStyle w:val="FootnoteReference"/>
          <w:rFonts w:asciiTheme="minorHAnsi" w:hAnsiTheme="minorHAnsi"/>
          <w:sz w:val="20"/>
          <w:szCs w:val="20"/>
        </w:rPr>
        <w:footnoteReference w:id="40"/>
      </w:r>
      <w:r w:rsidRPr="0002196E">
        <w:rPr>
          <w:rFonts w:asciiTheme="minorHAnsi" w:hAnsiTheme="minorHAnsi"/>
          <w:sz w:val="20"/>
          <w:szCs w:val="20"/>
        </w:rPr>
        <w:t xml:space="preserve">. Aucun titre foncier, quel qu’il soit, formel ou informel, ne peut être attribué sans l’accord du </w:t>
      </w:r>
      <w:r w:rsidR="007E73FA" w:rsidRPr="0002196E">
        <w:rPr>
          <w:rFonts w:asciiTheme="minorHAnsi" w:hAnsiTheme="minorHAnsi"/>
          <w:sz w:val="20"/>
          <w:szCs w:val="20"/>
        </w:rPr>
        <w:t>C</w:t>
      </w:r>
      <w:r w:rsidR="007E73FA">
        <w:rPr>
          <w:rFonts w:asciiTheme="minorHAnsi" w:hAnsiTheme="minorHAnsi"/>
          <w:sz w:val="20"/>
          <w:szCs w:val="20"/>
        </w:rPr>
        <w:t>T</w:t>
      </w:r>
      <w:r w:rsidR="007E73FA" w:rsidRPr="0002196E">
        <w:rPr>
          <w:rFonts w:asciiTheme="minorHAnsi" w:hAnsiTheme="minorHAnsi"/>
          <w:sz w:val="20"/>
          <w:szCs w:val="20"/>
        </w:rPr>
        <w:t xml:space="preserve"> </w:t>
      </w:r>
      <w:r w:rsidRPr="0002196E">
        <w:rPr>
          <w:rFonts w:asciiTheme="minorHAnsi" w:hAnsiTheme="minorHAnsi"/>
          <w:sz w:val="20"/>
          <w:szCs w:val="20"/>
        </w:rPr>
        <w:t xml:space="preserve">et cet accord </w:t>
      </w:r>
      <w:r w:rsidR="007E73FA" w:rsidRPr="0002196E">
        <w:rPr>
          <w:rFonts w:asciiTheme="minorHAnsi" w:hAnsiTheme="minorHAnsi"/>
          <w:sz w:val="20"/>
          <w:szCs w:val="20"/>
        </w:rPr>
        <w:t>à</w:t>
      </w:r>
      <w:r w:rsidRPr="0002196E">
        <w:rPr>
          <w:rFonts w:asciiTheme="minorHAnsi" w:hAnsiTheme="minorHAnsi"/>
          <w:sz w:val="20"/>
          <w:szCs w:val="20"/>
        </w:rPr>
        <w:t xml:space="preserve"> un prix, supérieur lorsque le droit est « définitif » (ce qu’introduit le passage au cadastre). Ce prix est véritablement celui de la terre et du marché foncier, qui dépend de la proximité aux villes</w:t>
      </w:r>
      <w:r w:rsidRPr="0002196E">
        <w:rPr>
          <w:rStyle w:val="FootnoteReference"/>
          <w:rFonts w:asciiTheme="minorHAnsi" w:hAnsiTheme="minorHAnsi"/>
          <w:sz w:val="20"/>
          <w:szCs w:val="20"/>
        </w:rPr>
        <w:footnoteReference w:id="41"/>
      </w:r>
      <w:r w:rsidRPr="0002196E">
        <w:rPr>
          <w:rFonts w:asciiTheme="minorHAnsi" w:hAnsiTheme="minorHAnsi"/>
          <w:sz w:val="20"/>
          <w:szCs w:val="20"/>
        </w:rPr>
        <w:t>.</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Même lorsque la terre est couverte par un droit officiel elle reste redevable officieusement de droits au clan, en général payés au </w:t>
      </w:r>
      <w:r w:rsidR="007E73FA" w:rsidRPr="0002196E">
        <w:rPr>
          <w:rFonts w:asciiTheme="minorHAnsi" w:hAnsiTheme="minorHAnsi"/>
          <w:sz w:val="20"/>
          <w:szCs w:val="20"/>
        </w:rPr>
        <w:t>C</w:t>
      </w:r>
      <w:r w:rsidR="007E73FA">
        <w:rPr>
          <w:rFonts w:asciiTheme="minorHAnsi" w:hAnsiTheme="minorHAnsi"/>
          <w:sz w:val="20"/>
          <w:szCs w:val="20"/>
        </w:rPr>
        <w:t>T</w:t>
      </w:r>
      <w:r w:rsidR="007E73FA" w:rsidRPr="0002196E">
        <w:rPr>
          <w:rFonts w:asciiTheme="minorHAnsi" w:hAnsiTheme="minorHAnsi"/>
          <w:sz w:val="20"/>
          <w:szCs w:val="20"/>
        </w:rPr>
        <w:t xml:space="preserve"> </w:t>
      </w:r>
      <w:r w:rsidRPr="0002196E">
        <w:rPr>
          <w:rFonts w:asciiTheme="minorHAnsi" w:hAnsiTheme="minorHAnsi"/>
          <w:sz w:val="20"/>
          <w:szCs w:val="20"/>
        </w:rPr>
        <w:t>directement. Tout conflit sur ce droit non officiel peut avoir de graves conséquences</w:t>
      </w:r>
      <w:r w:rsidRPr="0002196E">
        <w:rPr>
          <w:rStyle w:val="FootnoteReference"/>
          <w:rFonts w:asciiTheme="minorHAnsi" w:hAnsiTheme="minorHAnsi"/>
          <w:sz w:val="20"/>
          <w:szCs w:val="20"/>
        </w:rPr>
        <w:footnoteReference w:id="42"/>
      </w:r>
      <w:r w:rsidRPr="0002196E">
        <w:rPr>
          <w:rFonts w:asciiTheme="minorHAnsi" w:hAnsiTheme="minorHAnsi"/>
          <w:sz w:val="20"/>
          <w:szCs w:val="20"/>
        </w:rPr>
        <w:t>. Ce droit est devenu officiel et quantifié dans le cas des concessions forestières et minières industrielles, par le biais des cahiers des charges, mais il ne l’est dans aucun autre mode de concession où il est négocié</w:t>
      </w:r>
      <w:r w:rsidRPr="0002196E">
        <w:rPr>
          <w:rStyle w:val="FootnoteReference"/>
          <w:rFonts w:asciiTheme="minorHAnsi" w:hAnsiTheme="minorHAnsi"/>
          <w:sz w:val="20"/>
          <w:szCs w:val="20"/>
        </w:rPr>
        <w:footnoteReference w:id="43"/>
      </w:r>
      <w:r w:rsidRPr="0002196E">
        <w:rPr>
          <w:rFonts w:asciiTheme="minorHAnsi" w:hAnsiTheme="minorHAnsi"/>
          <w:sz w:val="20"/>
          <w:szCs w:val="20"/>
        </w:rPr>
        <w:t xml:space="preserve">. </w:t>
      </w:r>
    </w:p>
    <w:p w:rsidR="0002196E" w:rsidRPr="0002196E" w:rsidRDefault="0002196E" w:rsidP="002E3A02">
      <w:pPr>
        <w:pStyle w:val="Default"/>
        <w:numPr>
          <w:ilvl w:val="0"/>
          <w:numId w:val="55"/>
        </w:numPr>
        <w:jc w:val="both"/>
        <w:rPr>
          <w:rFonts w:asciiTheme="minorHAnsi" w:hAnsiTheme="minorHAnsi"/>
          <w:sz w:val="20"/>
          <w:szCs w:val="20"/>
        </w:rPr>
      </w:pPr>
      <w:r w:rsidRPr="0002196E">
        <w:rPr>
          <w:rFonts w:asciiTheme="minorHAnsi" w:hAnsiTheme="minorHAnsi"/>
          <w:sz w:val="20"/>
          <w:szCs w:val="20"/>
        </w:rPr>
        <w:t>Les conflits se produisent le plus souvent dans les cas qui suivent :</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lastRenderedPageBreak/>
        <w:t>les limites des terres elles même font conflit entre les chefs, et le droit d’usage clanique devient conflictuel quand un membre du clan use de ce droit sur la terre en conflit de propriété clanique</w:t>
      </w:r>
      <w:r w:rsidRPr="0002196E">
        <w:rPr>
          <w:rStyle w:val="FootnoteReference"/>
          <w:rFonts w:asciiTheme="minorHAnsi" w:hAnsiTheme="minorHAnsi"/>
          <w:sz w:val="20"/>
          <w:szCs w:val="20"/>
        </w:rPr>
        <w:footnoteReference w:id="44"/>
      </w:r>
      <w:r w:rsidRPr="0002196E">
        <w:rPr>
          <w:rFonts w:asciiTheme="minorHAnsi" w:hAnsiTheme="minorHAnsi"/>
          <w:sz w:val="20"/>
          <w:szCs w:val="20"/>
        </w:rPr>
        <w:t>. Ce type de conflit peut concerner toute sorte d’usage: agricole, de pêche, de chasse, de mine,</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t>les venants, trop ou plus nombreux, se trouvent discriminés par les modalités claniques des terres, ou mettent en cause les droits d’entrée et les redevances qu’ils sont obligés de payer (cas des périphéries urbaines),</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t>les limites de terre font conflit avec les concessionnaires, y compris fermiers. Les terres en effet sont rarement délimitées de manière précise,</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t>à la succession, entrainant changement de lignage à la chefferie. Tout est alors renégocié, du « droit d’entrée » jusqu’au montant de la redevance annuelle,</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t>A tout moment au paiement des redevances, si le C</w:t>
      </w:r>
      <w:r w:rsidR="007E73FA">
        <w:rPr>
          <w:rFonts w:asciiTheme="minorHAnsi" w:hAnsiTheme="minorHAnsi"/>
          <w:sz w:val="20"/>
          <w:szCs w:val="20"/>
        </w:rPr>
        <w:t>T</w:t>
      </w:r>
      <w:r w:rsidRPr="0002196E">
        <w:rPr>
          <w:rFonts w:asciiTheme="minorHAnsi" w:hAnsiTheme="minorHAnsi"/>
          <w:sz w:val="20"/>
          <w:szCs w:val="20"/>
        </w:rPr>
        <w:t xml:space="preserve"> vient à la trouver trop faible,</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t>Les terres viennent à manquer dans le clan, du fait de l’ampleur des attributions faites par le C</w:t>
      </w:r>
      <w:r w:rsidR="007E73FA">
        <w:rPr>
          <w:rFonts w:asciiTheme="minorHAnsi" w:hAnsiTheme="minorHAnsi"/>
          <w:sz w:val="20"/>
          <w:szCs w:val="20"/>
        </w:rPr>
        <w:t>T</w:t>
      </w:r>
      <w:r w:rsidRPr="0002196E">
        <w:rPr>
          <w:rFonts w:asciiTheme="minorHAnsi" w:hAnsiTheme="minorHAnsi"/>
          <w:sz w:val="20"/>
          <w:szCs w:val="20"/>
        </w:rPr>
        <w:t>,</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t>Du fait de la divagation du bétail et en saison sèche, quand le bétail se rabat sur les terres de culture ou de forêt,</w:t>
      </w:r>
    </w:p>
    <w:p w:rsidR="0002196E" w:rsidRPr="0002196E" w:rsidRDefault="0002196E" w:rsidP="002E3A02">
      <w:pPr>
        <w:pStyle w:val="Default"/>
        <w:numPr>
          <w:ilvl w:val="1"/>
          <w:numId w:val="55"/>
        </w:numPr>
        <w:jc w:val="both"/>
        <w:rPr>
          <w:rFonts w:asciiTheme="minorHAnsi" w:hAnsiTheme="minorHAnsi"/>
          <w:sz w:val="20"/>
          <w:szCs w:val="20"/>
        </w:rPr>
      </w:pPr>
      <w:r w:rsidRPr="0002196E">
        <w:rPr>
          <w:rFonts w:asciiTheme="minorHAnsi" w:hAnsiTheme="minorHAnsi"/>
          <w:sz w:val="20"/>
          <w:szCs w:val="20"/>
        </w:rPr>
        <w:t>Lorsque les forêts galeries, cultivées, cessent d’être accessibles aux paysans parce qu’enserrées dans les terres de savane sous statut concessionnaire (y compris à ferme),</w:t>
      </w:r>
    </w:p>
    <w:p w:rsidR="0002196E" w:rsidRPr="0002196E" w:rsidRDefault="0002196E" w:rsidP="002E3A02">
      <w:pPr>
        <w:pStyle w:val="Default"/>
        <w:numPr>
          <w:ilvl w:val="1"/>
          <w:numId w:val="55"/>
        </w:numPr>
        <w:spacing w:after="240"/>
        <w:jc w:val="both"/>
        <w:rPr>
          <w:rFonts w:asciiTheme="minorHAnsi" w:hAnsiTheme="minorHAnsi"/>
          <w:sz w:val="20"/>
          <w:szCs w:val="20"/>
        </w:rPr>
      </w:pPr>
      <w:r w:rsidRPr="0002196E">
        <w:rPr>
          <w:rFonts w:asciiTheme="minorHAnsi" w:hAnsiTheme="minorHAnsi"/>
          <w:sz w:val="20"/>
          <w:szCs w:val="20"/>
        </w:rPr>
        <w:t>Lorsque les concessionnaires manquent de souplesse dans l’application de leur droit à interdire l’agriculture sur leurs terres</w:t>
      </w:r>
      <w:r w:rsidRPr="0002196E">
        <w:rPr>
          <w:rStyle w:val="FootnoteReference"/>
          <w:rFonts w:asciiTheme="minorHAnsi" w:hAnsiTheme="minorHAnsi"/>
          <w:sz w:val="20"/>
          <w:szCs w:val="20"/>
        </w:rPr>
        <w:footnoteReference w:id="45"/>
      </w:r>
      <w:r w:rsidRPr="0002196E">
        <w:rPr>
          <w:rFonts w:asciiTheme="minorHAnsi" w:hAnsiTheme="minorHAnsi"/>
          <w:sz w:val="20"/>
          <w:szCs w:val="20"/>
        </w:rPr>
        <w:t>.</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Toutefois, dans toute la Province du </w:t>
      </w:r>
      <w:r w:rsidR="00DD03A6">
        <w:rPr>
          <w:rFonts w:asciiTheme="minorHAnsi" w:hAnsiTheme="minorHAnsi"/>
          <w:sz w:val="20"/>
          <w:szCs w:val="20"/>
        </w:rPr>
        <w:t>Mai-Ndombe</w:t>
      </w:r>
      <w:r w:rsidRPr="0002196E">
        <w:rPr>
          <w:rFonts w:asciiTheme="minorHAnsi" w:hAnsiTheme="minorHAnsi"/>
          <w:sz w:val="20"/>
          <w:szCs w:val="20"/>
        </w:rPr>
        <w:t xml:space="preserve">, </w:t>
      </w:r>
      <w:r w:rsidRPr="0002196E">
        <w:rPr>
          <w:rFonts w:asciiTheme="minorHAnsi" w:hAnsiTheme="minorHAnsi"/>
          <w:b/>
          <w:sz w:val="20"/>
          <w:szCs w:val="20"/>
        </w:rPr>
        <w:t>l’accès au foncier</w:t>
      </w:r>
      <w:r w:rsidRPr="0002196E">
        <w:rPr>
          <w:rFonts w:asciiTheme="minorHAnsi" w:hAnsiTheme="minorHAnsi"/>
          <w:sz w:val="20"/>
          <w:szCs w:val="20"/>
        </w:rPr>
        <w:t xml:space="preserve"> n’est véritablement problématique que dans les périphéries urbaines et dans le Territoire de Yumbi. Dans les périphéries urbaines, les forêts secondaires et même les jachères de 5 ans se louent pour la durée de la saison de culture de manioc à un prix qui varie de 20 à 100 000 FC l’hectare. Ce sont des terres sur lesquelles un investissement a été réalisé (le défrichement), et qui, travaillées, rapporteront des récoltes dont la valeur avoisinera les 700 000 FC à l’hectare ainsi que la sécurité alimentaire à ceux qui les travailleront. Ces terres sont prisées car elles ne sont pas loin des quartiers, les temps de marche pour s’y rendre sont réduits. Les prix valent pour tous les locataires, y compris les PA. Aucune ségrégation n’a été dénoncée ni constatée lors de la Mission BioCf</w:t>
      </w:r>
      <w:r w:rsidRPr="0002196E">
        <w:rPr>
          <w:rFonts w:asciiTheme="minorHAnsi" w:hAnsiTheme="minorHAnsi"/>
          <w:i/>
          <w:sz w:val="20"/>
          <w:szCs w:val="20"/>
        </w:rPr>
        <w:t>plus</w:t>
      </w:r>
      <w:r w:rsidRPr="0002196E">
        <w:rPr>
          <w:rFonts w:asciiTheme="minorHAnsi" w:hAnsiTheme="minorHAnsi"/>
          <w:sz w:val="20"/>
          <w:szCs w:val="20"/>
        </w:rPr>
        <w:t>. Les prix diminuent fortement en milieu rural, où l’accès à la forêt primaire ne nécessite qu’un accord du C</w:t>
      </w:r>
      <w:r w:rsidR="007E73FA">
        <w:rPr>
          <w:rFonts w:asciiTheme="minorHAnsi" w:hAnsiTheme="minorHAnsi"/>
          <w:sz w:val="20"/>
          <w:szCs w:val="20"/>
        </w:rPr>
        <w:t>T</w:t>
      </w:r>
      <w:r w:rsidRPr="0002196E">
        <w:rPr>
          <w:rFonts w:asciiTheme="minorHAnsi" w:hAnsiTheme="minorHAnsi"/>
          <w:sz w:val="20"/>
          <w:szCs w:val="20"/>
        </w:rPr>
        <w:t xml:space="preserve"> et une redevance minime. Cependant, l’accès des forêts primaires n’est pas toujours autorisé aux allochtones, dépendant là encore de la pression sur les terres</w:t>
      </w:r>
      <w:r w:rsidRPr="0002196E">
        <w:rPr>
          <w:rStyle w:val="FootnoteReference"/>
          <w:rFonts w:asciiTheme="minorHAnsi" w:hAnsiTheme="minorHAnsi"/>
          <w:sz w:val="20"/>
          <w:szCs w:val="20"/>
        </w:rPr>
        <w:footnoteReference w:id="46"/>
      </w:r>
      <w:r w:rsidRPr="0002196E">
        <w:rPr>
          <w:rFonts w:asciiTheme="minorHAnsi" w:hAnsiTheme="minorHAnsi"/>
          <w:sz w:val="20"/>
          <w:szCs w:val="20"/>
        </w:rPr>
        <w:t xml:space="preserve">. Dans le Territoire de Yumbi, la densité humaine, la rareté des forêts et l’accaparement si répandu des terres de savane par les fermes d’élevage crée un déficit structurel de terres cultivables, tout en posant fragilisant la sécurité alimentaire, ce qui ne peut que produire des conflits périodiques, surtout quand la divagation des troupeaux vient s’y ajouter.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Si l’accès au foncier est largement possible, la permanence des droits sur les terres défrichées ne l’est pas partout, en particulier dans la périphérie des cités où la pression humaine augmente, dès lors que la durée de la jachère est longue. Dans les périphéries de cité, tout investissement sur les terres (cultures pérennes, jachère améliorée, régénération naturelle assistée sur les savanes) devrait faire l’objet d’une sécurisation adéquate. La méthodologie des Plans Simples de Gestion expérimentée par le projet Makala va dans ce sens pour l’amélioration de la jachère</w:t>
      </w:r>
      <w:r w:rsidRPr="0002196E">
        <w:rPr>
          <w:rStyle w:val="FootnoteReference"/>
          <w:rFonts w:asciiTheme="minorHAnsi" w:hAnsiTheme="minorHAnsi"/>
          <w:sz w:val="20"/>
          <w:szCs w:val="20"/>
        </w:rPr>
        <w:footnoteReference w:id="47"/>
      </w:r>
      <w:r w:rsidRPr="0002196E">
        <w:rPr>
          <w:rFonts w:asciiTheme="minorHAnsi" w:hAnsiTheme="minorHAnsi"/>
          <w:sz w:val="20"/>
          <w:szCs w:val="20"/>
        </w:rPr>
        <w:t xml:space="preserve">. Pour les cultures pérennes, une protection plus officielle sera nécessaire (certificat d’enregistrement) pour les concessions de plus d’un ha. </w:t>
      </w:r>
    </w:p>
    <w:p w:rsidR="0002196E" w:rsidRPr="00451070" w:rsidRDefault="0002196E" w:rsidP="00451070">
      <w:pPr>
        <w:rPr>
          <w:b/>
        </w:rPr>
      </w:pPr>
      <w:bookmarkStart w:id="65" w:name="_Toc420681575"/>
      <w:r w:rsidRPr="00451070">
        <w:rPr>
          <w:b/>
        </w:rPr>
        <w:t>Pression concessionnaire, forêts inondées et superficie forestière utile:</w:t>
      </w:r>
      <w:bookmarkEnd w:id="65"/>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t xml:space="preserve">L’activité agricole se déroule dans le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presqu’exclusivement sur forêt exondée, plus ou moins dégradée en complexe rural. Les forêts inondées ne sont pas cultivées puisqu’ inondées en saison des pluies. Le tableau ci-dessous (voir aussi la Figure 2) montre que les concessions de toutes natures (sauf les concessions fermières paysannes) représentent 30 % de la superficie de la Province, et les forêts inondées 11%. Sur les terres de concession, l’agriculture n’est possible que de manière illégale. La superficie utile pour l’agriculture est la différence entre la superficie forestière totale et ces terres de concession et inondées. La Superficie Forestière Utile représente ainsi 46% de la superficie totale de la Province, 52% si on la ramène à la Surface Forestière Totale (qui inclut le complexe rural c’est-à-dire la zone déjà anthropisée). </w:t>
      </w:r>
    </w:p>
    <w:p w:rsidR="0002196E" w:rsidRPr="0002196E" w:rsidRDefault="0002196E" w:rsidP="002E3A02">
      <w:pPr>
        <w:pStyle w:val="Default"/>
        <w:numPr>
          <w:ilvl w:val="0"/>
          <w:numId w:val="55"/>
        </w:numPr>
        <w:spacing w:after="240"/>
        <w:jc w:val="both"/>
        <w:rPr>
          <w:rFonts w:asciiTheme="minorHAnsi" w:hAnsiTheme="minorHAnsi"/>
          <w:sz w:val="20"/>
          <w:szCs w:val="20"/>
        </w:rPr>
      </w:pPr>
      <w:r w:rsidRPr="0002196E">
        <w:rPr>
          <w:rFonts w:asciiTheme="minorHAnsi" w:hAnsiTheme="minorHAnsi"/>
          <w:sz w:val="20"/>
          <w:szCs w:val="20"/>
        </w:rPr>
        <w:lastRenderedPageBreak/>
        <w:t xml:space="preserve">Sur cette base il est possible de calculer la durée nécessaire à la mise en culture totale des forêts exondées hors savane actuellement réservées aux paysans: 39 ans pour le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et 28 ans pour le Plateau. Encore ces chiffres sont-ils des moyennes, qui ne traduisent pas les disparités très fortes d’exposition à la pression anthropique. Ces disparités s’observent sur la carte</w:t>
      </w:r>
      <w:r w:rsidR="004E2397">
        <w:rPr>
          <w:rFonts w:asciiTheme="minorHAnsi" w:hAnsiTheme="minorHAnsi"/>
          <w:sz w:val="20"/>
          <w:szCs w:val="20"/>
        </w:rPr>
        <w:t xml:space="preserve"> sur la déforestation dans le Mai-Ndombe</w:t>
      </w:r>
      <w:r w:rsidRPr="0002196E">
        <w:rPr>
          <w:rFonts w:asciiTheme="minorHAnsi" w:hAnsiTheme="minorHAnsi"/>
          <w:sz w:val="20"/>
          <w:szCs w:val="20"/>
        </w:rPr>
        <w:t xml:space="preserve"> </w:t>
      </w:r>
      <w:r w:rsidR="004E2397">
        <w:rPr>
          <w:rFonts w:asciiTheme="minorHAnsi" w:hAnsiTheme="minorHAnsi"/>
          <w:sz w:val="20"/>
          <w:szCs w:val="20"/>
        </w:rPr>
        <w:t xml:space="preserve">présentée ci-dessous. </w:t>
      </w:r>
      <w:r w:rsidRPr="0002196E">
        <w:rPr>
          <w:rFonts w:asciiTheme="minorHAnsi" w:hAnsiTheme="minorHAnsi"/>
          <w:sz w:val="20"/>
          <w:szCs w:val="20"/>
        </w:rPr>
        <w:t xml:space="preserve">Les fronts pionniers grignotent dramatiquement les concessions forestières, en bordure des rivières, des routes et des villages mais également en profondeur et de manière très dispersée, comme pour rendre plus difficile le contrôle du véritable mitage auquel se livre l’agriculture dans certaines concessions. </w:t>
      </w:r>
    </w:p>
    <w:p w:rsidR="0002196E" w:rsidRPr="00451070" w:rsidRDefault="0002196E" w:rsidP="00451070">
      <w:pPr>
        <w:rPr>
          <w:b/>
        </w:rPr>
      </w:pPr>
      <w:r w:rsidRPr="00451070">
        <w:rPr>
          <w:b/>
        </w:rPr>
        <w:t xml:space="preserve"> </w:t>
      </w:r>
      <w:bookmarkStart w:id="66" w:name="_Toc420681576"/>
      <w:r w:rsidRPr="00451070">
        <w:rPr>
          <w:b/>
        </w:rPr>
        <w:t>Pertes en forêt</w:t>
      </w:r>
      <w:bookmarkEnd w:id="66"/>
      <w:r w:rsidRPr="00451070">
        <w:rPr>
          <w:b/>
        </w:rPr>
        <w:t xml:space="preserve"> </w:t>
      </w:r>
    </w:p>
    <w:p w:rsidR="0002196E" w:rsidRPr="0002196E" w:rsidRDefault="0002196E" w:rsidP="002E3A02">
      <w:pPr>
        <w:pStyle w:val="Default"/>
        <w:numPr>
          <w:ilvl w:val="0"/>
          <w:numId w:val="55"/>
        </w:numPr>
        <w:spacing w:after="240"/>
        <w:jc w:val="both"/>
        <w:rPr>
          <w:rFonts w:asciiTheme="minorHAnsi" w:hAnsiTheme="minorHAnsi"/>
          <w:sz w:val="20"/>
          <w:szCs w:val="20"/>
        </w:rPr>
        <w:sectPr w:rsidR="0002196E" w:rsidRPr="0002196E" w:rsidSect="000F2DE3">
          <w:headerReference w:type="default" r:id="rId35"/>
          <w:footerReference w:type="default" r:id="rId36"/>
          <w:pgSz w:w="12240" w:h="15840" w:code="1"/>
          <w:pgMar w:top="810" w:right="990" w:bottom="720" w:left="1418" w:header="360" w:footer="8" w:gutter="0"/>
          <w:pgNumType w:start="1"/>
          <w:cols w:space="720"/>
          <w:docGrid w:linePitch="360"/>
        </w:sectPr>
      </w:pPr>
      <w:r w:rsidRPr="0002196E">
        <w:rPr>
          <w:rFonts w:asciiTheme="minorHAnsi" w:hAnsiTheme="minorHAnsi"/>
          <w:sz w:val="20"/>
          <w:szCs w:val="20"/>
        </w:rPr>
        <w:t xml:space="preserve">Le même tableau ci-dessous fait apparaître l’important différentiel de pertes entre les zones agricoles et les  zones concessionnaires: les  pertes  doublent pratiquement en pourcentage, entre les pertes sur la superficie forestière totale et  celles sur la superficie réservée aux paysans (SFU).  Les taux dans ces réserves sont  supérieurs à  0,8% par an entre 2000 et 2012. Sur cette même période, la  superficie totale déforestée est de  154 200 ha  pour le district du </w:t>
      </w:r>
      <w:r w:rsidR="00EB17C0">
        <w:rPr>
          <w:rFonts w:asciiTheme="minorHAnsi" w:hAnsiTheme="minorHAnsi"/>
          <w:sz w:val="20"/>
          <w:szCs w:val="20"/>
        </w:rPr>
        <w:t>Mai-Ndombe</w:t>
      </w:r>
      <w:r w:rsidR="00E15FEC">
        <w:rPr>
          <w:rFonts w:asciiTheme="minorHAnsi" w:hAnsiTheme="minorHAnsi"/>
          <w:sz w:val="20"/>
          <w:szCs w:val="20"/>
        </w:rPr>
        <w:t xml:space="preserve"> </w:t>
      </w:r>
      <w:r w:rsidRPr="0002196E">
        <w:rPr>
          <w:rFonts w:asciiTheme="minorHAnsi" w:hAnsiTheme="minorHAnsi"/>
          <w:sz w:val="20"/>
          <w:szCs w:val="20"/>
        </w:rPr>
        <w:t xml:space="preserve">et de  115 300 ha pour le district du Plateau, clairement en pointe  en matière de déforestation. </w:t>
      </w:r>
    </w:p>
    <w:p w:rsidR="0002196E" w:rsidRPr="0002196E" w:rsidRDefault="007E73FA" w:rsidP="0002196E">
      <w:pPr>
        <w:pStyle w:val="Caption"/>
        <w:rPr>
          <w:sz w:val="20"/>
          <w:szCs w:val="20"/>
        </w:rPr>
      </w:pPr>
      <w:bookmarkStart w:id="67" w:name="_Toc420681609"/>
      <w:r>
        <w:rPr>
          <w:sz w:val="20"/>
          <w:szCs w:val="20"/>
        </w:rPr>
        <w:lastRenderedPageBreak/>
        <w:t>D</w:t>
      </w:r>
      <w:r w:rsidR="0002196E" w:rsidRPr="0002196E">
        <w:rPr>
          <w:sz w:val="20"/>
          <w:szCs w:val="20"/>
        </w:rPr>
        <w:t>urée de la dégradation forestière durable, et pertes en forêt entre 2000 et 2012 (Forêt Totale et Forêt Utile)</w:t>
      </w:r>
      <w:bookmarkEnd w:id="67"/>
    </w:p>
    <w:tbl>
      <w:tblPr>
        <w:tblW w:w="5818" w:type="pct"/>
        <w:tblInd w:w="-995" w:type="dxa"/>
        <w:tblLayout w:type="fixed"/>
        <w:tblCellMar>
          <w:left w:w="70" w:type="dxa"/>
          <w:right w:w="70" w:type="dxa"/>
        </w:tblCellMar>
        <w:tblLook w:val="04A0" w:firstRow="1" w:lastRow="0" w:firstColumn="1" w:lastColumn="0" w:noHBand="0" w:noVBand="1"/>
      </w:tblPr>
      <w:tblGrid>
        <w:gridCol w:w="912"/>
        <w:gridCol w:w="756"/>
        <w:gridCol w:w="756"/>
        <w:gridCol w:w="756"/>
        <w:gridCol w:w="759"/>
        <w:gridCol w:w="756"/>
        <w:gridCol w:w="756"/>
        <w:gridCol w:w="759"/>
        <w:gridCol w:w="756"/>
        <w:gridCol w:w="756"/>
        <w:gridCol w:w="759"/>
        <w:gridCol w:w="756"/>
        <w:gridCol w:w="756"/>
        <w:gridCol w:w="759"/>
        <w:gridCol w:w="756"/>
        <w:gridCol w:w="756"/>
        <w:gridCol w:w="759"/>
        <w:gridCol w:w="756"/>
        <w:gridCol w:w="756"/>
        <w:gridCol w:w="759"/>
      </w:tblGrid>
      <w:tr w:rsidR="007E73FA" w:rsidRPr="00965B36" w:rsidTr="00ED144B">
        <w:trPr>
          <w:trHeight w:val="434"/>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a</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b</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c</w:t>
            </w:r>
          </w:p>
        </w:tc>
        <w:tc>
          <w:tcPr>
            <w:tcW w:w="248"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d</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e</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f</w:t>
            </w:r>
          </w:p>
        </w:tc>
        <w:tc>
          <w:tcPr>
            <w:tcW w:w="248"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g</w:t>
            </w:r>
          </w:p>
        </w:tc>
        <w:tc>
          <w:tcPr>
            <w:tcW w:w="247"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h</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i</w:t>
            </w:r>
          </w:p>
        </w:tc>
        <w:tc>
          <w:tcPr>
            <w:tcW w:w="248"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j</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k</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l</w:t>
            </w:r>
          </w:p>
        </w:tc>
        <w:tc>
          <w:tcPr>
            <w:tcW w:w="248"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m</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n</w:t>
            </w:r>
          </w:p>
        </w:tc>
        <w:tc>
          <w:tcPr>
            <w:tcW w:w="247" w:type="pct"/>
            <w:tcBorders>
              <w:top w:val="single" w:sz="4" w:space="0" w:color="auto"/>
              <w:left w:val="nil"/>
              <w:bottom w:val="single" w:sz="4" w:space="0" w:color="auto"/>
              <w:right w:val="single" w:sz="4" w:space="0" w:color="auto"/>
            </w:tcBorders>
            <w:shd w:val="clear" w:color="000000" w:fill="FFF2CC"/>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o</w:t>
            </w:r>
          </w:p>
        </w:tc>
        <w:tc>
          <w:tcPr>
            <w:tcW w:w="248" w:type="pct"/>
            <w:tcBorders>
              <w:top w:val="single" w:sz="4" w:space="0" w:color="auto"/>
              <w:left w:val="nil"/>
              <w:bottom w:val="single" w:sz="4" w:space="0" w:color="auto"/>
              <w:right w:val="single" w:sz="4" w:space="0" w:color="auto"/>
            </w:tcBorders>
            <w:shd w:val="clear" w:color="000000" w:fill="A81080"/>
            <w:vAlign w:val="center"/>
          </w:tcPr>
          <w:p w:rsidR="0002196E" w:rsidRPr="00965B36" w:rsidRDefault="0002196E" w:rsidP="0002196E">
            <w:pPr>
              <w:spacing w:after="0" w:line="240" w:lineRule="auto"/>
              <w:jc w:val="center"/>
              <w:rPr>
                <w:rFonts w:ascii="Calibri" w:eastAsia="Times New Roman" w:hAnsi="Calibri" w:cs="Times New Roman"/>
                <w:color w:val="FFFFFF"/>
                <w:sz w:val="16"/>
                <w:szCs w:val="16"/>
              </w:rPr>
            </w:pPr>
            <w:r w:rsidRPr="00965B36">
              <w:rPr>
                <w:rFonts w:ascii="Calibri" w:eastAsia="Times New Roman" w:hAnsi="Calibri" w:cs="Times New Roman"/>
                <w:color w:val="FFFFFF"/>
                <w:sz w:val="16"/>
                <w:szCs w:val="16"/>
              </w:rPr>
              <w:t>p</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q</w:t>
            </w:r>
          </w:p>
        </w:tc>
        <w:tc>
          <w:tcPr>
            <w:tcW w:w="247"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r</w:t>
            </w:r>
          </w:p>
        </w:tc>
        <w:tc>
          <w:tcPr>
            <w:tcW w:w="248" w:type="pct"/>
            <w:tcBorders>
              <w:top w:val="single" w:sz="4" w:space="0" w:color="auto"/>
              <w:left w:val="nil"/>
              <w:bottom w:val="single" w:sz="4" w:space="0" w:color="auto"/>
              <w:right w:val="single" w:sz="4" w:space="0" w:color="auto"/>
            </w:tcBorders>
            <w:shd w:val="clear" w:color="auto" w:fill="auto"/>
            <w:vAlign w:val="center"/>
          </w:tcPr>
          <w:p w:rsidR="0002196E" w:rsidRPr="00965B36" w:rsidRDefault="0002196E" w:rsidP="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s</w:t>
            </w:r>
          </w:p>
        </w:tc>
      </w:tr>
      <w:tr w:rsidR="007E73FA" w:rsidRPr="00965B36" w:rsidTr="00ED144B">
        <w:trPr>
          <w:trHeight w:val="1065"/>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Territoire</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7E73FA"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Su</w:t>
            </w:r>
            <w:r w:rsidR="007E73FA">
              <w:rPr>
                <w:rFonts w:ascii="Calibri" w:eastAsia="Times New Roman" w:hAnsi="Calibri" w:cs="Times New Roman"/>
                <w:color w:val="000000"/>
                <w:sz w:val="16"/>
                <w:szCs w:val="16"/>
              </w:rPr>
              <w:t>rf.</w:t>
            </w:r>
          </w:p>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Totale (ST)</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7E73FA"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Pop</w:t>
            </w:r>
            <w:r w:rsidR="007E73FA">
              <w:rPr>
                <w:rFonts w:ascii="Calibri" w:eastAsia="Times New Roman" w:hAnsi="Calibri" w:cs="Times New Roman"/>
                <w:color w:val="000000"/>
                <w:sz w:val="16"/>
                <w:szCs w:val="16"/>
              </w:rPr>
              <w:t>.</w:t>
            </w:r>
          </w:p>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2012 (santé)</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965B36"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Den</w:t>
            </w:r>
            <w:r w:rsidR="0002196E" w:rsidRPr="00965B36">
              <w:rPr>
                <w:rFonts w:ascii="Calibri" w:eastAsia="Times New Roman" w:hAnsi="Calibri" w:cs="Times New Roman"/>
                <w:color w:val="000000"/>
                <w:sz w:val="16"/>
                <w:szCs w:val="16"/>
              </w:rPr>
              <w:t xml:space="preserve">sité sur </w:t>
            </w:r>
            <w:r w:rsidR="007E73FA">
              <w:rPr>
                <w:rFonts w:ascii="Calibri" w:eastAsia="Times New Roman" w:hAnsi="Calibri" w:cs="Times New Roman"/>
                <w:color w:val="000000"/>
                <w:sz w:val="16"/>
                <w:szCs w:val="16"/>
              </w:rPr>
              <w:t>ST</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7E73FA"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Surf.</w:t>
            </w:r>
            <w:r w:rsidR="0002196E" w:rsidRPr="00965B36">
              <w:rPr>
                <w:rFonts w:ascii="Calibri" w:eastAsia="Times New Roman" w:hAnsi="Calibri" w:cs="Times New Roman"/>
                <w:color w:val="000000"/>
                <w:sz w:val="16"/>
                <w:szCs w:val="16"/>
              </w:rPr>
              <w:t xml:space="preserve"> forêts</w:t>
            </w:r>
          </w:p>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2000</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Surf.</w:t>
            </w:r>
            <w:r w:rsidR="0002196E" w:rsidRPr="00965B36">
              <w:rPr>
                <w:rFonts w:ascii="Calibri" w:eastAsia="Times New Roman" w:hAnsi="Calibri" w:cs="Times New Roman"/>
                <w:color w:val="000000"/>
                <w:sz w:val="16"/>
                <w:szCs w:val="16"/>
              </w:rPr>
              <w:t xml:space="preserve"> forêt</w:t>
            </w:r>
            <w:r>
              <w:rPr>
                <w:rFonts w:ascii="Calibri" w:eastAsia="Times New Roman" w:hAnsi="Calibri" w:cs="Times New Roman"/>
                <w:color w:val="000000"/>
                <w:sz w:val="16"/>
                <w:szCs w:val="16"/>
              </w:rPr>
              <w:t>s</w:t>
            </w:r>
            <w:r w:rsidR="0002196E" w:rsidRPr="00965B36">
              <w:rPr>
                <w:rFonts w:ascii="Calibri" w:eastAsia="Times New Roman" w:hAnsi="Calibri" w:cs="Times New Roman"/>
                <w:color w:val="000000"/>
                <w:sz w:val="16"/>
                <w:szCs w:val="16"/>
              </w:rPr>
              <w:t xml:space="preserve">  2012</w:t>
            </w:r>
          </w:p>
          <w:p w:rsidR="007E73FA" w:rsidRPr="00965B36"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(SF)</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7E73FA"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T</w:t>
            </w:r>
            <w:r w:rsidR="0002196E" w:rsidRPr="00965B36">
              <w:rPr>
                <w:rFonts w:ascii="Calibri" w:eastAsia="Times New Roman" w:hAnsi="Calibri" w:cs="Times New Roman"/>
                <w:color w:val="000000"/>
                <w:sz w:val="16"/>
                <w:szCs w:val="16"/>
              </w:rPr>
              <w:t>aux</w:t>
            </w:r>
          </w:p>
          <w:p w:rsidR="0002196E" w:rsidRPr="00965B36"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SF/ST</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7E73FA"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D</w:t>
            </w:r>
            <w:r w:rsidR="0002196E" w:rsidRPr="00965B36">
              <w:rPr>
                <w:rFonts w:ascii="Calibri" w:eastAsia="Times New Roman" w:hAnsi="Calibri" w:cs="Times New Roman"/>
                <w:color w:val="000000"/>
                <w:sz w:val="16"/>
                <w:szCs w:val="16"/>
              </w:rPr>
              <w:t>ensité sur SF</w:t>
            </w:r>
          </w:p>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2012</w:t>
            </w:r>
          </w:p>
        </w:tc>
        <w:tc>
          <w:tcPr>
            <w:tcW w:w="24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E73FA" w:rsidRDefault="007E73FA">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D</w:t>
            </w:r>
            <w:r w:rsidR="0002196E" w:rsidRPr="00965B36">
              <w:rPr>
                <w:rFonts w:ascii="Calibri" w:eastAsia="Times New Roman" w:hAnsi="Calibri" w:cs="Times New Roman"/>
                <w:color w:val="000000"/>
                <w:sz w:val="16"/>
                <w:szCs w:val="16"/>
              </w:rPr>
              <w:t>ensité max</w:t>
            </w:r>
            <w:r>
              <w:rPr>
                <w:rFonts w:ascii="Calibri" w:eastAsia="Times New Roman" w:hAnsi="Calibri" w:cs="Times New Roman"/>
                <w:color w:val="000000"/>
                <w:sz w:val="16"/>
                <w:szCs w:val="16"/>
              </w:rPr>
              <w:t>.</w:t>
            </w:r>
          </w:p>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durable sur SF</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Surf.</w:t>
            </w:r>
            <w:r w:rsidR="0002196E" w:rsidRPr="00965B36">
              <w:rPr>
                <w:rFonts w:ascii="Calibri" w:eastAsia="Times New Roman" w:hAnsi="Calibri" w:cs="Times New Roman"/>
                <w:color w:val="000000"/>
                <w:sz w:val="16"/>
                <w:szCs w:val="16"/>
              </w:rPr>
              <w:t xml:space="preserve"> concessions</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 de la SFU</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Surf.</w:t>
            </w:r>
            <w:r w:rsidR="0002196E" w:rsidRPr="00965B36">
              <w:rPr>
                <w:rFonts w:ascii="Calibri" w:eastAsia="Times New Roman" w:hAnsi="Calibri" w:cs="Times New Roman"/>
                <w:color w:val="000000"/>
                <w:sz w:val="16"/>
                <w:szCs w:val="16"/>
              </w:rPr>
              <w:t xml:space="preserve"> forêts inondées</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Surf.</w:t>
            </w:r>
            <w:r w:rsidRPr="00965B36">
              <w:rPr>
                <w:rFonts w:ascii="Calibri" w:eastAsia="Times New Roman" w:hAnsi="Calibri" w:cs="Times New Roman"/>
                <w:color w:val="000000"/>
                <w:sz w:val="16"/>
                <w:szCs w:val="16"/>
              </w:rPr>
              <w:t xml:space="preserve"> </w:t>
            </w:r>
            <w:r w:rsidR="009C09B8">
              <w:rPr>
                <w:rFonts w:ascii="Calibri" w:eastAsia="Times New Roman" w:hAnsi="Calibri" w:cs="Times New Roman"/>
                <w:color w:val="000000"/>
                <w:sz w:val="16"/>
                <w:szCs w:val="16"/>
              </w:rPr>
              <w:t>f</w:t>
            </w:r>
            <w:r w:rsidRPr="00965B36">
              <w:rPr>
                <w:rFonts w:ascii="Calibri" w:eastAsia="Times New Roman" w:hAnsi="Calibri" w:cs="Times New Roman"/>
                <w:color w:val="000000"/>
                <w:sz w:val="16"/>
                <w:szCs w:val="16"/>
              </w:rPr>
              <w:t>orê</w:t>
            </w:r>
            <w:r>
              <w:rPr>
                <w:rFonts w:ascii="Calibri" w:eastAsia="Times New Roman" w:hAnsi="Calibri" w:cs="Times New Roman"/>
                <w:color w:val="000000"/>
                <w:sz w:val="16"/>
                <w:szCs w:val="16"/>
              </w:rPr>
              <w:t>ts</w:t>
            </w:r>
            <w:r w:rsidRPr="00965B36">
              <w:rPr>
                <w:rFonts w:ascii="Calibri" w:eastAsia="Times New Roman" w:hAnsi="Calibri" w:cs="Times New Roman"/>
                <w:color w:val="000000"/>
                <w:sz w:val="16"/>
                <w:szCs w:val="16"/>
              </w:rPr>
              <w:t xml:space="preserve"> </w:t>
            </w:r>
            <w:r w:rsidR="0002196E" w:rsidRPr="00965B36">
              <w:rPr>
                <w:rFonts w:ascii="Calibri" w:eastAsia="Times New Roman" w:hAnsi="Calibri" w:cs="Times New Roman"/>
                <w:color w:val="000000"/>
                <w:sz w:val="16"/>
                <w:szCs w:val="16"/>
              </w:rPr>
              <w:t>Utile (SFU)</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7E73FA"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D</w:t>
            </w:r>
            <w:r w:rsidR="0002196E" w:rsidRPr="00965B36">
              <w:rPr>
                <w:rFonts w:ascii="Calibri" w:eastAsia="Times New Roman" w:hAnsi="Calibri" w:cs="Times New Roman"/>
                <w:color w:val="000000"/>
                <w:sz w:val="16"/>
                <w:szCs w:val="16"/>
              </w:rPr>
              <w:t xml:space="preserve">ensité agricole actuelle </w:t>
            </w:r>
            <w:r w:rsidR="009C09B8">
              <w:rPr>
                <w:rFonts w:ascii="Calibri" w:eastAsia="Times New Roman" w:hAnsi="Calibri" w:cs="Times New Roman"/>
                <w:color w:val="000000"/>
                <w:sz w:val="16"/>
                <w:szCs w:val="16"/>
              </w:rPr>
              <w:t>dans</w:t>
            </w:r>
            <w:r w:rsidR="0002196E" w:rsidRPr="00965B36">
              <w:rPr>
                <w:rFonts w:ascii="Calibri" w:eastAsia="Times New Roman" w:hAnsi="Calibri" w:cs="Times New Roman"/>
                <w:color w:val="000000"/>
                <w:sz w:val="16"/>
                <w:szCs w:val="16"/>
              </w:rPr>
              <w:t xml:space="preserve">  SFU</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9C09B8"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D</w:t>
            </w:r>
            <w:r w:rsidR="0002196E" w:rsidRPr="00965B36">
              <w:rPr>
                <w:rFonts w:ascii="Calibri" w:eastAsia="Times New Roman" w:hAnsi="Calibri" w:cs="Times New Roman"/>
                <w:color w:val="000000"/>
                <w:sz w:val="16"/>
                <w:szCs w:val="16"/>
              </w:rPr>
              <w:t xml:space="preserve">ensité </w:t>
            </w:r>
            <w:r w:rsidRPr="00965B36">
              <w:rPr>
                <w:rFonts w:ascii="Calibri" w:eastAsia="Times New Roman" w:hAnsi="Calibri" w:cs="Times New Roman"/>
                <w:color w:val="000000"/>
                <w:sz w:val="16"/>
                <w:szCs w:val="16"/>
              </w:rPr>
              <w:t>max</w:t>
            </w:r>
            <w:r>
              <w:rPr>
                <w:rFonts w:ascii="Calibri" w:eastAsia="Times New Roman" w:hAnsi="Calibri" w:cs="Times New Roman"/>
                <w:color w:val="000000"/>
                <w:sz w:val="16"/>
                <w:szCs w:val="16"/>
              </w:rPr>
              <w:t>.</w:t>
            </w:r>
            <w:r w:rsidR="0002196E" w:rsidRPr="00965B36">
              <w:rPr>
                <w:rFonts w:ascii="Calibri" w:eastAsia="Times New Roman" w:hAnsi="Calibri" w:cs="Times New Roman"/>
                <w:color w:val="000000"/>
                <w:sz w:val="16"/>
                <w:szCs w:val="16"/>
              </w:rPr>
              <w:t xml:space="preserve"> dans SFU</w:t>
            </w:r>
          </w:p>
        </w:tc>
        <w:tc>
          <w:tcPr>
            <w:tcW w:w="247" w:type="pct"/>
            <w:tcBorders>
              <w:top w:val="single" w:sz="4" w:space="0" w:color="auto"/>
              <w:left w:val="nil"/>
              <w:bottom w:val="single" w:sz="4" w:space="0" w:color="auto"/>
              <w:right w:val="single" w:sz="4" w:space="0" w:color="auto"/>
            </w:tcBorders>
            <w:shd w:val="clear" w:color="000000" w:fill="FFF2CC"/>
            <w:vAlign w:val="center"/>
            <w:hideMark/>
          </w:tcPr>
          <w:p w:rsidR="009C09B8" w:rsidRDefault="009C09B8"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D</w:t>
            </w:r>
            <w:r w:rsidR="00965B36">
              <w:rPr>
                <w:rFonts w:ascii="Calibri" w:eastAsia="Times New Roman" w:hAnsi="Calibri" w:cs="Times New Roman"/>
                <w:color w:val="000000"/>
                <w:sz w:val="16"/>
                <w:szCs w:val="16"/>
              </w:rPr>
              <w:t xml:space="preserve">urée de </w:t>
            </w:r>
            <w:r>
              <w:rPr>
                <w:rFonts w:ascii="Calibri" w:eastAsia="Times New Roman" w:hAnsi="Calibri" w:cs="Times New Roman"/>
                <w:color w:val="000000"/>
                <w:sz w:val="16"/>
                <w:szCs w:val="16"/>
              </w:rPr>
              <w:t>vie</w:t>
            </w:r>
            <w:r w:rsidR="0002196E" w:rsidRPr="00965B36">
              <w:rPr>
                <w:rFonts w:ascii="Calibri" w:eastAsia="Times New Roman" w:hAnsi="Calibri" w:cs="Times New Roman"/>
                <w:color w:val="000000"/>
                <w:sz w:val="16"/>
                <w:szCs w:val="16"/>
              </w:rPr>
              <w:t xml:space="preserve"> des forêts SF</w:t>
            </w:r>
          </w:p>
          <w:p w:rsidR="0002196E" w:rsidRPr="00965B36" w:rsidRDefault="009C09B8"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(années)</w:t>
            </w:r>
          </w:p>
        </w:tc>
        <w:tc>
          <w:tcPr>
            <w:tcW w:w="248" w:type="pct"/>
            <w:tcBorders>
              <w:top w:val="single" w:sz="4" w:space="0" w:color="auto"/>
              <w:left w:val="nil"/>
              <w:bottom w:val="single" w:sz="4" w:space="0" w:color="auto"/>
              <w:right w:val="single" w:sz="4" w:space="0" w:color="auto"/>
            </w:tcBorders>
            <w:shd w:val="clear" w:color="000000" w:fill="A81080"/>
            <w:vAlign w:val="center"/>
            <w:hideMark/>
          </w:tcPr>
          <w:p w:rsidR="0002196E" w:rsidRPr="00965B36" w:rsidRDefault="009C09B8" w:rsidP="00ED144B">
            <w:pPr>
              <w:spacing w:after="0" w:line="240" w:lineRule="auto"/>
              <w:jc w:val="center"/>
              <w:rPr>
                <w:rFonts w:ascii="Calibri" w:eastAsia="Times New Roman" w:hAnsi="Calibri" w:cs="Times New Roman"/>
                <w:color w:val="FFFFFF"/>
                <w:sz w:val="16"/>
                <w:szCs w:val="16"/>
              </w:rPr>
            </w:pPr>
            <w:r>
              <w:rPr>
                <w:rFonts w:ascii="Calibri" w:eastAsia="Times New Roman" w:hAnsi="Calibri" w:cs="Times New Roman"/>
                <w:color w:val="FFFFFF"/>
                <w:sz w:val="16"/>
                <w:szCs w:val="16"/>
              </w:rPr>
              <w:t>D</w:t>
            </w:r>
            <w:r w:rsidR="00965B36">
              <w:rPr>
                <w:rFonts w:ascii="Calibri" w:eastAsia="Times New Roman" w:hAnsi="Calibri" w:cs="Times New Roman"/>
                <w:color w:val="FFFFFF"/>
                <w:sz w:val="16"/>
                <w:szCs w:val="16"/>
              </w:rPr>
              <w:t xml:space="preserve">urée de </w:t>
            </w:r>
            <w:r>
              <w:rPr>
                <w:rFonts w:ascii="Calibri" w:eastAsia="Times New Roman" w:hAnsi="Calibri" w:cs="Times New Roman"/>
                <w:color w:val="FFFFFF"/>
                <w:sz w:val="16"/>
                <w:szCs w:val="16"/>
              </w:rPr>
              <w:t>vie des forêts</w:t>
            </w:r>
            <w:r w:rsidR="0002196E" w:rsidRPr="00965B36">
              <w:rPr>
                <w:rFonts w:ascii="Calibri" w:eastAsia="Times New Roman" w:hAnsi="Calibri" w:cs="Times New Roman"/>
                <w:color w:val="FFFFFF"/>
                <w:sz w:val="16"/>
                <w:szCs w:val="16"/>
              </w:rPr>
              <w:t xml:space="preserve"> SFU (années)</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9C09B8"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0002196E" w:rsidRPr="00965B36">
              <w:rPr>
                <w:rFonts w:ascii="Calibri" w:eastAsia="Times New Roman" w:hAnsi="Calibri" w:cs="Times New Roman"/>
                <w:color w:val="000000"/>
                <w:sz w:val="16"/>
                <w:szCs w:val="16"/>
              </w:rPr>
              <w:t>ertes entre 2000 et 2012</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9C09B8"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0002196E" w:rsidRPr="00965B36">
              <w:rPr>
                <w:rFonts w:ascii="Calibri" w:eastAsia="Times New Roman" w:hAnsi="Calibri" w:cs="Times New Roman"/>
                <w:color w:val="000000"/>
                <w:sz w:val="16"/>
                <w:szCs w:val="16"/>
              </w:rPr>
              <w:t xml:space="preserve">ertes en  % de </w:t>
            </w:r>
            <w:r>
              <w:rPr>
                <w:rFonts w:ascii="Calibri" w:eastAsia="Times New Roman" w:hAnsi="Calibri" w:cs="Times New Roman"/>
                <w:color w:val="000000"/>
                <w:sz w:val="16"/>
                <w:szCs w:val="16"/>
              </w:rPr>
              <w:t>SF</w:t>
            </w:r>
            <w:r w:rsidR="00965B36">
              <w:rPr>
                <w:rFonts w:ascii="Calibri" w:eastAsia="Times New Roman" w:hAnsi="Calibri" w:cs="Times New Roman"/>
                <w:color w:val="000000"/>
                <w:sz w:val="16"/>
                <w:szCs w:val="16"/>
              </w:rPr>
              <w:t xml:space="preserve"> 2000 (taux de défores</w:t>
            </w:r>
            <w:r w:rsidR="0002196E" w:rsidRPr="00965B36">
              <w:rPr>
                <w:rFonts w:ascii="Calibri" w:eastAsia="Times New Roman" w:hAnsi="Calibri" w:cs="Times New Roman"/>
                <w:color w:val="000000"/>
                <w:sz w:val="16"/>
                <w:szCs w:val="16"/>
              </w:rPr>
              <w:t>tation)</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02196E" w:rsidRPr="00965B36" w:rsidRDefault="009C09B8" w:rsidP="00ED144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w:t>
            </w:r>
            <w:r w:rsidR="0002196E" w:rsidRPr="00965B36">
              <w:rPr>
                <w:rFonts w:ascii="Calibri" w:eastAsia="Times New Roman" w:hAnsi="Calibri" w:cs="Times New Roman"/>
                <w:color w:val="000000"/>
                <w:sz w:val="16"/>
                <w:szCs w:val="16"/>
              </w:rPr>
              <w:t>erte en % SFU en 2000 (taux de déforestation)</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Inongo</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25132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315630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w:t>
            </w:r>
          </w:p>
        </w:tc>
        <w:tc>
          <w:tcPr>
            <w:tcW w:w="248"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22234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21769</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87%</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1685</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6170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13914</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66</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142</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52</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225</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1,01%</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1,57%</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Kiri</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14133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158200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w:t>
            </w:r>
          </w:p>
        </w:tc>
        <w:tc>
          <w:tcPr>
            <w:tcW w:w="248"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13839</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13580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96%</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12</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115</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362</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5143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8075</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18</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69</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205</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66</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414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2,99%</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4,97%</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Kutu</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19237</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405796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21</w:t>
            </w:r>
          </w:p>
        </w:tc>
        <w:tc>
          <w:tcPr>
            <w:tcW w:w="248"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16763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16271</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85%</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25</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6562</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1023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8686</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54</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71</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492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2,93%</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5,36%</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Oshwe</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41141</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162069</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w:t>
            </w:r>
          </w:p>
        </w:tc>
        <w:tc>
          <w:tcPr>
            <w:tcW w:w="248"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40843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40431</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98%</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118</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23051</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152%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2224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15156</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44</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654</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83</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411</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1,01%</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2,64%</w:t>
            </w:r>
          </w:p>
        </w:tc>
      </w:tr>
      <w:tr w:rsidR="007F44FA" w:rsidRPr="00965B36" w:rsidTr="007E73FA">
        <w:trPr>
          <w:trHeight w:val="300"/>
        </w:trPr>
        <w:tc>
          <w:tcPr>
            <w:tcW w:w="298"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Mai-</w:t>
            </w:r>
            <w:r w:rsidR="007E73FA">
              <w:rPr>
                <w:rFonts w:ascii="Calibri" w:eastAsia="Times New Roman" w:hAnsi="Calibri" w:cs="Times New Roman"/>
                <w:color w:val="000000"/>
                <w:sz w:val="16"/>
                <w:szCs w:val="16"/>
              </w:rPr>
              <w:t>N</w:t>
            </w:r>
            <w:r w:rsidRPr="00965B36">
              <w:rPr>
                <w:rFonts w:ascii="Calibri" w:eastAsia="Times New Roman" w:hAnsi="Calibri" w:cs="Times New Roman"/>
                <w:color w:val="000000"/>
                <w:sz w:val="16"/>
                <w:szCs w:val="16"/>
              </w:rPr>
              <w:t>dombe</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99641</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1041695</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93678</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92051</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92%</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111</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31661</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69%</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14560</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45830</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55</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202</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39</w:t>
            </w:r>
          </w:p>
        </w:tc>
        <w:tc>
          <w:tcPr>
            <w:tcW w:w="247" w:type="pct"/>
            <w:tcBorders>
              <w:top w:val="nil"/>
              <w:left w:val="nil"/>
              <w:bottom w:val="single" w:sz="4" w:space="0" w:color="auto"/>
              <w:right w:val="single" w:sz="4" w:space="0" w:color="auto"/>
            </w:tcBorders>
            <w:shd w:val="clear" w:color="000000" w:fill="FF0000"/>
            <w:noWrap/>
            <w:vAlign w:val="bottom"/>
            <w:hideMark/>
          </w:tcPr>
          <w:p w:rsidR="0002196E" w:rsidRPr="00965B36" w:rsidRDefault="0002196E">
            <w:pPr>
              <w:spacing w:after="0" w:line="240" w:lineRule="auto"/>
              <w:jc w:val="center"/>
              <w:rPr>
                <w:rFonts w:ascii="Calibri" w:eastAsia="Times New Roman" w:hAnsi="Calibri" w:cs="Times New Roman"/>
                <w:color w:val="FFFFFF"/>
                <w:sz w:val="16"/>
                <w:szCs w:val="16"/>
              </w:rPr>
            </w:pPr>
            <w:r w:rsidRPr="00965B36">
              <w:rPr>
                <w:rFonts w:ascii="Calibri" w:eastAsia="Times New Roman" w:hAnsi="Calibri" w:cs="Times New Roman"/>
                <w:color w:val="FFFFFF"/>
                <w:sz w:val="16"/>
                <w:szCs w:val="16"/>
              </w:rPr>
              <w:t>1542</w:t>
            </w:r>
          </w:p>
        </w:tc>
        <w:tc>
          <w:tcPr>
            <w:tcW w:w="247" w:type="pct"/>
            <w:tcBorders>
              <w:top w:val="nil"/>
              <w:left w:val="nil"/>
              <w:bottom w:val="single" w:sz="4" w:space="0" w:color="auto"/>
              <w:right w:val="single" w:sz="4" w:space="0" w:color="auto"/>
            </w:tcBorders>
            <w:shd w:val="clear" w:color="000000" w:fill="FF0000"/>
            <w:noWrap/>
            <w:vAlign w:val="bottom"/>
            <w:hideMark/>
          </w:tcPr>
          <w:p w:rsidR="0002196E" w:rsidRPr="00965B36" w:rsidRDefault="0002196E">
            <w:pPr>
              <w:spacing w:after="0" w:line="240" w:lineRule="auto"/>
              <w:jc w:val="center"/>
              <w:rPr>
                <w:rFonts w:ascii="Calibri" w:eastAsia="Times New Roman" w:hAnsi="Calibri" w:cs="Times New Roman"/>
                <w:color w:val="FFFFFF"/>
                <w:sz w:val="16"/>
                <w:szCs w:val="16"/>
              </w:rPr>
            </w:pPr>
            <w:r w:rsidRPr="00965B36">
              <w:rPr>
                <w:rFonts w:ascii="Calibri" w:eastAsia="Times New Roman" w:hAnsi="Calibri" w:cs="Times New Roman"/>
                <w:color w:val="FFFFFF"/>
                <w:sz w:val="16"/>
                <w:szCs w:val="16"/>
              </w:rPr>
              <w:t>1,6%</w:t>
            </w:r>
          </w:p>
        </w:tc>
        <w:tc>
          <w:tcPr>
            <w:tcW w:w="248" w:type="pct"/>
            <w:tcBorders>
              <w:top w:val="nil"/>
              <w:left w:val="nil"/>
              <w:bottom w:val="single" w:sz="4" w:space="0" w:color="auto"/>
              <w:right w:val="single" w:sz="4" w:space="0" w:color="auto"/>
            </w:tcBorders>
            <w:shd w:val="clear" w:color="000000" w:fill="FF0000"/>
            <w:noWrap/>
            <w:vAlign w:val="bottom"/>
            <w:hideMark/>
          </w:tcPr>
          <w:p w:rsidR="0002196E" w:rsidRPr="00965B36" w:rsidRDefault="0002196E">
            <w:pPr>
              <w:spacing w:after="0" w:line="240" w:lineRule="auto"/>
              <w:jc w:val="center"/>
              <w:rPr>
                <w:rFonts w:ascii="Calibri" w:eastAsia="Times New Roman" w:hAnsi="Calibri" w:cs="Times New Roman"/>
                <w:color w:val="FFFFFF"/>
                <w:sz w:val="16"/>
                <w:szCs w:val="16"/>
              </w:rPr>
            </w:pPr>
            <w:r w:rsidRPr="00965B36">
              <w:rPr>
                <w:rFonts w:ascii="Calibri" w:eastAsia="Times New Roman" w:hAnsi="Calibri" w:cs="Times New Roman"/>
                <w:color w:val="FFFFFF"/>
                <w:sz w:val="16"/>
                <w:szCs w:val="16"/>
              </w:rPr>
              <w:t>3,25%</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Bolobo</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4124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112531</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27</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3152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2976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72%</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38</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87</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952</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47%</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2024</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59</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30</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176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5,58%</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7,99%</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Kwamouth</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14552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94933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9486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8760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60%</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774</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7986</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66</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130</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119</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726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7,65%</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8,33%</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Mushie</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11860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96574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9622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9406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79%</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95</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4975</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120%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303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4129</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21</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42</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190</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216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2,24%</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4,97%</w:t>
            </w:r>
          </w:p>
        </w:tc>
      </w:tr>
      <w:tr w:rsidR="007E73FA" w:rsidRPr="00965B36" w:rsidTr="00ED144B">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Yumbi</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1215</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97112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80</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879</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844</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69%</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115</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411</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95%</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433</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202</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43</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-18</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36</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4,04%</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7,59%</w:t>
            </w:r>
          </w:p>
        </w:tc>
      </w:tr>
      <w:tr w:rsidR="007F44FA" w:rsidRPr="00965B36" w:rsidTr="007E73FA">
        <w:trPr>
          <w:trHeight w:val="300"/>
        </w:trPr>
        <w:tc>
          <w:tcPr>
            <w:tcW w:w="298"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Plateau</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31751</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401150</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23139</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21986</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69%</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18</w:t>
            </w:r>
          </w:p>
        </w:tc>
        <w:tc>
          <w:tcPr>
            <w:tcW w:w="247" w:type="pct"/>
            <w:tcBorders>
              <w:top w:val="nil"/>
              <w:left w:val="nil"/>
              <w:bottom w:val="nil"/>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83</w:t>
            </w:r>
          </w:p>
        </w:tc>
        <w:tc>
          <w:tcPr>
            <w:tcW w:w="247" w:type="pct"/>
            <w:tcBorders>
              <w:top w:val="nil"/>
              <w:left w:val="nil"/>
              <w:bottom w:val="nil"/>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7111</w:t>
            </w:r>
          </w:p>
        </w:tc>
        <w:tc>
          <w:tcPr>
            <w:tcW w:w="248" w:type="pct"/>
            <w:tcBorders>
              <w:top w:val="nil"/>
              <w:left w:val="nil"/>
              <w:bottom w:val="nil"/>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49%</w:t>
            </w:r>
          </w:p>
        </w:tc>
        <w:tc>
          <w:tcPr>
            <w:tcW w:w="247" w:type="pct"/>
            <w:tcBorders>
              <w:top w:val="nil"/>
              <w:left w:val="nil"/>
              <w:bottom w:val="nil"/>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303</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14572</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25</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55</w:t>
            </w:r>
          </w:p>
        </w:tc>
        <w:tc>
          <w:tcPr>
            <w:tcW w:w="247"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82</w:t>
            </w:r>
          </w:p>
        </w:tc>
        <w:tc>
          <w:tcPr>
            <w:tcW w:w="248" w:type="pct"/>
            <w:tcBorders>
              <w:top w:val="nil"/>
              <w:left w:val="nil"/>
              <w:bottom w:val="single" w:sz="4" w:space="0" w:color="auto"/>
              <w:right w:val="single" w:sz="4" w:space="0" w:color="auto"/>
            </w:tcBorders>
            <w:shd w:val="clear" w:color="auto" w:fill="DEEAF6" w:themeFill="accent1" w:themeFillTint="33"/>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28</w:t>
            </w:r>
          </w:p>
        </w:tc>
        <w:tc>
          <w:tcPr>
            <w:tcW w:w="247" w:type="pct"/>
            <w:tcBorders>
              <w:top w:val="nil"/>
              <w:left w:val="nil"/>
              <w:bottom w:val="single" w:sz="4" w:space="0" w:color="auto"/>
              <w:right w:val="single" w:sz="4" w:space="0" w:color="auto"/>
            </w:tcBorders>
            <w:shd w:val="clear" w:color="000000" w:fill="FF0000"/>
            <w:noWrap/>
            <w:vAlign w:val="bottom"/>
            <w:hideMark/>
          </w:tcPr>
          <w:p w:rsidR="0002196E" w:rsidRPr="00965B36" w:rsidRDefault="0002196E">
            <w:pPr>
              <w:spacing w:after="0" w:line="240" w:lineRule="auto"/>
              <w:jc w:val="center"/>
              <w:rPr>
                <w:rFonts w:ascii="Calibri" w:eastAsia="Times New Roman" w:hAnsi="Calibri" w:cs="Times New Roman"/>
                <w:color w:val="FFFFFF"/>
                <w:sz w:val="16"/>
                <w:szCs w:val="16"/>
              </w:rPr>
            </w:pPr>
            <w:r w:rsidRPr="00965B36">
              <w:rPr>
                <w:rFonts w:ascii="Calibri" w:eastAsia="Times New Roman" w:hAnsi="Calibri" w:cs="Times New Roman"/>
                <w:color w:val="FFFFFF"/>
                <w:sz w:val="16"/>
                <w:szCs w:val="16"/>
              </w:rPr>
              <w:t>1153</w:t>
            </w:r>
          </w:p>
        </w:tc>
        <w:tc>
          <w:tcPr>
            <w:tcW w:w="247" w:type="pct"/>
            <w:tcBorders>
              <w:top w:val="nil"/>
              <w:left w:val="nil"/>
              <w:bottom w:val="single" w:sz="4" w:space="0" w:color="auto"/>
              <w:right w:val="single" w:sz="4" w:space="0" w:color="auto"/>
            </w:tcBorders>
            <w:shd w:val="clear" w:color="000000" w:fill="FF0000"/>
            <w:noWrap/>
            <w:vAlign w:val="bottom"/>
            <w:hideMark/>
          </w:tcPr>
          <w:p w:rsidR="0002196E" w:rsidRPr="00965B36" w:rsidRDefault="0002196E">
            <w:pPr>
              <w:spacing w:after="0" w:line="240" w:lineRule="auto"/>
              <w:jc w:val="center"/>
              <w:rPr>
                <w:rFonts w:ascii="Calibri" w:eastAsia="Times New Roman" w:hAnsi="Calibri" w:cs="Times New Roman"/>
                <w:color w:val="FFFFFF"/>
                <w:sz w:val="16"/>
                <w:szCs w:val="16"/>
              </w:rPr>
            </w:pPr>
            <w:r w:rsidRPr="00965B36">
              <w:rPr>
                <w:rFonts w:ascii="Calibri" w:eastAsia="Times New Roman" w:hAnsi="Calibri" w:cs="Times New Roman"/>
                <w:color w:val="FFFFFF"/>
                <w:sz w:val="16"/>
                <w:szCs w:val="16"/>
              </w:rPr>
              <w:t>5,0%</w:t>
            </w:r>
          </w:p>
        </w:tc>
        <w:tc>
          <w:tcPr>
            <w:tcW w:w="248" w:type="pct"/>
            <w:tcBorders>
              <w:top w:val="nil"/>
              <w:left w:val="nil"/>
              <w:bottom w:val="single" w:sz="4" w:space="0" w:color="auto"/>
              <w:right w:val="single" w:sz="4" w:space="0" w:color="auto"/>
            </w:tcBorders>
            <w:shd w:val="clear" w:color="000000" w:fill="FF0000"/>
            <w:noWrap/>
            <w:vAlign w:val="bottom"/>
            <w:hideMark/>
          </w:tcPr>
          <w:p w:rsidR="0002196E" w:rsidRPr="00965B36" w:rsidRDefault="0002196E">
            <w:pPr>
              <w:spacing w:after="0" w:line="240" w:lineRule="auto"/>
              <w:jc w:val="center"/>
              <w:rPr>
                <w:rFonts w:ascii="Calibri" w:eastAsia="Times New Roman" w:hAnsi="Calibri" w:cs="Times New Roman"/>
                <w:color w:val="FFFFFF"/>
                <w:sz w:val="16"/>
                <w:szCs w:val="16"/>
              </w:rPr>
            </w:pPr>
            <w:r w:rsidRPr="00965B36">
              <w:rPr>
                <w:rFonts w:ascii="Calibri" w:eastAsia="Times New Roman" w:hAnsi="Calibri" w:cs="Times New Roman"/>
                <w:color w:val="FFFFFF"/>
                <w:sz w:val="16"/>
                <w:szCs w:val="16"/>
              </w:rPr>
              <w:t>7,3%</w:t>
            </w:r>
          </w:p>
        </w:tc>
      </w:tr>
      <w:tr w:rsidR="007F44FA" w:rsidRPr="00965B36" w:rsidTr="007E73FA">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rsidR="0002196E" w:rsidRPr="00965B36" w:rsidRDefault="0002196E" w:rsidP="0002196E">
            <w:pPr>
              <w:spacing w:after="0" w:line="240" w:lineRule="auto"/>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Province</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131393</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1442845</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w:t>
            </w: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116818</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114038</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87%</w:t>
            </w:r>
          </w:p>
        </w:tc>
        <w:tc>
          <w:tcPr>
            <w:tcW w:w="248" w:type="pct"/>
            <w:tcBorders>
              <w:top w:val="nil"/>
              <w:left w:val="nil"/>
              <w:bottom w:val="single" w:sz="4" w:space="0" w:color="auto"/>
              <w:right w:val="nil"/>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13</w:t>
            </w:r>
          </w:p>
        </w:tc>
        <w:tc>
          <w:tcPr>
            <w:tcW w:w="2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104</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38772</w:t>
            </w:r>
          </w:p>
        </w:tc>
        <w:tc>
          <w:tcPr>
            <w:tcW w:w="248" w:type="pct"/>
            <w:tcBorders>
              <w:top w:val="single" w:sz="4" w:space="0" w:color="auto"/>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64%</w:t>
            </w:r>
          </w:p>
        </w:tc>
        <w:tc>
          <w:tcPr>
            <w:tcW w:w="247" w:type="pct"/>
            <w:tcBorders>
              <w:top w:val="single" w:sz="4" w:space="0" w:color="auto"/>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14863</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60402</w:t>
            </w:r>
          </w:p>
        </w:tc>
        <w:tc>
          <w:tcPr>
            <w:tcW w:w="248"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21</w:t>
            </w:r>
          </w:p>
        </w:tc>
        <w:tc>
          <w:tcPr>
            <w:tcW w:w="247" w:type="pct"/>
            <w:tcBorders>
              <w:top w:val="nil"/>
              <w:left w:val="nil"/>
              <w:bottom w:val="single" w:sz="4" w:space="0" w:color="auto"/>
              <w:right w:val="single" w:sz="4" w:space="0" w:color="auto"/>
            </w:tcBorders>
            <w:shd w:val="clear" w:color="000000" w:fill="FFFFFF"/>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r w:rsidRPr="00965B36">
              <w:rPr>
                <w:rFonts w:ascii="Calibri" w:eastAsia="Times New Roman" w:hAnsi="Calibri" w:cs="Times New Roman"/>
                <w:color w:val="000000"/>
                <w:sz w:val="16"/>
                <w:szCs w:val="16"/>
              </w:rPr>
              <w:t>55</w:t>
            </w: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pPr>
              <w:spacing w:after="0" w:line="240" w:lineRule="auto"/>
              <w:jc w:val="center"/>
              <w:rPr>
                <w:rFonts w:ascii="Calibri" w:eastAsia="Times New Roman" w:hAnsi="Calibri" w:cs="Times New Roman"/>
                <w:color w:val="000000"/>
                <w:sz w:val="16"/>
                <w:szCs w:val="16"/>
              </w:rPr>
            </w:pP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p>
        </w:tc>
        <w:tc>
          <w:tcPr>
            <w:tcW w:w="247"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p>
        </w:tc>
        <w:tc>
          <w:tcPr>
            <w:tcW w:w="248" w:type="pct"/>
            <w:tcBorders>
              <w:top w:val="nil"/>
              <w:left w:val="nil"/>
              <w:bottom w:val="single" w:sz="4" w:space="0" w:color="auto"/>
              <w:right w:val="single" w:sz="4" w:space="0" w:color="auto"/>
            </w:tcBorders>
            <w:shd w:val="clear" w:color="auto" w:fill="auto"/>
            <w:noWrap/>
            <w:vAlign w:val="bottom"/>
            <w:hideMark/>
          </w:tcPr>
          <w:p w:rsidR="0002196E" w:rsidRPr="00965B36" w:rsidRDefault="0002196E" w:rsidP="00ED144B">
            <w:pPr>
              <w:spacing w:after="0" w:line="240" w:lineRule="auto"/>
              <w:jc w:val="center"/>
              <w:rPr>
                <w:rFonts w:ascii="Calibri" w:eastAsia="Times New Roman" w:hAnsi="Calibri" w:cs="Times New Roman"/>
                <w:color w:val="000000"/>
                <w:sz w:val="16"/>
                <w:szCs w:val="16"/>
              </w:rPr>
            </w:pPr>
          </w:p>
        </w:tc>
      </w:tr>
    </w:tbl>
    <w:p w:rsidR="0002196E" w:rsidRPr="0002196E" w:rsidRDefault="0002196E" w:rsidP="0002196E">
      <w:pPr>
        <w:pStyle w:val="Default"/>
        <w:ind w:left="360"/>
        <w:jc w:val="both"/>
        <w:rPr>
          <w:sz w:val="20"/>
          <w:szCs w:val="20"/>
        </w:rPr>
      </w:pPr>
    </w:p>
    <w:p w:rsidR="0002196E" w:rsidRPr="0002196E" w:rsidRDefault="0002196E" w:rsidP="0002196E">
      <w:pPr>
        <w:pStyle w:val="Default"/>
        <w:ind w:left="360"/>
        <w:jc w:val="both"/>
        <w:rPr>
          <w:sz w:val="20"/>
          <w:szCs w:val="20"/>
        </w:rPr>
      </w:pPr>
    </w:p>
    <w:p w:rsidR="0002196E" w:rsidRPr="0002196E" w:rsidRDefault="0002196E" w:rsidP="0002196E">
      <w:pPr>
        <w:pStyle w:val="Default"/>
        <w:ind w:left="360"/>
        <w:jc w:val="both"/>
        <w:rPr>
          <w:sz w:val="20"/>
          <w:szCs w:val="20"/>
        </w:rPr>
      </w:pPr>
      <w:r w:rsidRPr="0002196E">
        <w:rPr>
          <w:sz w:val="20"/>
          <w:szCs w:val="20"/>
        </w:rPr>
        <w:t>Formules de calcul :</w:t>
      </w:r>
    </w:p>
    <w:p w:rsidR="0002196E" w:rsidRPr="0002196E" w:rsidRDefault="0002196E" w:rsidP="002E3A02">
      <w:pPr>
        <w:pStyle w:val="Default"/>
        <w:numPr>
          <w:ilvl w:val="0"/>
          <w:numId w:val="53"/>
        </w:numPr>
        <w:ind w:left="720"/>
        <w:jc w:val="both"/>
        <w:rPr>
          <w:sz w:val="20"/>
          <w:szCs w:val="20"/>
        </w:rPr>
      </w:pPr>
      <w:r w:rsidRPr="0002196E">
        <w:rPr>
          <w:sz w:val="20"/>
          <w:szCs w:val="20"/>
        </w:rPr>
        <w:t>durée du doublement des populations à 3% par an de taux de croissance : 23 ans</w:t>
      </w:r>
    </w:p>
    <w:p w:rsidR="0002196E" w:rsidRPr="0002196E" w:rsidRDefault="0002196E" w:rsidP="002E3A02">
      <w:pPr>
        <w:pStyle w:val="Default"/>
        <w:numPr>
          <w:ilvl w:val="0"/>
          <w:numId w:val="53"/>
        </w:numPr>
        <w:ind w:left="720"/>
        <w:jc w:val="both"/>
        <w:rPr>
          <w:sz w:val="20"/>
          <w:szCs w:val="20"/>
        </w:rPr>
      </w:pPr>
      <w:r w:rsidRPr="0002196E">
        <w:rPr>
          <w:sz w:val="20"/>
          <w:szCs w:val="20"/>
        </w:rPr>
        <w:t>nombre de personnes par famille</w:t>
      </w:r>
      <w:r w:rsidR="00632DCF">
        <w:rPr>
          <w:sz w:val="20"/>
          <w:szCs w:val="20"/>
        </w:rPr>
        <w:t> : 6</w:t>
      </w:r>
    </w:p>
    <w:p w:rsidR="0002196E" w:rsidRPr="0002196E" w:rsidRDefault="0002196E" w:rsidP="002E3A02">
      <w:pPr>
        <w:pStyle w:val="Default"/>
        <w:numPr>
          <w:ilvl w:val="0"/>
          <w:numId w:val="53"/>
        </w:numPr>
        <w:ind w:left="720"/>
        <w:jc w:val="both"/>
        <w:rPr>
          <w:sz w:val="20"/>
          <w:szCs w:val="20"/>
        </w:rPr>
      </w:pPr>
      <w:r w:rsidRPr="0002196E">
        <w:rPr>
          <w:sz w:val="20"/>
          <w:szCs w:val="20"/>
        </w:rPr>
        <w:t>nombre d’ha requis par famille pour maintenir la jachère à 5 ans pour une superficie moyenne cultivée par an de 0,6 ha</w:t>
      </w:r>
      <w:r w:rsidR="00632DCF">
        <w:rPr>
          <w:sz w:val="20"/>
          <w:szCs w:val="20"/>
        </w:rPr>
        <w:t> : 5</w:t>
      </w:r>
    </w:p>
    <w:p w:rsidR="0002196E" w:rsidRPr="0002196E" w:rsidRDefault="0002196E" w:rsidP="002E3A02">
      <w:pPr>
        <w:pStyle w:val="Default"/>
        <w:numPr>
          <w:ilvl w:val="0"/>
          <w:numId w:val="53"/>
        </w:numPr>
        <w:ind w:left="720"/>
        <w:jc w:val="both"/>
        <w:rPr>
          <w:sz w:val="20"/>
          <w:szCs w:val="20"/>
        </w:rPr>
      </w:pPr>
      <w:r w:rsidRPr="0002196E">
        <w:rPr>
          <w:sz w:val="20"/>
          <w:szCs w:val="20"/>
        </w:rPr>
        <w:t>SFU : superficie forestière totale – (concessions + forêts édaphiques)</w:t>
      </w:r>
    </w:p>
    <w:p w:rsidR="0002196E" w:rsidRPr="0002196E" w:rsidRDefault="0002196E" w:rsidP="002E3A02">
      <w:pPr>
        <w:pStyle w:val="Default"/>
        <w:numPr>
          <w:ilvl w:val="0"/>
          <w:numId w:val="53"/>
        </w:numPr>
        <w:ind w:left="720"/>
        <w:jc w:val="both"/>
        <w:rPr>
          <w:sz w:val="20"/>
          <w:szCs w:val="20"/>
        </w:rPr>
      </w:pPr>
      <w:r w:rsidRPr="0002196E">
        <w:rPr>
          <w:sz w:val="20"/>
          <w:szCs w:val="20"/>
        </w:rPr>
        <w:t xml:space="preserve">n : densité maximale durable : </w:t>
      </w:r>
      <w:r w:rsidRPr="0002196E">
        <w:rPr>
          <w:sz w:val="20"/>
          <w:szCs w:val="20"/>
        </w:rPr>
        <w:tab/>
      </w:r>
      <w:r w:rsidRPr="0002196E">
        <w:rPr>
          <w:sz w:val="20"/>
          <w:szCs w:val="20"/>
          <w:u w:val="single"/>
        </w:rPr>
        <w:t>6 (personnes par famille) x SFU /5 ha (nombre de ménages possibles dans la SU)</w:t>
      </w:r>
      <w:r w:rsidRPr="0002196E">
        <w:rPr>
          <w:sz w:val="20"/>
          <w:szCs w:val="20"/>
        </w:rPr>
        <w:t xml:space="preserve"> </w:t>
      </w:r>
    </w:p>
    <w:p w:rsidR="0002196E" w:rsidRPr="0002196E" w:rsidRDefault="0002196E" w:rsidP="0002196E">
      <w:pPr>
        <w:pStyle w:val="Default"/>
        <w:ind w:left="6372" w:firstLine="708"/>
        <w:jc w:val="both"/>
        <w:rPr>
          <w:sz w:val="20"/>
          <w:szCs w:val="20"/>
        </w:rPr>
      </w:pPr>
      <w:r w:rsidRPr="0002196E">
        <w:rPr>
          <w:sz w:val="20"/>
          <w:szCs w:val="20"/>
        </w:rPr>
        <w:t>Superficie totale</w:t>
      </w:r>
    </w:p>
    <w:p w:rsidR="0002196E" w:rsidRPr="0002196E" w:rsidRDefault="0002196E" w:rsidP="002E3A02">
      <w:pPr>
        <w:pStyle w:val="Default"/>
        <w:numPr>
          <w:ilvl w:val="0"/>
          <w:numId w:val="54"/>
        </w:numPr>
        <w:ind w:left="708"/>
        <w:jc w:val="both"/>
        <w:rPr>
          <w:sz w:val="20"/>
          <w:szCs w:val="20"/>
        </w:rPr>
      </w:pPr>
      <w:r w:rsidRPr="0002196E">
        <w:rPr>
          <w:sz w:val="20"/>
          <w:szCs w:val="20"/>
        </w:rPr>
        <w:t>o et p : durées de l’anthropisation: 23 ans (durée du doublement de population) x (densité maximale durable de la S – densité actuelle de la S)</w:t>
      </w:r>
    </w:p>
    <w:p w:rsidR="0002196E" w:rsidRPr="0002196E" w:rsidRDefault="0002196E" w:rsidP="0002196E">
      <w:pPr>
        <w:tabs>
          <w:tab w:val="left" w:pos="1246"/>
        </w:tabs>
        <w:jc w:val="center"/>
        <w:rPr>
          <w:sz w:val="20"/>
          <w:szCs w:val="20"/>
        </w:rPr>
      </w:pPr>
      <w:r w:rsidRPr="0002196E">
        <w:rPr>
          <w:sz w:val="20"/>
          <w:szCs w:val="20"/>
        </w:rPr>
        <w:br w:type="column"/>
      </w:r>
      <w:bookmarkStart w:id="68" w:name="_Ref415213685"/>
      <w:bookmarkStart w:id="69" w:name="_Toc420681615"/>
      <w:r w:rsidR="0039694C">
        <w:rPr>
          <w:sz w:val="20"/>
          <w:szCs w:val="20"/>
        </w:rPr>
        <w:lastRenderedPageBreak/>
        <w:t>C</w:t>
      </w:r>
      <w:r w:rsidRPr="0002196E">
        <w:rPr>
          <w:sz w:val="20"/>
          <w:szCs w:val="20"/>
        </w:rPr>
        <w:t xml:space="preserve">arte des aires protégées et des concessions dans la Province du </w:t>
      </w:r>
      <w:r w:rsidR="00DD03A6">
        <w:rPr>
          <w:sz w:val="20"/>
          <w:szCs w:val="20"/>
        </w:rPr>
        <w:t>Mai-Ndombe</w:t>
      </w:r>
      <w:bookmarkEnd w:id="68"/>
      <w:bookmarkEnd w:id="69"/>
    </w:p>
    <w:p w:rsidR="0002196E" w:rsidRPr="0002196E" w:rsidRDefault="0002196E" w:rsidP="0002196E">
      <w:pPr>
        <w:jc w:val="center"/>
        <w:rPr>
          <w:sz w:val="20"/>
          <w:szCs w:val="20"/>
        </w:rPr>
      </w:pPr>
      <w:r w:rsidRPr="0002196E">
        <w:rPr>
          <w:noProof/>
          <w:sz w:val="20"/>
          <w:szCs w:val="20"/>
        </w:rPr>
        <w:drawing>
          <wp:inline distT="0" distB="0" distL="0" distR="0">
            <wp:extent cx="6766560" cy="4923926"/>
            <wp:effectExtent l="0" t="0" r="0" b="0"/>
            <wp:docPr id="228" name="Image 228" descr="C:\Users\marc\AppData\Local\Microsoft\Windows\INetCache\Content.Outlook\ZLOGRWIN\Province_Mai_ndo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AppData\Local\Microsoft\Windows\INetCache\Content.Outlook\ZLOGRWIN\Province_Mai_ndom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9857" cy="4955433"/>
                    </a:xfrm>
                    <a:prstGeom prst="rect">
                      <a:avLst/>
                    </a:prstGeom>
                    <a:noFill/>
                    <a:ln>
                      <a:noFill/>
                    </a:ln>
                  </pic:spPr>
                </pic:pic>
              </a:graphicData>
            </a:graphic>
          </wp:inline>
        </w:drawing>
      </w:r>
    </w:p>
    <w:p w:rsidR="0002196E" w:rsidRPr="0002196E" w:rsidRDefault="0002196E" w:rsidP="0002196E">
      <w:pPr>
        <w:rPr>
          <w:sz w:val="20"/>
          <w:szCs w:val="20"/>
        </w:rPr>
      </w:pPr>
    </w:p>
    <w:p w:rsidR="0039694C" w:rsidRDefault="0039694C">
      <w:pPr>
        <w:spacing w:after="160" w:line="259" w:lineRule="auto"/>
        <w:rPr>
          <w:rFonts w:eastAsiaTheme="minorHAnsi"/>
          <w:i/>
          <w:iCs/>
          <w:color w:val="44546A" w:themeColor="text2"/>
          <w:sz w:val="20"/>
          <w:szCs w:val="20"/>
          <w:lang w:eastAsia="en-US"/>
        </w:rPr>
      </w:pPr>
      <w:bookmarkStart w:id="70" w:name="_Ref415553726"/>
      <w:bookmarkStart w:id="71" w:name="_Toc420681616"/>
      <w:r>
        <w:rPr>
          <w:sz w:val="20"/>
          <w:szCs w:val="20"/>
        </w:rPr>
        <w:br w:type="page"/>
      </w:r>
    </w:p>
    <w:p w:rsidR="0002196E" w:rsidRPr="0002196E" w:rsidRDefault="0039694C" w:rsidP="0002196E">
      <w:pPr>
        <w:pStyle w:val="Caption"/>
        <w:jc w:val="center"/>
        <w:rPr>
          <w:sz w:val="20"/>
          <w:szCs w:val="20"/>
        </w:rPr>
      </w:pPr>
      <w:r>
        <w:rPr>
          <w:sz w:val="20"/>
          <w:szCs w:val="20"/>
        </w:rPr>
        <w:lastRenderedPageBreak/>
        <w:t>C</w:t>
      </w:r>
      <w:bookmarkEnd w:id="70"/>
      <w:r w:rsidR="0002196E" w:rsidRPr="0002196E">
        <w:rPr>
          <w:sz w:val="20"/>
          <w:szCs w:val="20"/>
        </w:rPr>
        <w:t xml:space="preserve">arte des pertes en forêts dans le district du </w:t>
      </w:r>
      <w:r w:rsidR="00EB17C0">
        <w:rPr>
          <w:sz w:val="20"/>
          <w:szCs w:val="20"/>
        </w:rPr>
        <w:t>Mai-Ndombe</w:t>
      </w:r>
      <w:r>
        <w:rPr>
          <w:sz w:val="20"/>
          <w:szCs w:val="20"/>
        </w:rPr>
        <w:t xml:space="preserve"> </w:t>
      </w:r>
      <w:r w:rsidR="0002196E" w:rsidRPr="0002196E">
        <w:rPr>
          <w:sz w:val="20"/>
          <w:szCs w:val="20"/>
        </w:rPr>
        <w:t>entre 2000 et 2012</w:t>
      </w:r>
      <w:bookmarkEnd w:id="71"/>
    </w:p>
    <w:p w:rsidR="0002196E" w:rsidRPr="0002196E" w:rsidRDefault="0002196E" w:rsidP="0002196E">
      <w:pPr>
        <w:jc w:val="center"/>
        <w:rPr>
          <w:sz w:val="20"/>
          <w:szCs w:val="20"/>
        </w:rPr>
        <w:sectPr w:rsidR="0002196E" w:rsidRPr="0002196E" w:rsidSect="0002196E">
          <w:pgSz w:w="15840" w:h="12240" w:orient="landscape" w:code="1"/>
          <w:pgMar w:top="1418" w:right="1418" w:bottom="1418" w:left="1418" w:header="720" w:footer="720" w:gutter="0"/>
          <w:cols w:space="720"/>
          <w:docGrid w:linePitch="360"/>
        </w:sectPr>
      </w:pPr>
      <w:r w:rsidRPr="0002196E">
        <w:rPr>
          <w:noProof/>
          <w:sz w:val="20"/>
          <w:szCs w:val="20"/>
        </w:rPr>
        <w:drawing>
          <wp:inline distT="0" distB="0" distL="0" distR="0">
            <wp:extent cx="6447600" cy="4645152"/>
            <wp:effectExtent l="0" t="0" r="0" b="3175"/>
            <wp:docPr id="9" name="Image 9" descr="C:\Users\marc\AppData\Local\Microsoft\Windows\INetCache\Content.Outlook\ZLOGRWIN\Mai_Ndomb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c\AppData\Local\Microsoft\Windows\INetCache\Content.Outlook\ZLOGRWIN\Mai_Ndombe_A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66407" cy="4658702"/>
                    </a:xfrm>
                    <a:prstGeom prst="rect">
                      <a:avLst/>
                    </a:prstGeom>
                    <a:noFill/>
                    <a:ln>
                      <a:noFill/>
                    </a:ln>
                  </pic:spPr>
                </pic:pic>
              </a:graphicData>
            </a:graphic>
          </wp:inline>
        </w:drawing>
      </w:r>
    </w:p>
    <w:p w:rsidR="0002196E" w:rsidRPr="00451070" w:rsidRDefault="0002196E" w:rsidP="00451070">
      <w:pPr>
        <w:rPr>
          <w:b/>
        </w:rPr>
      </w:pPr>
      <w:bookmarkStart w:id="72" w:name="_Toc420681577"/>
      <w:r w:rsidRPr="00451070">
        <w:rPr>
          <w:b/>
        </w:rPr>
        <w:lastRenderedPageBreak/>
        <w:t>Conséquences opérationnelles</w:t>
      </w:r>
      <w:bookmarkEnd w:id="72"/>
    </w:p>
    <w:p w:rsidR="0002196E" w:rsidRPr="0002196E" w:rsidRDefault="0002196E" w:rsidP="002E3A02">
      <w:pPr>
        <w:pStyle w:val="Default"/>
        <w:numPr>
          <w:ilvl w:val="0"/>
          <w:numId w:val="55"/>
        </w:numPr>
        <w:spacing w:after="240"/>
        <w:jc w:val="both"/>
        <w:rPr>
          <w:sz w:val="20"/>
          <w:szCs w:val="20"/>
        </w:rPr>
      </w:pPr>
      <w:r w:rsidRPr="0002196E">
        <w:rPr>
          <w:sz w:val="20"/>
          <w:szCs w:val="20"/>
        </w:rPr>
        <w:t>Des analyses qui précèdent, on tirera les conclusions suivantes:</w:t>
      </w:r>
    </w:p>
    <w:p w:rsidR="0002196E" w:rsidRPr="0002196E" w:rsidRDefault="0002196E" w:rsidP="002E3A02">
      <w:pPr>
        <w:pStyle w:val="Default"/>
        <w:numPr>
          <w:ilvl w:val="1"/>
          <w:numId w:val="55"/>
        </w:numPr>
        <w:jc w:val="both"/>
        <w:rPr>
          <w:sz w:val="20"/>
          <w:szCs w:val="20"/>
        </w:rPr>
      </w:pPr>
      <w:r w:rsidRPr="0002196E">
        <w:rPr>
          <w:sz w:val="20"/>
          <w:szCs w:val="20"/>
        </w:rPr>
        <w:t>Le changement de pratiques agricoles et la diversification des spéculations est la condition à l’augmentation du revenu des populations rurales. Le maintien de la jachère brulis comme technique de base ne peut pas l’assurer et elle est la cause principale de la dégradation forestière, avec le charbonnage. Il est possible d’améliorer les techniques culturales sur la jachère brulis mais les besoins de travaux à l’entretien des cultures limitent la possibilité d’augmenter les surfaces cultivées,</w:t>
      </w:r>
    </w:p>
    <w:p w:rsidR="0002196E" w:rsidRPr="0002196E" w:rsidRDefault="0002196E" w:rsidP="002E3A02">
      <w:pPr>
        <w:pStyle w:val="Default"/>
        <w:numPr>
          <w:ilvl w:val="1"/>
          <w:numId w:val="55"/>
        </w:numPr>
        <w:jc w:val="both"/>
        <w:rPr>
          <w:sz w:val="20"/>
          <w:szCs w:val="20"/>
        </w:rPr>
      </w:pPr>
      <w:r w:rsidRPr="0002196E">
        <w:rPr>
          <w:sz w:val="20"/>
          <w:szCs w:val="20"/>
        </w:rPr>
        <w:t>les pratiques agricoles en forêt peuvent évoluer vers des spéculations moins consommatrices en terres que la jachère brulis, comme les cultures pérennes,</w:t>
      </w:r>
    </w:p>
    <w:p w:rsidR="0002196E" w:rsidRPr="0002196E" w:rsidRDefault="0002196E" w:rsidP="002E3A02">
      <w:pPr>
        <w:pStyle w:val="Default"/>
        <w:numPr>
          <w:ilvl w:val="1"/>
          <w:numId w:val="55"/>
        </w:numPr>
        <w:jc w:val="both"/>
        <w:rPr>
          <w:sz w:val="20"/>
          <w:szCs w:val="20"/>
        </w:rPr>
      </w:pPr>
      <w:r w:rsidRPr="0002196E">
        <w:rPr>
          <w:sz w:val="20"/>
          <w:szCs w:val="20"/>
        </w:rPr>
        <w:t>les savanes offrent de vastes perspectives de mise en valeur, moyennant des investissements agroforestiers adaptés, mais l’élevage extensif limite cette opportunité. Il est difficile d’intensifier cet élevage,</w:t>
      </w:r>
    </w:p>
    <w:p w:rsidR="0002196E" w:rsidRPr="0002196E" w:rsidRDefault="0002196E" w:rsidP="002E3A02">
      <w:pPr>
        <w:pStyle w:val="Default"/>
        <w:numPr>
          <w:ilvl w:val="1"/>
          <w:numId w:val="55"/>
        </w:numPr>
        <w:jc w:val="both"/>
        <w:rPr>
          <w:sz w:val="20"/>
          <w:szCs w:val="20"/>
        </w:rPr>
      </w:pPr>
      <w:r w:rsidRPr="0002196E">
        <w:rPr>
          <w:sz w:val="20"/>
          <w:szCs w:val="20"/>
        </w:rPr>
        <w:t xml:space="preserve">Les sites savanicoles densément peuplés (Batere, Basengele, sud Bolobo, Mushie sud, ouest </w:t>
      </w:r>
      <w:r w:rsidR="00137F5C">
        <w:rPr>
          <w:sz w:val="20"/>
          <w:szCs w:val="20"/>
        </w:rPr>
        <w:t>Kwamouth</w:t>
      </w:r>
      <w:r w:rsidRPr="0002196E">
        <w:rPr>
          <w:sz w:val="20"/>
          <w:szCs w:val="20"/>
        </w:rPr>
        <w:t>, Yumbi) sont les plus propices aux évolutions techniques et ceux qui en ont le plus besoin à moyen terme. Les sites forestiers sont également concernés, pour préserver la forêt primaire,</w:t>
      </w:r>
    </w:p>
    <w:p w:rsidR="0002196E" w:rsidRPr="0002196E" w:rsidRDefault="0002196E" w:rsidP="002E3A02">
      <w:pPr>
        <w:pStyle w:val="Default"/>
        <w:numPr>
          <w:ilvl w:val="1"/>
          <w:numId w:val="55"/>
        </w:numPr>
        <w:jc w:val="both"/>
        <w:rPr>
          <w:sz w:val="20"/>
          <w:szCs w:val="20"/>
        </w:rPr>
      </w:pPr>
      <w:r w:rsidRPr="0002196E">
        <w:rPr>
          <w:sz w:val="20"/>
          <w:szCs w:val="20"/>
        </w:rPr>
        <w:t xml:space="preserve">Dans l’ensemble du </w:t>
      </w:r>
      <w:r w:rsidR="00DD03A6">
        <w:rPr>
          <w:sz w:val="20"/>
          <w:szCs w:val="20"/>
        </w:rPr>
        <w:t>Mai-Ndombe</w:t>
      </w:r>
      <w:r w:rsidRPr="0002196E">
        <w:rPr>
          <w:sz w:val="20"/>
          <w:szCs w:val="20"/>
        </w:rPr>
        <w:t xml:space="preserve">, si l’on veut préserver l’exploitation forestière, la biodiversité, comme l’agriculture et lutter contre la pauvreté, il est important de cheminer vers une meilleure maîtrise de la croissance démographique, </w:t>
      </w:r>
    </w:p>
    <w:p w:rsidR="0002196E" w:rsidRPr="0002196E" w:rsidRDefault="0002196E" w:rsidP="002E3A02">
      <w:pPr>
        <w:pStyle w:val="Default"/>
        <w:numPr>
          <w:ilvl w:val="1"/>
          <w:numId w:val="55"/>
        </w:numPr>
        <w:jc w:val="both"/>
        <w:rPr>
          <w:sz w:val="20"/>
          <w:szCs w:val="20"/>
        </w:rPr>
      </w:pPr>
      <w:r w:rsidRPr="0002196E">
        <w:rPr>
          <w:sz w:val="20"/>
          <w:szCs w:val="20"/>
        </w:rPr>
        <w:t xml:space="preserve">Il ne serait pas raisonnable d’attribuer de nouvelles concessions forestières – ou de conservation - dans la Province du </w:t>
      </w:r>
      <w:r w:rsidR="00DD03A6">
        <w:rPr>
          <w:sz w:val="20"/>
          <w:szCs w:val="20"/>
        </w:rPr>
        <w:t>Mai-Ndombe</w:t>
      </w:r>
      <w:r w:rsidRPr="0002196E">
        <w:rPr>
          <w:sz w:val="20"/>
          <w:szCs w:val="20"/>
        </w:rPr>
        <w:t>. Elles constituent déjà, à court et moyen termes, une contrainte importante au développement de l’agriculture paysanne,</w:t>
      </w:r>
    </w:p>
    <w:p w:rsidR="00965B36" w:rsidRDefault="0002196E" w:rsidP="002E3A02">
      <w:pPr>
        <w:pStyle w:val="Default"/>
        <w:numPr>
          <w:ilvl w:val="1"/>
          <w:numId w:val="55"/>
        </w:numPr>
        <w:jc w:val="both"/>
        <w:rPr>
          <w:sz w:val="20"/>
          <w:szCs w:val="20"/>
        </w:rPr>
      </w:pPr>
      <w:r w:rsidRPr="0002196E">
        <w:rPr>
          <w:sz w:val="20"/>
          <w:szCs w:val="20"/>
        </w:rPr>
        <w:t xml:space="preserve">Les cahiers des charges des concessions devraient tenir compte des besoins réels en terre de l’agriculture paysanne, qui sont de l’ordre de 5 à 6 ha en moyenne par ménage, auxquels il convient d’ajouter les besoins des générations futures.   </w:t>
      </w:r>
    </w:p>
    <w:p w:rsidR="00965B36" w:rsidRDefault="00965B36">
      <w:pPr>
        <w:spacing w:after="160" w:line="259" w:lineRule="auto"/>
        <w:rPr>
          <w:rFonts w:ascii="Times New Roman" w:eastAsiaTheme="minorHAnsi" w:hAnsi="Times New Roman" w:cs="Times New Roman"/>
          <w:color w:val="000000"/>
          <w:sz w:val="20"/>
          <w:szCs w:val="20"/>
          <w:lang w:eastAsia="en-US"/>
        </w:rPr>
      </w:pPr>
      <w:r>
        <w:rPr>
          <w:sz w:val="20"/>
          <w:szCs w:val="20"/>
        </w:rPr>
        <w:br w:type="page"/>
      </w:r>
    </w:p>
    <w:p w:rsidR="003E1194" w:rsidRDefault="003E1194" w:rsidP="00302B2C">
      <w:pPr>
        <w:rPr>
          <w:b/>
          <w:color w:val="2E74B5" w:themeColor="accent1" w:themeShade="BF"/>
        </w:rPr>
      </w:pPr>
      <w:bookmarkStart w:id="73" w:name="_Toc420681604"/>
      <w:r>
        <w:rPr>
          <w:b/>
          <w:color w:val="2E74B5" w:themeColor="accent1" w:themeShade="BF"/>
        </w:rPr>
        <w:lastRenderedPageBreak/>
        <w:t>Annexe 4b</w:t>
      </w:r>
      <w:r w:rsidRPr="003E1194">
        <w:rPr>
          <w:b/>
          <w:color w:val="2E74B5" w:themeColor="accent1" w:themeShade="BF"/>
        </w:rPr>
        <w:t xml:space="preserve"> : </w:t>
      </w:r>
      <w:r>
        <w:rPr>
          <w:b/>
          <w:color w:val="2E74B5" w:themeColor="accent1" w:themeShade="BF"/>
        </w:rPr>
        <w:t>Programme de Réductions des Emissions du Mai-Ndombe</w:t>
      </w:r>
      <w:r w:rsidR="006C6753">
        <w:rPr>
          <w:b/>
          <w:color w:val="2E74B5" w:themeColor="accent1" w:themeShade="BF"/>
        </w:rPr>
        <w:t xml:space="preserve"> et document de programme du PGAPF</w:t>
      </w:r>
    </w:p>
    <w:p w:rsidR="003E1194" w:rsidRPr="00ED144B" w:rsidRDefault="0003745E" w:rsidP="00302B2C">
      <w:pPr>
        <w:rPr>
          <w:color w:val="2E74B5" w:themeColor="accent1" w:themeShade="BF"/>
        </w:rPr>
      </w:pPr>
      <w:hyperlink r:id="rId39" w:history="1">
        <w:r w:rsidR="003E1194" w:rsidRPr="00ED144B">
          <w:rPr>
            <w:rStyle w:val="Hyperlink"/>
          </w:rPr>
          <w:t>http://www.forestcarbonpartnership.org/sites/fcp/files/2016/May/ERPD%20DRC%20final%20for%20presentation.pdf</w:t>
        </w:r>
      </w:hyperlink>
    </w:p>
    <w:p w:rsidR="003E1194" w:rsidRDefault="003E1194" w:rsidP="00302B2C">
      <w:pPr>
        <w:rPr>
          <w:b/>
          <w:color w:val="2E74B5" w:themeColor="accent1" w:themeShade="BF"/>
        </w:rPr>
      </w:pPr>
    </w:p>
    <w:p w:rsidR="003E1194" w:rsidRDefault="0003745E">
      <w:pPr>
        <w:spacing w:after="160" w:line="259" w:lineRule="auto"/>
        <w:rPr>
          <w:b/>
          <w:color w:val="2E74B5" w:themeColor="accent1" w:themeShade="BF"/>
        </w:rPr>
      </w:pPr>
      <w:hyperlink r:id="rId40" w:history="1">
        <w:r w:rsidR="006C6753" w:rsidRPr="00ED144B">
          <w:rPr>
            <w:rStyle w:val="Hyperlink"/>
          </w:rPr>
          <w:t>http://www.worldbank.org/projects/P128887/drc-forest-investment-program?lang=en</w:t>
        </w:r>
      </w:hyperlink>
      <w:r w:rsidR="003E1194">
        <w:rPr>
          <w:b/>
          <w:color w:val="2E74B5" w:themeColor="accent1" w:themeShade="BF"/>
        </w:rPr>
        <w:br w:type="page"/>
      </w:r>
    </w:p>
    <w:p w:rsidR="00965B36" w:rsidRPr="00302B2C" w:rsidRDefault="00302B2C" w:rsidP="00302B2C">
      <w:pPr>
        <w:rPr>
          <w:b/>
          <w:color w:val="2E74B5" w:themeColor="accent1" w:themeShade="BF"/>
        </w:rPr>
      </w:pPr>
      <w:r w:rsidRPr="00302B2C">
        <w:rPr>
          <w:b/>
          <w:color w:val="2E74B5" w:themeColor="accent1" w:themeShade="BF"/>
        </w:rPr>
        <w:lastRenderedPageBreak/>
        <w:t xml:space="preserve">Annexe </w:t>
      </w:r>
      <w:r w:rsidR="003E1194">
        <w:rPr>
          <w:b/>
          <w:color w:val="2E74B5" w:themeColor="accent1" w:themeShade="BF"/>
        </w:rPr>
        <w:t>5</w:t>
      </w:r>
      <w:r w:rsidR="00965B36" w:rsidRPr="00302B2C">
        <w:rPr>
          <w:b/>
          <w:color w:val="2E74B5" w:themeColor="accent1" w:themeShade="BF"/>
        </w:rPr>
        <w:t xml:space="preserve">: bref aperçu de la situation des Peuples Autochtones Pygmées dans la Province du </w:t>
      </w:r>
      <w:r w:rsidR="00EB17C0">
        <w:rPr>
          <w:b/>
          <w:color w:val="2E74B5" w:themeColor="accent1" w:themeShade="BF"/>
        </w:rPr>
        <w:t>Mai-Ndombe</w:t>
      </w:r>
      <w:r w:rsidR="0039694C">
        <w:rPr>
          <w:b/>
          <w:color w:val="2E74B5" w:themeColor="accent1" w:themeShade="BF"/>
        </w:rPr>
        <w:t xml:space="preserve"> </w:t>
      </w:r>
      <w:r w:rsidR="00965B36" w:rsidRPr="00302B2C">
        <w:rPr>
          <w:b/>
          <w:color w:val="2E74B5" w:themeColor="accent1" w:themeShade="BF"/>
        </w:rPr>
        <w:t>et recommandations</w:t>
      </w:r>
      <w:bookmarkEnd w:id="73"/>
    </w:p>
    <w:p w:rsidR="00965B36" w:rsidRDefault="00965B36" w:rsidP="00965B36">
      <w:pPr>
        <w:rPr>
          <w:b/>
          <w:sz w:val="20"/>
          <w:szCs w:val="20"/>
        </w:rPr>
      </w:pPr>
    </w:p>
    <w:p w:rsidR="00965B36" w:rsidRPr="00965B36" w:rsidRDefault="00965B36" w:rsidP="00965B36">
      <w:pPr>
        <w:rPr>
          <w:b/>
          <w:sz w:val="20"/>
          <w:szCs w:val="20"/>
        </w:rPr>
      </w:pPr>
      <w:r w:rsidRPr="00965B36">
        <w:rPr>
          <w:b/>
          <w:sz w:val="20"/>
          <w:szCs w:val="20"/>
        </w:rPr>
        <w:t xml:space="preserve">Etat des lieux </w:t>
      </w:r>
    </w:p>
    <w:p w:rsidR="00965B36" w:rsidRPr="00965B36" w:rsidRDefault="00965B36" w:rsidP="002E3A02">
      <w:pPr>
        <w:numPr>
          <w:ilvl w:val="0"/>
          <w:numId w:val="55"/>
        </w:numPr>
        <w:spacing w:after="0" w:line="240" w:lineRule="auto"/>
        <w:jc w:val="both"/>
        <w:rPr>
          <w:rFonts w:cs="Times New Roman"/>
          <w:sz w:val="20"/>
          <w:szCs w:val="20"/>
        </w:rPr>
      </w:pPr>
      <w:r w:rsidRPr="00965B36">
        <w:rPr>
          <w:rFonts w:cs="Times New Roman"/>
          <w:b/>
          <w:sz w:val="20"/>
          <w:szCs w:val="20"/>
        </w:rPr>
        <w:t xml:space="preserve">Les Peuples Autochtones (PA) sont représentés dans la Province du </w:t>
      </w:r>
      <w:r w:rsidR="00EB17C0">
        <w:rPr>
          <w:rFonts w:cs="Times New Roman"/>
          <w:b/>
          <w:sz w:val="20"/>
          <w:szCs w:val="20"/>
        </w:rPr>
        <w:t>Mai-Ndombe</w:t>
      </w:r>
      <w:r w:rsidR="00E15FEC">
        <w:rPr>
          <w:rFonts w:cs="Times New Roman"/>
          <w:b/>
          <w:sz w:val="20"/>
          <w:szCs w:val="20"/>
        </w:rPr>
        <w:t xml:space="preserve"> </w:t>
      </w:r>
      <w:r w:rsidRPr="00ED144B">
        <w:rPr>
          <w:rFonts w:eastAsia="Times New Roman" w:cs="Times New Roman"/>
          <w:sz w:val="20"/>
          <w:szCs w:val="20"/>
        </w:rPr>
        <w:t>dans les trois Territoires d’Oshwe, de Inongo et de Kiri, Territoires peuplés par ailleurs par des groupes Anamongo</w:t>
      </w:r>
      <w:r w:rsidRPr="00ED144B">
        <w:rPr>
          <w:rFonts w:eastAsia="Times New Roman"/>
          <w:vertAlign w:val="superscript"/>
        </w:rPr>
        <w:footnoteReference w:id="48"/>
      </w:r>
      <w:r w:rsidRPr="00ED144B">
        <w:rPr>
          <w:rFonts w:eastAsia="Times New Roman" w:cs="Times New Roman"/>
          <w:sz w:val="20"/>
          <w:szCs w:val="20"/>
        </w:rPr>
        <w:t>. Dans la Province, on peut également trouver des PA dans les autres Territoires, auprès des autres peuples non Anamongo (Teke, Badia, Basakata) mais très marginalement. Il s’agit dans ce cas presqu’exclusivement de communautés actuellement urbaines issues des PA que les commerçants et planteurs du temps colonial utilisaient comme gardiens ou ouvriers et qu’ils allaient chercher dans les Territoires familiers de ce peuple. Ces groupes, éventuellement renforcés par des apports récents issus des mêmes Territoires anamongos d’origine, souvent des mêmes villages, forment les communautés PA de cent à deux cents ménages que l’on rencontre à Kutu, à Nioki (pays Badia) ou à Bokoro (pays Basakata).</w:t>
      </w:r>
    </w:p>
    <w:p w:rsidR="00965B36" w:rsidRPr="00965B36" w:rsidRDefault="00965B36" w:rsidP="00965B36">
      <w:pPr>
        <w:pStyle w:val="ListParagraph"/>
        <w:autoSpaceDE w:val="0"/>
        <w:autoSpaceDN w:val="0"/>
        <w:adjustRightInd w:val="0"/>
        <w:ind w:left="0"/>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b/>
          <w:sz w:val="20"/>
          <w:szCs w:val="20"/>
        </w:rPr>
        <w:t xml:space="preserve"> La question du caractère antérieur de la présence des PA dans la Province du </w:t>
      </w:r>
      <w:r w:rsidR="00EB17C0">
        <w:rPr>
          <w:rFonts w:asciiTheme="minorHAnsi" w:hAnsiTheme="minorHAnsi"/>
          <w:b/>
          <w:sz w:val="20"/>
          <w:szCs w:val="20"/>
        </w:rPr>
        <w:t>Mai-Ndombe</w:t>
      </w:r>
      <w:r w:rsidR="00E15FEC">
        <w:rPr>
          <w:rFonts w:asciiTheme="minorHAnsi" w:hAnsiTheme="minorHAnsi"/>
          <w:b/>
          <w:sz w:val="20"/>
          <w:szCs w:val="20"/>
        </w:rPr>
        <w:t xml:space="preserve"> </w:t>
      </w:r>
      <w:r w:rsidRPr="00965B36">
        <w:rPr>
          <w:rFonts w:asciiTheme="minorHAnsi" w:hAnsiTheme="minorHAnsi"/>
          <w:sz w:val="20"/>
          <w:szCs w:val="20"/>
        </w:rPr>
        <w:t>est complexe. Si l’on en croit Isidore Ndaywel</w:t>
      </w:r>
      <w:r w:rsidRPr="00ED144B">
        <w:rPr>
          <w:rFonts w:asciiTheme="minorHAnsi" w:hAnsiTheme="minorHAnsi" w:cstheme="minorBidi"/>
          <w:sz w:val="22"/>
          <w:szCs w:val="22"/>
          <w:vertAlign w:val="superscript"/>
        </w:rPr>
        <w:footnoteReference w:id="49"/>
      </w:r>
      <w:r w:rsidRPr="00965B36">
        <w:rPr>
          <w:rFonts w:asciiTheme="minorHAnsi" w:hAnsiTheme="minorHAnsi"/>
          <w:sz w:val="20"/>
          <w:szCs w:val="20"/>
        </w:rPr>
        <w:t>, il semble que les Mongos les y ont amenés, entre le 14</w:t>
      </w:r>
      <w:r w:rsidRPr="00ED144B">
        <w:rPr>
          <w:rFonts w:asciiTheme="minorHAnsi" w:hAnsiTheme="minorHAnsi"/>
          <w:sz w:val="20"/>
          <w:szCs w:val="20"/>
        </w:rPr>
        <w:t>ème</w:t>
      </w:r>
      <w:r w:rsidRPr="00965B36">
        <w:rPr>
          <w:rFonts w:asciiTheme="minorHAnsi" w:hAnsiTheme="minorHAnsi"/>
          <w:sz w:val="20"/>
          <w:szCs w:val="20"/>
        </w:rPr>
        <w:t xml:space="preserve"> et le 18</w:t>
      </w:r>
      <w:r w:rsidRPr="00ED144B">
        <w:rPr>
          <w:rFonts w:asciiTheme="minorHAnsi" w:hAnsiTheme="minorHAnsi"/>
          <w:sz w:val="20"/>
          <w:szCs w:val="20"/>
        </w:rPr>
        <w:t>ème</w:t>
      </w:r>
      <w:r w:rsidRPr="00965B36">
        <w:rPr>
          <w:rFonts w:asciiTheme="minorHAnsi" w:hAnsiTheme="minorHAnsi"/>
          <w:sz w:val="20"/>
          <w:szCs w:val="20"/>
        </w:rPr>
        <w:t xml:space="preserve"> siècle, en provenance de l’Equateur, lorsqu’ils sont progressivement descendus vers le sud, donc les abords du Lac </w:t>
      </w:r>
      <w:r w:rsidR="00DD03A6">
        <w:rPr>
          <w:rFonts w:asciiTheme="minorHAnsi" w:hAnsiTheme="minorHAnsi"/>
          <w:sz w:val="20"/>
          <w:szCs w:val="20"/>
        </w:rPr>
        <w:t>Mai-Ndombe</w:t>
      </w:r>
      <w:r w:rsidRPr="00965B36">
        <w:rPr>
          <w:rFonts w:asciiTheme="minorHAnsi" w:hAnsiTheme="minorHAnsi"/>
          <w:sz w:val="20"/>
          <w:szCs w:val="20"/>
        </w:rPr>
        <w:t xml:space="preserve">, eux-mêmes poussés par </w:t>
      </w:r>
      <w:r w:rsidRPr="00413A41">
        <w:rPr>
          <w:rFonts w:asciiTheme="minorHAnsi" w:hAnsiTheme="minorHAnsi"/>
          <w:sz w:val="20"/>
          <w:szCs w:val="20"/>
        </w:rPr>
        <w:t>d’autres</w:t>
      </w:r>
      <w:r w:rsidRPr="00965B36">
        <w:rPr>
          <w:rFonts w:asciiTheme="minorHAnsi" w:hAnsiTheme="minorHAnsi"/>
          <w:sz w:val="20"/>
          <w:szCs w:val="20"/>
        </w:rPr>
        <w:t xml:space="preserve"> Mongos. Ces Mongos, </w:t>
      </w:r>
      <w:r w:rsidRPr="00ED144B">
        <w:rPr>
          <w:rFonts w:asciiTheme="minorHAnsi" w:hAnsiTheme="minorHAnsi"/>
          <w:sz w:val="20"/>
          <w:szCs w:val="20"/>
        </w:rPr>
        <w:t>avec l’aide des pygmées</w:t>
      </w:r>
      <w:r w:rsidRPr="00965B36">
        <w:rPr>
          <w:rFonts w:asciiTheme="minorHAnsi" w:hAnsiTheme="minorHAnsi"/>
          <w:sz w:val="20"/>
          <w:szCs w:val="20"/>
        </w:rPr>
        <w:t>, chassèrent devant eux les populations qui occupaient les pourtours du Lac, et que Ndaywel identifie aux Teke (Nsese). L’histoire plus ancienne de ces populations Teke matrilinéaires</w:t>
      </w:r>
      <w:r w:rsidRPr="00ED144B">
        <w:rPr>
          <w:rFonts w:asciiTheme="minorHAnsi" w:hAnsiTheme="minorHAnsi" w:cstheme="minorBidi"/>
          <w:sz w:val="22"/>
          <w:szCs w:val="22"/>
          <w:vertAlign w:val="superscript"/>
        </w:rPr>
        <w:footnoteReference w:id="50"/>
      </w:r>
      <w:r w:rsidRPr="00ED144B">
        <w:rPr>
          <w:rFonts w:asciiTheme="minorHAnsi" w:hAnsiTheme="minorHAnsi" w:cstheme="minorBidi"/>
          <w:sz w:val="22"/>
          <w:szCs w:val="22"/>
          <w:vertAlign w:val="superscript"/>
        </w:rPr>
        <w:t xml:space="preserve"> </w:t>
      </w:r>
      <w:r w:rsidRPr="00965B36">
        <w:rPr>
          <w:rFonts w:asciiTheme="minorHAnsi" w:hAnsiTheme="minorHAnsi"/>
          <w:sz w:val="20"/>
          <w:szCs w:val="20"/>
        </w:rPr>
        <w:t>et de l’autre grand groupe matrilinéaire du sud, les Sakata, avec les pygmées est peu renseignée. Peut-être ont-ils eux-mêmes chassé auparavant les Pygmées vers le nord équatorien, lorsqu’ils se sont aventurés dans les lisières de la forêt en remontant les cours d’eau. De même les Kundos d’Oshwe disent-ils avoir poussé vers le Kwilu, de l’autre côté de la rivière Kasaï qui est aujourd’hui leur limite sud, les populations Bantous qui retraversent maintenant cette rivière pour y trouver des terres à cultiver.</w:t>
      </w:r>
    </w:p>
    <w:p w:rsidR="00965B36" w:rsidRPr="00965B36" w:rsidRDefault="00965B36" w:rsidP="00965B36">
      <w:pPr>
        <w:pStyle w:val="ListParagraph"/>
        <w:autoSpaceDE w:val="0"/>
        <w:autoSpaceDN w:val="0"/>
        <w:adjustRightInd w:val="0"/>
        <w:spacing w:before="240"/>
        <w:ind w:left="0"/>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b/>
          <w:sz w:val="20"/>
          <w:szCs w:val="20"/>
        </w:rPr>
        <w:t>Tous les Mongos n’ont pas amené de pygmées</w:t>
      </w:r>
      <w:r w:rsidRPr="00965B36">
        <w:rPr>
          <w:rFonts w:asciiTheme="minorHAnsi" w:hAnsiTheme="minorHAnsi"/>
          <w:sz w:val="20"/>
          <w:szCs w:val="20"/>
        </w:rPr>
        <w:t xml:space="preserve"> et ne vivent pas aujourd’hui avec eux. C’est le cas des Basengele dans le Territoire d’Inongo, des Batito et des Ipanga dans Oshwe (entre Lukenie Kasaï), des Groupements du sud de Kiri. Par exemple, Oshwe, grande cité des Batito (Kundo) connaît une présence pygmée seulement urbaine, de quelques deux cents familles, et d’origine récente, coloniale, comme dans les pays Sakata, Dia et Teke. </w:t>
      </w:r>
    </w:p>
    <w:p w:rsidR="00965B36" w:rsidRPr="00965B36" w:rsidRDefault="00965B36" w:rsidP="00965B36">
      <w:pPr>
        <w:pStyle w:val="ListParagrap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 L’origine guerrière et commune de la présence des deux peuples, Twa</w:t>
      </w:r>
      <w:r w:rsidRPr="00ED144B">
        <w:rPr>
          <w:rFonts w:asciiTheme="minorHAnsi" w:hAnsiTheme="minorHAnsi" w:cstheme="minorBidi"/>
          <w:sz w:val="22"/>
          <w:szCs w:val="22"/>
          <w:vertAlign w:val="superscript"/>
        </w:rPr>
        <w:footnoteReference w:id="51"/>
      </w:r>
      <w:r w:rsidR="0039694C">
        <w:rPr>
          <w:rFonts w:asciiTheme="minorHAnsi" w:hAnsiTheme="minorHAnsi"/>
          <w:sz w:val="20"/>
          <w:szCs w:val="20"/>
        </w:rPr>
        <w:t xml:space="preserve"> </w:t>
      </w:r>
      <w:r w:rsidRPr="00965B36">
        <w:rPr>
          <w:rFonts w:asciiTheme="minorHAnsi" w:hAnsiTheme="minorHAnsi"/>
          <w:sz w:val="20"/>
          <w:szCs w:val="20"/>
        </w:rPr>
        <w:t>et Mongos dans la région justifie selon eux</w:t>
      </w:r>
      <w:r w:rsidRPr="00965B36">
        <w:rPr>
          <w:rStyle w:val="FootnoteReference"/>
          <w:rFonts w:asciiTheme="minorHAnsi" w:hAnsiTheme="minorHAnsi"/>
          <w:sz w:val="20"/>
          <w:szCs w:val="20"/>
        </w:rPr>
        <w:footnoteReference w:id="52"/>
      </w:r>
      <w:r w:rsidRPr="00965B36">
        <w:rPr>
          <w:rFonts w:asciiTheme="minorHAnsi" w:hAnsiTheme="minorHAnsi"/>
          <w:sz w:val="20"/>
          <w:szCs w:val="20"/>
        </w:rPr>
        <w:t xml:space="preserve"> deux faits significatifs : i) les quartiers Twa sont toujours situés de part et d’autre du village bantou, le long de la route, afin de le protéger contre les ennemis, à l’instar de leurs positions respectives lors de la conquête, pour les Twa à l’avant et à l’arrière garde des troupes bantoues, et ii) les villages les plus anciens ont une chefferie de terre Twa, attribuée par les chefs de guerre bantous à leurs ancêtres, en remerciement de leurs rôles guerriers.</w:t>
      </w:r>
    </w:p>
    <w:p w:rsidR="00965B36" w:rsidRPr="00965B36" w:rsidRDefault="00965B36" w:rsidP="00965B36">
      <w:pPr>
        <w:pStyle w:val="ListParagraph"/>
        <w:autoSpaceDE w:val="0"/>
        <w:autoSpaceDN w:val="0"/>
        <w:adjustRightInd w:val="0"/>
        <w:spacing w:before="240"/>
        <w:ind w:left="0"/>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lastRenderedPageBreak/>
        <w:t xml:space="preserve"> Il existe des villages uniquement Twa qui détiennent également la chefferie de terre. Par exemple chez les Bolia, les Ntomb’e Nzale, les  Nkaw (Mbidiankana, Imoma, Bokongo) etc. Ces villages à chefferie de terre propre ont également un chef de localité Twa, parfois le chef de terre (Nkumu).</w:t>
      </w:r>
    </w:p>
    <w:p w:rsidR="00965B36" w:rsidRPr="00965B36" w:rsidRDefault="00965B36" w:rsidP="00965B36">
      <w:pPr>
        <w:pStyle w:val="ListParagrap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Les Twa s’identifient eux-mêmes à partir du clan mongo auquel ils sont liés et ils en possèdent également le caractère patrilinéaire</w:t>
      </w:r>
      <w:r w:rsidRPr="00965B36">
        <w:rPr>
          <w:rStyle w:val="FootnoteReference"/>
          <w:rFonts w:asciiTheme="minorHAnsi" w:hAnsiTheme="minorHAnsi"/>
          <w:sz w:val="20"/>
          <w:szCs w:val="20"/>
        </w:rPr>
        <w:footnoteReference w:id="53"/>
      </w:r>
      <w:r w:rsidRPr="00965B36">
        <w:rPr>
          <w:rFonts w:asciiTheme="minorHAnsi" w:hAnsiTheme="minorHAnsi"/>
          <w:sz w:val="20"/>
          <w:szCs w:val="20"/>
        </w:rPr>
        <w:t>. Tous parlent les langues propres du clan, en complément du Lingala qu’ils parlent tous,  mais les twa partagent de plus leur langue propre.</w:t>
      </w:r>
    </w:p>
    <w:p w:rsidR="00965B36" w:rsidRPr="00965B36" w:rsidRDefault="00965B36" w:rsidP="00965B36">
      <w:pPr>
        <w:pStyle w:val="ListParagraph"/>
        <w:autoSpaceDE w:val="0"/>
        <w:autoSpaceDN w:val="0"/>
        <w:adjustRightInd w:val="0"/>
        <w:spacing w:before="240"/>
        <w:ind w:left="0"/>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Le </w:t>
      </w:r>
      <w:r w:rsidR="00B20F29">
        <w:rPr>
          <w:rFonts w:asciiTheme="minorHAnsi" w:hAnsiTheme="minorHAnsi"/>
          <w:sz w:val="20"/>
          <w:szCs w:val="20"/>
        </w:rPr>
        <w:t xml:space="preserve">tableau </w:t>
      </w:r>
      <w:r w:rsidRPr="00965B36">
        <w:rPr>
          <w:rFonts w:asciiTheme="minorHAnsi" w:hAnsiTheme="minorHAnsi"/>
          <w:sz w:val="20"/>
          <w:szCs w:val="20"/>
        </w:rPr>
        <w:t xml:space="preserve">ci-dessous renseigne sur la localisation et les effectifs des populations pygmées du </w:t>
      </w:r>
      <w:r w:rsidR="00EB17C0">
        <w:rPr>
          <w:rFonts w:asciiTheme="minorHAnsi" w:hAnsiTheme="minorHAnsi"/>
          <w:sz w:val="20"/>
          <w:szCs w:val="20"/>
        </w:rPr>
        <w:t>Mai-Ndombe</w:t>
      </w:r>
      <w:r w:rsidR="00E15FEC">
        <w:rPr>
          <w:rFonts w:asciiTheme="minorHAnsi" w:hAnsiTheme="minorHAnsi"/>
          <w:sz w:val="20"/>
          <w:szCs w:val="20"/>
        </w:rPr>
        <w:t xml:space="preserve"> </w:t>
      </w:r>
      <w:r w:rsidRPr="00965B36">
        <w:rPr>
          <w:rFonts w:asciiTheme="minorHAnsi" w:hAnsiTheme="minorHAnsi"/>
          <w:sz w:val="20"/>
          <w:szCs w:val="20"/>
        </w:rPr>
        <w:t>par Secteur administratif :</w:t>
      </w:r>
    </w:p>
    <w:p w:rsidR="00965B36" w:rsidRPr="00965B36" w:rsidRDefault="0039694C" w:rsidP="00965B36">
      <w:pPr>
        <w:pStyle w:val="Caption"/>
        <w:ind w:left="708"/>
        <w:jc w:val="center"/>
        <w:rPr>
          <w:sz w:val="20"/>
          <w:szCs w:val="20"/>
        </w:rPr>
      </w:pPr>
      <w:bookmarkStart w:id="74" w:name="_Ref414346837"/>
      <w:bookmarkStart w:id="75" w:name="_Toc420681610"/>
      <w:r>
        <w:rPr>
          <w:sz w:val="20"/>
          <w:szCs w:val="20"/>
        </w:rPr>
        <w:t>L</w:t>
      </w:r>
      <w:r w:rsidR="00965B36" w:rsidRPr="00965B36">
        <w:rPr>
          <w:sz w:val="20"/>
          <w:szCs w:val="20"/>
        </w:rPr>
        <w:t xml:space="preserve">ocalisation et effectifs des populations Batwa dans la Province du </w:t>
      </w:r>
      <w:r w:rsidR="00DD03A6">
        <w:rPr>
          <w:sz w:val="20"/>
          <w:szCs w:val="20"/>
        </w:rPr>
        <w:t>Mai-Ndombe</w:t>
      </w:r>
      <w:bookmarkEnd w:id="74"/>
      <w:bookmarkEnd w:id="75"/>
    </w:p>
    <w:tbl>
      <w:tblPr>
        <w:tblW w:w="4977" w:type="pct"/>
        <w:jc w:val="center"/>
        <w:tblLayout w:type="fixed"/>
        <w:tblCellMar>
          <w:left w:w="70" w:type="dxa"/>
          <w:right w:w="70" w:type="dxa"/>
        </w:tblCellMar>
        <w:tblLook w:val="04A0" w:firstRow="1" w:lastRow="0" w:firstColumn="1" w:lastColumn="0" w:noHBand="0" w:noVBand="1"/>
      </w:tblPr>
      <w:tblGrid>
        <w:gridCol w:w="1645"/>
        <w:gridCol w:w="972"/>
        <w:gridCol w:w="972"/>
        <w:gridCol w:w="972"/>
        <w:gridCol w:w="972"/>
        <w:gridCol w:w="971"/>
        <w:gridCol w:w="971"/>
        <w:gridCol w:w="971"/>
        <w:gridCol w:w="1059"/>
      </w:tblGrid>
      <w:tr w:rsidR="00965B36" w:rsidRPr="00965B36" w:rsidTr="00ED144B">
        <w:trPr>
          <w:trHeight w:val="665"/>
          <w:tblHeader/>
          <w:jc w:val="center"/>
        </w:trPr>
        <w:tc>
          <w:tcPr>
            <w:tcW w:w="8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ED144B" w:rsidRDefault="00965B36"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Territoires et Secteurs</w:t>
            </w:r>
          </w:p>
        </w:tc>
        <w:tc>
          <w:tcPr>
            <w:tcW w:w="51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ED144B" w:rsidRDefault="00965B36"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Population en 2014 (Santé)</w:t>
            </w:r>
          </w:p>
        </w:tc>
        <w:tc>
          <w:tcPr>
            <w:tcW w:w="51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ED144B" w:rsidRDefault="00965B36"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Superficie (km²)</w:t>
            </w:r>
          </w:p>
        </w:tc>
        <w:tc>
          <w:tcPr>
            <w:tcW w:w="51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ED144B" w:rsidRDefault="00965B36"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Densité en 2014 (santé)</w:t>
            </w:r>
          </w:p>
        </w:tc>
        <w:tc>
          <w:tcPr>
            <w:tcW w:w="51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ED144B" w:rsidRDefault="0039694C"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965B36" w:rsidRPr="00ED144B">
              <w:rPr>
                <w:rFonts w:eastAsia="Times New Roman" w:cs="Times New Roman"/>
                <w:b/>
                <w:color w:val="000000"/>
                <w:sz w:val="16"/>
                <w:szCs w:val="16"/>
              </w:rPr>
              <w:t>ombre de villages</w:t>
            </w:r>
          </w:p>
        </w:tc>
        <w:tc>
          <w:tcPr>
            <w:tcW w:w="51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9694C" w:rsidRDefault="0039694C"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965B36" w:rsidRPr="00ED144B">
              <w:rPr>
                <w:rFonts w:eastAsia="Times New Roman" w:cs="Times New Roman"/>
                <w:b/>
                <w:color w:val="000000"/>
                <w:sz w:val="16"/>
                <w:szCs w:val="16"/>
              </w:rPr>
              <w:t>ombre de villages</w:t>
            </w:r>
          </w:p>
          <w:p w:rsidR="00965B36" w:rsidRPr="00ED144B" w:rsidRDefault="00965B36"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PA</w:t>
            </w:r>
          </w:p>
        </w:tc>
        <w:tc>
          <w:tcPr>
            <w:tcW w:w="51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ED144B" w:rsidRDefault="0039694C"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N</w:t>
            </w:r>
            <w:r w:rsidR="00965B36" w:rsidRPr="00ED144B">
              <w:rPr>
                <w:rFonts w:eastAsia="Times New Roman" w:cs="Times New Roman"/>
                <w:b/>
                <w:color w:val="000000"/>
                <w:sz w:val="16"/>
                <w:szCs w:val="16"/>
              </w:rPr>
              <w:t>ombre de villages mixtes</w:t>
            </w:r>
          </w:p>
        </w:tc>
        <w:tc>
          <w:tcPr>
            <w:tcW w:w="51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ED144B" w:rsidRDefault="00965B36"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Population estimée mission BM 2014 (*)</w:t>
            </w:r>
          </w:p>
        </w:tc>
        <w:tc>
          <w:tcPr>
            <w:tcW w:w="55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ED144B" w:rsidRDefault="00965B36" w:rsidP="00965B36">
            <w:pPr>
              <w:spacing w:after="0" w:line="240" w:lineRule="auto"/>
              <w:jc w:val="center"/>
              <w:rPr>
                <w:rFonts w:eastAsia="Times New Roman" w:cs="Times New Roman"/>
                <w:b/>
                <w:color w:val="000000"/>
                <w:sz w:val="16"/>
                <w:szCs w:val="16"/>
              </w:rPr>
            </w:pPr>
            <w:r w:rsidRPr="00ED144B">
              <w:rPr>
                <w:rFonts w:eastAsia="Times New Roman" w:cs="Times New Roman"/>
                <w:b/>
                <w:color w:val="000000"/>
                <w:sz w:val="16"/>
                <w:szCs w:val="16"/>
              </w:rPr>
              <w:t>% de la population</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INONGO</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BASENGELE</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141422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7545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250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INONGO</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106756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10695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18</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4400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4,1%</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BOLIA</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58758</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6499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125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37</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8800</w:t>
            </w:r>
          </w:p>
        </w:tc>
        <w:tc>
          <w:tcPr>
            <w:tcW w:w="557" w:type="pct"/>
            <w:tcBorders>
              <w:top w:val="nil"/>
              <w:left w:val="nil"/>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15,0%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TOTAL  INONGO</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306936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24739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491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13250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4,3%</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KIRI</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BERONGE</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159334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13945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3800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LUTOY</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70747</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5158</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5800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PENDZWA</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67513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3144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16600</w:t>
            </w:r>
          </w:p>
        </w:tc>
        <w:tc>
          <w:tcPr>
            <w:tcW w:w="557" w:type="pct"/>
            <w:tcBorders>
              <w:top w:val="nil"/>
              <w:left w:val="nil"/>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25%</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TOTAL KIRI</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297594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22246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232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26200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9%</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KUTU</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BADIA</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74523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3229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BATERE</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72737</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1656</w:t>
            </w:r>
          </w:p>
        </w:tc>
        <w:tc>
          <w:tcPr>
            <w:tcW w:w="511" w:type="pct"/>
            <w:tcBorders>
              <w:top w:val="nil"/>
              <w:left w:val="nil"/>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MFIMI</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113761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6040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123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KEMBA</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93551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3977</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105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LUABU</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51222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3917</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TOTAL KUTU</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405796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18819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389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OSHWE</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LOKOLAMA</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8152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18652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1200</w:t>
            </w:r>
          </w:p>
        </w:tc>
        <w:tc>
          <w:tcPr>
            <w:tcW w:w="557" w:type="pct"/>
            <w:tcBorders>
              <w:top w:val="nil"/>
              <w:left w:val="nil"/>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15%</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xml:space="preserve">NKAW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56276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7413</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2200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LUKENIE</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63529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6356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KANGARA</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34111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8720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0%</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OSHWE</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162069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41141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260</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15</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3600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Total DISTRICT</w:t>
            </w:r>
            <w:r>
              <w:rPr>
                <w:rFonts w:eastAsia="Times New Roman" w:cs="Times New Roman"/>
                <w:color w:val="000000"/>
                <w:sz w:val="18"/>
                <w:szCs w:val="18"/>
              </w:rPr>
              <w:t xml:space="preserve"> Mai-</w:t>
            </w:r>
            <w:r w:rsidRPr="00965B36">
              <w:rPr>
                <w:rFonts w:eastAsia="Times New Roman" w:cs="Times New Roman"/>
                <w:color w:val="000000"/>
                <w:sz w:val="18"/>
                <w:szCs w:val="18"/>
              </w:rPr>
              <w:t>Ndombe</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1172394</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106946</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11</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1372</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39</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b/>
                <w:color w:val="000000"/>
                <w:sz w:val="18"/>
                <w:szCs w:val="18"/>
              </w:rPr>
            </w:pPr>
            <w:r w:rsidRPr="00965B36">
              <w:rPr>
                <w:rFonts w:eastAsia="Times New Roman" w:cs="Times New Roman"/>
                <w:b/>
                <w:color w:val="000000"/>
                <w:sz w:val="18"/>
                <w:szCs w:val="18"/>
              </w:rPr>
              <w:t>177</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43050</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w:t>
            </w:r>
          </w:p>
        </w:tc>
      </w:tr>
      <w:tr w:rsidR="00965B36" w:rsidRPr="00965B36" w:rsidTr="00ED144B">
        <w:trPr>
          <w:trHeight w:val="240"/>
          <w:jc w:val="center"/>
        </w:trPr>
        <w:tc>
          <w:tcPr>
            <w:tcW w:w="865" w:type="pct"/>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511" w:type="pct"/>
            <w:tcBorders>
              <w:top w:val="nil"/>
              <w:left w:val="nil"/>
              <w:bottom w:val="single" w:sz="4" w:space="0" w:color="auto"/>
              <w:right w:val="single" w:sz="4" w:space="0" w:color="auto"/>
            </w:tcBorders>
            <w:shd w:val="clear" w:color="auto" w:fill="DEEAF6" w:themeFill="accent1" w:themeFillTint="33"/>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w:t>
            </w:r>
          </w:p>
        </w:tc>
        <w:tc>
          <w:tcPr>
            <w:tcW w:w="557" w:type="pct"/>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r>
    </w:tbl>
    <w:p w:rsidR="00965B36" w:rsidRPr="00965B36" w:rsidRDefault="00965B36" w:rsidP="00965B36">
      <w:pPr>
        <w:tabs>
          <w:tab w:val="num" w:pos="1620"/>
        </w:tabs>
        <w:spacing w:after="0" w:line="240" w:lineRule="auto"/>
        <w:ind w:left="708"/>
        <w:jc w:val="both"/>
        <w:rPr>
          <w:sz w:val="20"/>
          <w:szCs w:val="20"/>
        </w:rPr>
      </w:pPr>
      <w:r w:rsidRPr="00965B36">
        <w:rPr>
          <w:sz w:val="20"/>
          <w:szCs w:val="20"/>
        </w:rPr>
        <w:t>(*) en recoupant les sources disponibles dont les PDPA.</w:t>
      </w:r>
    </w:p>
    <w:p w:rsidR="00965B36" w:rsidRPr="00965B36" w:rsidRDefault="00965B36" w:rsidP="00965B36">
      <w:pPr>
        <w:tabs>
          <w:tab w:val="num" w:pos="1620"/>
        </w:tabs>
        <w:spacing w:after="0" w:line="240" w:lineRule="auto"/>
        <w:ind w:left="708"/>
        <w:jc w:val="both"/>
        <w:rPr>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Les Batwa représentent ainsi entre 3 et 4 % de la population du District du </w:t>
      </w:r>
      <w:r w:rsidR="00DD03A6">
        <w:rPr>
          <w:rFonts w:asciiTheme="minorHAnsi" w:hAnsiTheme="minorHAnsi"/>
          <w:sz w:val="20"/>
          <w:szCs w:val="20"/>
        </w:rPr>
        <w:t>Mai-Ndombe</w:t>
      </w:r>
      <w:r w:rsidRPr="00965B36">
        <w:rPr>
          <w:rFonts w:asciiTheme="minorHAnsi" w:hAnsiTheme="minorHAnsi"/>
          <w:sz w:val="20"/>
          <w:szCs w:val="20"/>
        </w:rPr>
        <w:t>. Ils ne sont traditionnellement présents que dans 7 des 15 Secteurs du District. Ils possèdent en propre 39 villages, partagent 177 villages avec les Bantous. Au total dans la Province, la présence pygmée est attestée dans 15 % des villages du District mais dans 30 % des villages de leurs Secteurs traditionnels. Dans les Secteurs de Penzwa, Lokolama et Bolia, les Twa représentent entre 25 et 30 % de la population.</w:t>
      </w:r>
    </w:p>
    <w:p w:rsidR="00965B36" w:rsidRPr="00965B36" w:rsidRDefault="00965B36" w:rsidP="00965B36">
      <w:pPr>
        <w:pStyle w:val="ListParagraph"/>
        <w:autoSpaceDE w:val="0"/>
        <w:autoSpaceDN w:val="0"/>
        <w:adjustRightInd w:val="0"/>
        <w:spacing w:before="240"/>
        <w:ind w:left="0"/>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lastRenderedPageBreak/>
        <w:t xml:space="preserve">Dans ce même espace anamongo, une autre population que celle des pygmées se trouve en situation minoritaire et ségréguée, celle des anciens esclaves et de leurs descendants. Il n’existe pas à notre connaissance d’études sur le sujet, ni sur leur niveau actuel de sujétion ou d’émancipation. </w:t>
      </w:r>
    </w:p>
    <w:p w:rsidR="00965B36" w:rsidRPr="00965B36" w:rsidRDefault="00965B36" w:rsidP="00965B36">
      <w:pPr>
        <w:pStyle w:val="ListParagraph"/>
        <w:tabs>
          <w:tab w:val="num" w:pos="1620"/>
        </w:tabs>
        <w:spacing w:before="240"/>
        <w:ind w:left="426"/>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Dans l’ensemble du District, les pygmées sont devenus et probablement depuis longtemps des sédentaires ou semi sédentaires. La chefferie de terre (18 % des villages), et donc l’intégration dans le système politique coutumier des Mongo (nkumu), semble indiquer que la sédentarisation est ancienne chez eux. Plus un seul campement pygmée au nomadisme permanent ne subsisterait, d’après les témoignages enregistrés lors du passage de la mission BioCf</w:t>
      </w:r>
      <w:r w:rsidRPr="00965B36">
        <w:rPr>
          <w:rFonts w:asciiTheme="minorHAnsi" w:hAnsiTheme="minorHAnsi"/>
          <w:i/>
          <w:sz w:val="20"/>
          <w:szCs w:val="20"/>
        </w:rPr>
        <w:t>plus</w:t>
      </w:r>
      <w:r w:rsidRPr="00965B36">
        <w:rPr>
          <w:rFonts w:asciiTheme="minorHAnsi" w:hAnsiTheme="minorHAnsi"/>
          <w:sz w:val="20"/>
          <w:szCs w:val="20"/>
        </w:rPr>
        <w:t>. Toutes les communautés sont fortement liées à un terroir villageois, quand elles ne le possèdent pas. Les activités de chasse et de cueillette se déploient autour du village de rattachement, dans un rayon de 20 à 30 km, guère davantage.</w:t>
      </w:r>
    </w:p>
    <w:p w:rsidR="00965B36" w:rsidRPr="00965B36" w:rsidRDefault="00965B36" w:rsidP="00965B36">
      <w:pPr>
        <w:pStyle w:val="ListParagraph"/>
        <w:tabs>
          <w:tab w:val="num" w:pos="1620"/>
        </w:tabs>
        <w:spacing w:before="240"/>
        <w:ind w:left="426"/>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Pour tous les PA rencontrés lors de la mission BioCf</w:t>
      </w:r>
      <w:r w:rsidRPr="00965B36">
        <w:rPr>
          <w:rFonts w:asciiTheme="minorHAnsi" w:hAnsiTheme="minorHAnsi"/>
          <w:i/>
          <w:sz w:val="20"/>
          <w:szCs w:val="20"/>
        </w:rPr>
        <w:t>plus</w:t>
      </w:r>
      <w:r w:rsidRPr="00965B36">
        <w:rPr>
          <w:rFonts w:asciiTheme="minorHAnsi" w:hAnsiTheme="minorHAnsi"/>
          <w:sz w:val="20"/>
          <w:szCs w:val="20"/>
        </w:rPr>
        <w:t xml:space="preserve"> dans les 3 Territoires concernés du </w:t>
      </w:r>
      <w:r w:rsidR="00DD03A6">
        <w:rPr>
          <w:rFonts w:asciiTheme="minorHAnsi" w:hAnsiTheme="minorHAnsi"/>
          <w:sz w:val="20"/>
          <w:szCs w:val="20"/>
        </w:rPr>
        <w:t>Mai-Ndombe</w:t>
      </w:r>
      <w:r w:rsidRPr="00965B36">
        <w:rPr>
          <w:rFonts w:asciiTheme="minorHAnsi" w:hAnsiTheme="minorHAnsi"/>
          <w:sz w:val="20"/>
          <w:szCs w:val="20"/>
        </w:rPr>
        <w:t>, la base de l’activité, de la sécurité alimentaire et des revenus est l’agriculture. Toutefois, leurs champs sont petits, selon le jugement des bantous, qui les accusent de fainéantise pour cela, tout en les faisant travailler dans leurs propres champs dont ils sont les principaux cultivateurs dans les Secteurs les plus marqués par la présence pygmée</w:t>
      </w:r>
      <w:r w:rsidRPr="00965B36">
        <w:rPr>
          <w:rStyle w:val="FootnoteReference"/>
          <w:rFonts w:asciiTheme="minorHAnsi" w:hAnsiTheme="minorHAnsi"/>
          <w:sz w:val="20"/>
          <w:szCs w:val="20"/>
        </w:rPr>
        <w:footnoteReference w:id="54"/>
      </w:r>
      <w:r w:rsidRPr="00965B36">
        <w:rPr>
          <w:rFonts w:asciiTheme="minorHAnsi" w:hAnsiTheme="minorHAnsi"/>
          <w:sz w:val="20"/>
          <w:szCs w:val="20"/>
        </w:rPr>
        <w:t>. D’après nos propres observations, la dimension des champs des PA est de l’ordre d’un quart d’ha et moins, ce qui représente entre 80 et 100 journées de travail et peut garantir la sécurité alimentaire de base</w:t>
      </w:r>
      <w:r w:rsidRPr="00965B36">
        <w:rPr>
          <w:rStyle w:val="FootnoteReference"/>
          <w:rFonts w:asciiTheme="minorHAnsi" w:hAnsiTheme="minorHAnsi"/>
          <w:sz w:val="20"/>
          <w:szCs w:val="20"/>
        </w:rPr>
        <w:footnoteReference w:id="55"/>
      </w:r>
      <w:r w:rsidRPr="00965B36">
        <w:rPr>
          <w:rFonts w:asciiTheme="minorHAnsi" w:hAnsiTheme="minorHAnsi"/>
          <w:sz w:val="20"/>
          <w:szCs w:val="20"/>
        </w:rPr>
        <w:t xml:space="preserve">. La question de l’occupation des PA doit être examinée globalement. Le </w:t>
      </w:r>
      <w:r w:rsidR="00B20F29">
        <w:rPr>
          <w:rFonts w:asciiTheme="minorHAnsi" w:hAnsiTheme="minorHAnsi"/>
          <w:sz w:val="20"/>
          <w:szCs w:val="20"/>
        </w:rPr>
        <w:t xml:space="preserve">tableau ci-dessous </w:t>
      </w:r>
      <w:r w:rsidRPr="00965B36">
        <w:rPr>
          <w:rFonts w:asciiTheme="minorHAnsi" w:hAnsiTheme="minorHAnsi"/>
          <w:sz w:val="20"/>
          <w:szCs w:val="20"/>
        </w:rPr>
        <w:t xml:space="preserve">ventile dans le calendrier les diverses activités auxquelles se livrent les PA. Elles sont très variées. La récolte des palmiers sauvages et la production de l’huile, ainsi que les « coups de main » (travail journalier chez les bantous), comme la chasse, sont pratiqués à volonté tout au long de l’année, avec une pointe en campements pour la chasse en novembre décembre (ces campements sont masculins et ne durent guère plus d’une semaine). </w:t>
      </w:r>
    </w:p>
    <w:p w:rsidR="00965B36" w:rsidRPr="00965B36" w:rsidRDefault="00965B36" w:rsidP="00965B36">
      <w:pPr>
        <w:pStyle w:val="ListParagraph"/>
        <w:tabs>
          <w:tab w:val="num" w:pos="1620"/>
        </w:tabs>
        <w:spacing w:before="240"/>
        <w:ind w:left="426"/>
        <w:jc w:val="both"/>
        <w:rPr>
          <w:rFonts w:asciiTheme="minorHAnsi" w:hAnsiTheme="minorHAnsi"/>
          <w:sz w:val="20"/>
          <w:szCs w:val="20"/>
        </w:rPr>
      </w:pPr>
    </w:p>
    <w:p w:rsidR="00965B36" w:rsidRPr="00965B36" w:rsidRDefault="0039694C" w:rsidP="00965B36">
      <w:pPr>
        <w:pStyle w:val="Caption"/>
        <w:ind w:left="426"/>
        <w:jc w:val="center"/>
        <w:rPr>
          <w:sz w:val="20"/>
          <w:szCs w:val="20"/>
        </w:rPr>
      </w:pPr>
      <w:bookmarkStart w:id="76" w:name="_Ref414346909"/>
      <w:bookmarkStart w:id="77" w:name="_Ref414346904"/>
      <w:bookmarkStart w:id="78" w:name="_Toc420681611"/>
      <w:r>
        <w:rPr>
          <w:sz w:val="20"/>
          <w:szCs w:val="20"/>
        </w:rPr>
        <w:t>O</w:t>
      </w:r>
      <w:bookmarkEnd w:id="76"/>
      <w:r w:rsidR="00632DCF" w:rsidRPr="00965B36">
        <w:rPr>
          <w:sz w:val="20"/>
          <w:szCs w:val="20"/>
        </w:rPr>
        <w:t>ccupations</w:t>
      </w:r>
      <w:r w:rsidR="00965B36" w:rsidRPr="00965B36">
        <w:rPr>
          <w:sz w:val="20"/>
          <w:szCs w:val="20"/>
        </w:rPr>
        <w:t xml:space="preserve"> des PA du Territoire d’Inongo tout au long de l’année.</w:t>
      </w:r>
      <w:bookmarkEnd w:id="77"/>
      <w:bookmarkEnd w:id="78"/>
    </w:p>
    <w:tbl>
      <w:tblPr>
        <w:tblW w:w="8620" w:type="dxa"/>
        <w:tblInd w:w="633" w:type="dxa"/>
        <w:tblCellMar>
          <w:left w:w="70" w:type="dxa"/>
          <w:right w:w="70" w:type="dxa"/>
        </w:tblCellMar>
        <w:tblLook w:val="04A0" w:firstRow="1" w:lastRow="0" w:firstColumn="1" w:lastColumn="0" w:noHBand="0" w:noVBand="1"/>
      </w:tblPr>
      <w:tblGrid>
        <w:gridCol w:w="385"/>
        <w:gridCol w:w="1249"/>
        <w:gridCol w:w="900"/>
        <w:gridCol w:w="573"/>
        <w:gridCol w:w="1000"/>
        <w:gridCol w:w="1268"/>
        <w:gridCol w:w="1195"/>
        <w:gridCol w:w="1417"/>
        <w:gridCol w:w="753"/>
      </w:tblGrid>
      <w:tr w:rsidR="00965B36" w:rsidRPr="00965B36" w:rsidTr="00965B36">
        <w:trPr>
          <w:trHeight w:val="577"/>
          <w:tblHeader/>
        </w:trPr>
        <w:tc>
          <w:tcPr>
            <w:tcW w:w="163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M</w:t>
            </w:r>
            <w:r w:rsidR="00965B36" w:rsidRPr="00965B36">
              <w:rPr>
                <w:rFonts w:eastAsia="Times New Roman" w:cs="Times New Roman"/>
                <w:b/>
                <w:color w:val="000000"/>
                <w:sz w:val="20"/>
                <w:szCs w:val="20"/>
              </w:rPr>
              <w:t>ois</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D</w:t>
            </w:r>
            <w:r w:rsidR="00965B36" w:rsidRPr="00965B36">
              <w:rPr>
                <w:rFonts w:eastAsia="Times New Roman" w:cs="Times New Roman"/>
                <w:b/>
                <w:color w:val="000000"/>
                <w:sz w:val="20"/>
                <w:szCs w:val="20"/>
              </w:rPr>
              <w:t>isettes</w:t>
            </w:r>
          </w:p>
        </w:tc>
        <w:tc>
          <w:tcPr>
            <w:tcW w:w="6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H</w:t>
            </w:r>
            <w:r w:rsidR="00965B36" w:rsidRPr="00965B36">
              <w:rPr>
                <w:rFonts w:eastAsia="Times New Roman" w:cs="Times New Roman"/>
                <w:b/>
                <w:color w:val="000000"/>
                <w:sz w:val="20"/>
                <w:szCs w:val="20"/>
              </w:rPr>
              <w:t>uile</w:t>
            </w:r>
          </w:p>
        </w:tc>
        <w:tc>
          <w:tcPr>
            <w:tcW w:w="10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jc w:val="center"/>
              <w:rPr>
                <w:rFonts w:eastAsia="Times New Roman" w:cs="Times New Roman"/>
                <w:b/>
                <w:color w:val="000000"/>
                <w:sz w:val="20"/>
                <w:szCs w:val="20"/>
              </w:rPr>
            </w:pPr>
            <w:r w:rsidRPr="00965B36">
              <w:rPr>
                <w:rFonts w:eastAsia="Times New Roman" w:cs="Times New Roman"/>
                <w:b/>
                <w:color w:val="000000"/>
                <w:sz w:val="20"/>
                <w:szCs w:val="20"/>
              </w:rPr>
              <w:t>« </w:t>
            </w:r>
            <w:r w:rsidR="00632DCF">
              <w:rPr>
                <w:rFonts w:eastAsia="Times New Roman" w:cs="Times New Roman"/>
                <w:b/>
                <w:color w:val="000000"/>
                <w:sz w:val="20"/>
                <w:szCs w:val="20"/>
              </w:rPr>
              <w:t>C</w:t>
            </w:r>
            <w:r w:rsidRPr="00965B36">
              <w:rPr>
                <w:rFonts w:eastAsia="Times New Roman" w:cs="Times New Roman"/>
                <w:b/>
                <w:color w:val="000000"/>
                <w:sz w:val="20"/>
                <w:szCs w:val="20"/>
              </w:rPr>
              <w:t>oup de main » (3)</w:t>
            </w:r>
          </w:p>
        </w:tc>
        <w:tc>
          <w:tcPr>
            <w:tcW w:w="1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P</w:t>
            </w:r>
            <w:r w:rsidR="00965B36" w:rsidRPr="00965B36">
              <w:rPr>
                <w:rFonts w:eastAsia="Times New Roman" w:cs="Times New Roman"/>
                <w:b/>
                <w:color w:val="000000"/>
                <w:sz w:val="20"/>
                <w:szCs w:val="20"/>
              </w:rPr>
              <w:t>êche</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C</w:t>
            </w:r>
            <w:r w:rsidR="00965B36" w:rsidRPr="00965B36">
              <w:rPr>
                <w:rFonts w:eastAsia="Times New Roman" w:cs="Times New Roman"/>
                <w:b/>
                <w:color w:val="000000"/>
                <w:sz w:val="20"/>
                <w:szCs w:val="20"/>
              </w:rPr>
              <w:t>hasse (1)</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C</w:t>
            </w:r>
            <w:r w:rsidR="00965B36" w:rsidRPr="00965B36">
              <w:rPr>
                <w:rFonts w:eastAsia="Times New Roman" w:cs="Times New Roman"/>
                <w:b/>
                <w:color w:val="000000"/>
                <w:sz w:val="20"/>
                <w:szCs w:val="20"/>
              </w:rPr>
              <w:t>ueillette (2)</w:t>
            </w:r>
          </w:p>
        </w:tc>
        <w:tc>
          <w:tcPr>
            <w:tcW w:w="7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M</w:t>
            </w:r>
            <w:r w:rsidR="00965B36" w:rsidRPr="00965B36">
              <w:rPr>
                <w:rFonts w:eastAsia="Times New Roman" w:cs="Times New Roman"/>
                <w:b/>
                <w:color w:val="000000"/>
                <w:sz w:val="20"/>
                <w:szCs w:val="20"/>
              </w:rPr>
              <w:t xml:space="preserve">iel </w:t>
            </w:r>
          </w:p>
        </w:tc>
      </w:tr>
      <w:tr w:rsidR="00965B36" w:rsidRPr="00965B36" w:rsidTr="00965B36">
        <w:trPr>
          <w:trHeight w:val="39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1</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janvier</w:t>
            </w:r>
          </w:p>
        </w:tc>
        <w:tc>
          <w:tcPr>
            <w:tcW w:w="900"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parfois</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vMerge w:val="restart"/>
            <w:tcBorders>
              <w:top w:val="nil"/>
              <w:left w:val="single" w:sz="4" w:space="0" w:color="auto"/>
              <w:bottom w:val="single" w:sz="4" w:space="0" w:color="000000"/>
              <w:right w:val="single" w:sz="4" w:space="0" w:color="auto"/>
            </w:tcBorders>
            <w:shd w:val="clear" w:color="000000" w:fill="D9D9D9"/>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nasse, écope filet, piège</w:t>
            </w: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auto" w:fill="auto"/>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nil"/>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405"/>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2</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février</w:t>
            </w:r>
          </w:p>
        </w:tc>
        <w:tc>
          <w:tcPr>
            <w:tcW w:w="900" w:type="dxa"/>
            <w:vMerge/>
            <w:tcBorders>
              <w:top w:val="nil"/>
              <w:left w:val="single" w:sz="4" w:space="0" w:color="auto"/>
              <w:bottom w:val="single" w:sz="4" w:space="0" w:color="000000"/>
              <w:right w:val="single" w:sz="4" w:space="0" w:color="auto"/>
            </w:tcBorders>
            <w:vAlign w:val="center"/>
            <w:hideMark/>
          </w:tcPr>
          <w:p w:rsidR="00965B36" w:rsidRPr="00965B36" w:rsidRDefault="00965B36" w:rsidP="00965B36">
            <w:pPr>
              <w:spacing w:after="0" w:line="240" w:lineRule="auto"/>
              <w:rPr>
                <w:rFonts w:eastAsia="Times New Roman" w:cs="Times New Roman"/>
                <w:color w:val="000000"/>
                <w:sz w:val="20"/>
                <w:szCs w:val="20"/>
              </w:rPr>
            </w:pP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vMerge/>
            <w:tcBorders>
              <w:top w:val="nil"/>
              <w:left w:val="single" w:sz="4" w:space="0" w:color="auto"/>
              <w:bottom w:val="single" w:sz="4" w:space="0" w:color="000000"/>
              <w:right w:val="single" w:sz="4" w:space="0" w:color="auto"/>
            </w:tcBorders>
            <w:vAlign w:val="center"/>
            <w:hideMark/>
          </w:tcPr>
          <w:p w:rsidR="00965B36" w:rsidRPr="00965B36" w:rsidRDefault="00965B36" w:rsidP="00965B36">
            <w:pPr>
              <w:spacing w:after="0" w:line="240" w:lineRule="auto"/>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000000" w:fill="D9D9D9"/>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mintalo</w:t>
            </w:r>
          </w:p>
        </w:tc>
        <w:tc>
          <w:tcPr>
            <w:tcW w:w="75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3</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mars</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tcBorders>
              <w:top w:val="nil"/>
              <w:left w:val="nil"/>
              <w:bottom w:val="single" w:sz="4" w:space="0" w:color="auto"/>
              <w:right w:val="single" w:sz="4" w:space="0" w:color="auto"/>
            </w:tcBorders>
            <w:shd w:val="clear" w:color="000000" w:fill="D9D9D9"/>
            <w:vAlign w:val="center"/>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nasse</w:t>
            </w: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auto" w:fill="auto"/>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4</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avril</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tcBorders>
              <w:top w:val="nil"/>
              <w:left w:val="nil"/>
              <w:bottom w:val="single" w:sz="4" w:space="0" w:color="auto"/>
              <w:right w:val="single" w:sz="4" w:space="0" w:color="auto"/>
            </w:tcBorders>
            <w:shd w:val="clear" w:color="000000" w:fill="D9D9D9"/>
            <w:vAlign w:val="center"/>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nasse</w:t>
            </w: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auto" w:fill="auto"/>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5</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xml:space="preserve">mai </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03745E" w:rsidRDefault="0003745E" w:rsidP="00965B36">
            <w:pPr>
              <w:spacing w:after="0" w:line="240" w:lineRule="auto"/>
              <w:jc w:val="right"/>
              <w:rPr>
                <w:rFonts w:eastAsia="Times New Roman" w:cs="Times New Roman"/>
                <w:color w:val="000000"/>
                <w:sz w:val="20"/>
                <w:szCs w:val="20"/>
              </w:rPr>
            </w:pPr>
          </w:p>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tcBorders>
              <w:top w:val="nil"/>
              <w:left w:val="nil"/>
              <w:bottom w:val="single" w:sz="4" w:space="0" w:color="auto"/>
              <w:right w:val="single" w:sz="4" w:space="0" w:color="auto"/>
            </w:tcBorders>
            <w:shd w:val="clear" w:color="auto" w:fill="auto"/>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000000" w:fill="D9D9D9"/>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ntukuyu</w:t>
            </w:r>
          </w:p>
        </w:tc>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6</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xml:space="preserve">juin </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nasse, écope, filet, piège</w:t>
            </w: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auto" w:fill="auto"/>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656"/>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7</w:t>
            </w:r>
          </w:p>
        </w:tc>
        <w:tc>
          <w:tcPr>
            <w:tcW w:w="1249"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juillet</w:t>
            </w:r>
          </w:p>
        </w:tc>
        <w:tc>
          <w:tcPr>
            <w:tcW w:w="900"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vMerge/>
            <w:tcBorders>
              <w:top w:val="nil"/>
              <w:left w:val="single" w:sz="4" w:space="0" w:color="auto"/>
              <w:bottom w:val="single" w:sz="4" w:space="0" w:color="000000"/>
              <w:right w:val="single" w:sz="4" w:space="0" w:color="auto"/>
            </w:tcBorders>
            <w:vAlign w:val="center"/>
            <w:hideMark/>
          </w:tcPr>
          <w:p w:rsidR="00965B36" w:rsidRPr="00965B36" w:rsidRDefault="00965B36" w:rsidP="00965B36">
            <w:pPr>
              <w:spacing w:after="0" w:line="240" w:lineRule="auto"/>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000000" w:fill="D9D9D9"/>
            <w:vAlign w:val="center"/>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mbondoyo, ntule, bionge, Ipipili, ndoko</w:t>
            </w:r>
          </w:p>
        </w:tc>
        <w:tc>
          <w:tcPr>
            <w:tcW w:w="753" w:type="dxa"/>
            <w:tcBorders>
              <w:top w:val="nil"/>
              <w:left w:val="single" w:sz="4" w:space="0" w:color="auto"/>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8</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août</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vMerge/>
            <w:tcBorders>
              <w:top w:val="nil"/>
              <w:left w:val="single" w:sz="4" w:space="0" w:color="auto"/>
              <w:bottom w:val="single" w:sz="4" w:space="0" w:color="000000"/>
              <w:right w:val="single" w:sz="4" w:space="0" w:color="auto"/>
            </w:tcBorders>
            <w:vAlign w:val="center"/>
            <w:hideMark/>
          </w:tcPr>
          <w:p w:rsidR="00965B36" w:rsidRPr="00965B36" w:rsidRDefault="00965B36" w:rsidP="00965B36">
            <w:pPr>
              <w:spacing w:after="0" w:line="240" w:lineRule="auto"/>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000000" w:fill="D9D9D9"/>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single" w:sz="4" w:space="0" w:color="auto"/>
              <w:right w:val="single" w:sz="4" w:space="0" w:color="auto"/>
            </w:tcBorders>
            <w:shd w:val="clear" w:color="000000" w:fill="BFBFBF"/>
            <w:noWrap/>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9</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septembre</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vMerge/>
            <w:tcBorders>
              <w:top w:val="nil"/>
              <w:left w:val="single" w:sz="4" w:space="0" w:color="auto"/>
              <w:bottom w:val="single" w:sz="4" w:space="0" w:color="000000"/>
              <w:right w:val="single" w:sz="4" w:space="0" w:color="auto"/>
            </w:tcBorders>
            <w:vAlign w:val="center"/>
            <w:hideMark/>
          </w:tcPr>
          <w:p w:rsidR="00965B36" w:rsidRPr="00965B36" w:rsidRDefault="00965B36" w:rsidP="00965B36">
            <w:pPr>
              <w:spacing w:after="0" w:line="240" w:lineRule="auto"/>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auto" w:fill="auto"/>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single" w:sz="4" w:space="0" w:color="auto"/>
              <w:right w:val="single" w:sz="4" w:space="0" w:color="auto"/>
            </w:tcBorders>
            <w:shd w:val="clear" w:color="000000" w:fill="BFBFBF"/>
            <w:noWrap/>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10</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octobre</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tcBorders>
              <w:top w:val="nil"/>
              <w:left w:val="nil"/>
              <w:bottom w:val="single" w:sz="4" w:space="0" w:color="auto"/>
              <w:right w:val="single" w:sz="4" w:space="0" w:color="auto"/>
            </w:tcBorders>
            <w:shd w:val="clear" w:color="auto" w:fill="auto"/>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417" w:type="dxa"/>
            <w:tcBorders>
              <w:top w:val="nil"/>
              <w:left w:val="nil"/>
              <w:bottom w:val="single" w:sz="4" w:space="0" w:color="auto"/>
              <w:right w:val="nil"/>
            </w:tcBorders>
            <w:shd w:val="clear" w:color="auto" w:fill="auto"/>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ningolo</w:t>
            </w:r>
          </w:p>
        </w:tc>
        <w:tc>
          <w:tcPr>
            <w:tcW w:w="753" w:type="dxa"/>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45"/>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11</w:t>
            </w:r>
          </w:p>
        </w:tc>
        <w:tc>
          <w:tcPr>
            <w:tcW w:w="1249"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novembre</w:t>
            </w:r>
          </w:p>
        </w:tc>
        <w:tc>
          <w:tcPr>
            <w:tcW w:w="900"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99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965B36" w:rsidRPr="00965B36" w:rsidRDefault="00965B36" w:rsidP="00965B3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campe</w:t>
            </w:r>
            <w:r w:rsidRPr="00965B36">
              <w:rPr>
                <w:rFonts w:eastAsia="Times New Roman" w:cs="Times New Roman"/>
                <w:color w:val="000000"/>
                <w:sz w:val="20"/>
                <w:szCs w:val="20"/>
              </w:rPr>
              <w:t>ments</w:t>
            </w:r>
          </w:p>
        </w:tc>
        <w:tc>
          <w:tcPr>
            <w:tcW w:w="1417" w:type="dxa"/>
            <w:tcBorders>
              <w:top w:val="nil"/>
              <w:left w:val="nil"/>
              <w:bottom w:val="single" w:sz="4" w:space="0" w:color="auto"/>
              <w:right w:val="nil"/>
            </w:tcBorders>
            <w:shd w:val="clear" w:color="auto" w:fill="auto"/>
            <w:noWrap/>
            <w:vAlign w:val="center"/>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385"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12</w:t>
            </w:r>
          </w:p>
        </w:tc>
        <w:tc>
          <w:tcPr>
            <w:tcW w:w="1249"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décembre</w:t>
            </w:r>
          </w:p>
        </w:tc>
        <w:tc>
          <w:tcPr>
            <w:tcW w:w="900"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20"/>
                <w:szCs w:val="20"/>
              </w:rPr>
            </w:pPr>
            <w:r w:rsidRPr="00965B36">
              <w:rPr>
                <w:rFonts w:eastAsia="Times New Roman" w:cs="Times New Roman"/>
                <w:color w:val="000000"/>
                <w:sz w:val="20"/>
                <w:szCs w:val="20"/>
              </w:rPr>
              <w:t> </w:t>
            </w:r>
          </w:p>
        </w:tc>
        <w:tc>
          <w:tcPr>
            <w:tcW w:w="656" w:type="dxa"/>
            <w:tcBorders>
              <w:top w:val="nil"/>
              <w:left w:val="nil"/>
              <w:bottom w:val="single" w:sz="4" w:space="0" w:color="auto"/>
              <w:right w:val="single" w:sz="4" w:space="0" w:color="auto"/>
            </w:tcBorders>
            <w:shd w:val="clear" w:color="000000" w:fill="D9D9D9"/>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000000" w:fill="BFBFBF"/>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1268" w:type="dxa"/>
            <w:tcBorders>
              <w:top w:val="nil"/>
              <w:left w:val="nil"/>
              <w:bottom w:val="single" w:sz="4" w:space="0" w:color="auto"/>
              <w:right w:val="single" w:sz="4" w:space="0" w:color="auto"/>
            </w:tcBorders>
            <w:shd w:val="clear" w:color="auto" w:fill="auto"/>
            <w:vAlign w:val="bottom"/>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c>
          <w:tcPr>
            <w:tcW w:w="992" w:type="dxa"/>
            <w:vMerge/>
            <w:tcBorders>
              <w:top w:val="nil"/>
              <w:left w:val="single" w:sz="4" w:space="0" w:color="auto"/>
              <w:bottom w:val="single" w:sz="4" w:space="0" w:color="000000"/>
              <w:right w:val="single" w:sz="4" w:space="0" w:color="auto"/>
            </w:tcBorders>
            <w:vAlign w:val="center"/>
            <w:hideMark/>
          </w:tcPr>
          <w:p w:rsidR="00965B36" w:rsidRPr="00965B36" w:rsidRDefault="00965B36" w:rsidP="00965B36">
            <w:pPr>
              <w:spacing w:after="0" w:line="240" w:lineRule="auto"/>
              <w:rPr>
                <w:rFonts w:eastAsia="Times New Roman" w:cs="Times New Roman"/>
                <w:color w:val="000000"/>
                <w:sz w:val="20"/>
                <w:szCs w:val="20"/>
              </w:rPr>
            </w:pPr>
          </w:p>
        </w:tc>
        <w:tc>
          <w:tcPr>
            <w:tcW w:w="1417" w:type="dxa"/>
            <w:tcBorders>
              <w:top w:val="nil"/>
              <w:left w:val="nil"/>
              <w:bottom w:val="single" w:sz="4" w:space="0" w:color="auto"/>
              <w:right w:val="nil"/>
            </w:tcBorders>
            <w:shd w:val="clear" w:color="auto" w:fill="auto"/>
            <w:vAlign w:val="bottom"/>
            <w:hideMark/>
          </w:tcPr>
          <w:p w:rsidR="00965B36" w:rsidRPr="00965B36" w:rsidRDefault="00965B36" w:rsidP="00965B36">
            <w:pPr>
              <w:spacing w:after="0" w:line="240" w:lineRule="auto"/>
              <w:jc w:val="center"/>
              <w:rPr>
                <w:rFonts w:eastAsia="Times New Roman" w:cs="Times New Roman"/>
                <w:color w:val="000000"/>
                <w:sz w:val="20"/>
                <w:szCs w:val="20"/>
              </w:rPr>
            </w:pPr>
            <w:r w:rsidRPr="00965B36">
              <w:rPr>
                <w:rFonts w:eastAsia="Times New Roman" w:cs="Times New Roman"/>
                <w:color w:val="000000"/>
                <w:sz w:val="20"/>
                <w:szCs w:val="20"/>
              </w:rPr>
              <w:t> </w:t>
            </w:r>
          </w:p>
        </w:tc>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20"/>
                <w:szCs w:val="20"/>
              </w:rPr>
            </w:pPr>
            <w:r w:rsidRPr="00965B36">
              <w:rPr>
                <w:rFonts w:eastAsia="Times New Roman" w:cs="Times New Roman"/>
                <w:color w:val="000000"/>
                <w:sz w:val="20"/>
                <w:szCs w:val="20"/>
              </w:rPr>
              <w:t> </w:t>
            </w:r>
          </w:p>
        </w:tc>
      </w:tr>
      <w:tr w:rsidR="00965B36" w:rsidRPr="00965B36" w:rsidTr="00965B36">
        <w:trPr>
          <w:trHeight w:val="300"/>
        </w:trPr>
        <w:tc>
          <w:tcPr>
            <w:tcW w:w="8620" w:type="dxa"/>
            <w:gridSpan w:val="9"/>
            <w:tcBorders>
              <w:top w:val="nil"/>
              <w:left w:val="nil"/>
              <w:bottom w:val="nil"/>
              <w:right w:val="nil"/>
            </w:tcBorders>
            <w:shd w:val="clear" w:color="auto" w:fill="auto"/>
            <w:noWrap/>
            <w:vAlign w:val="center"/>
            <w:hideMark/>
          </w:tcPr>
          <w:p w:rsidR="00965B36" w:rsidRPr="00965B36" w:rsidRDefault="00965B36" w:rsidP="00965B36">
            <w:pPr>
              <w:spacing w:after="0" w:line="240" w:lineRule="auto"/>
              <w:rPr>
                <w:rFonts w:eastAsia="Times New Roman" w:cs="Times New Roman"/>
                <w:sz w:val="20"/>
                <w:szCs w:val="20"/>
              </w:rPr>
            </w:pPr>
            <w:r w:rsidRPr="00965B36">
              <w:rPr>
                <w:rFonts w:eastAsia="Times New Roman" w:cs="Times New Roman"/>
                <w:sz w:val="20"/>
                <w:szCs w:val="20"/>
              </w:rPr>
              <w:lastRenderedPageBreak/>
              <w:t xml:space="preserve">Source : atelier participatif d’Inongo. Les noms de la colonne « cueillette » sont ceux des différentes sortes de chenilles récoltées. </w:t>
            </w:r>
          </w:p>
        </w:tc>
      </w:tr>
    </w:tbl>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Les pygmées du </w:t>
      </w:r>
      <w:r w:rsidR="00EB17C0">
        <w:rPr>
          <w:rFonts w:asciiTheme="minorHAnsi" w:hAnsiTheme="minorHAnsi"/>
          <w:sz w:val="20"/>
          <w:szCs w:val="20"/>
        </w:rPr>
        <w:t>Mai-Ndombe</w:t>
      </w:r>
      <w:r w:rsidR="00E15FEC">
        <w:rPr>
          <w:rFonts w:asciiTheme="minorHAnsi" w:hAnsiTheme="minorHAnsi"/>
          <w:sz w:val="20"/>
          <w:szCs w:val="20"/>
        </w:rPr>
        <w:t xml:space="preserve"> </w:t>
      </w:r>
      <w:r w:rsidRPr="00965B36">
        <w:rPr>
          <w:rFonts w:asciiTheme="minorHAnsi" w:hAnsiTheme="minorHAnsi"/>
          <w:sz w:val="20"/>
          <w:szCs w:val="20"/>
        </w:rPr>
        <w:t>sont les principaux fournisseurs d’huile de palme sauvage des marchés, étant bons grimpeurs, comme ils sont de grands pourvoyeurs de viande de brousse et de miel. Les quantités produites peuvent être importantes. Par exemple un village de 50 ménages peut mettre sur le marché plusieurs futs de miel dans l’année. La chasse se pratique essentiellement aux pièges (lacets de câble et de nylon disponibles sur le marché), mais aussi au fusil, calibre 12 de fabrication locale, pour abattre notamment les singes.</w:t>
      </w:r>
    </w:p>
    <w:p w:rsidR="00965B36" w:rsidRPr="00965B36" w:rsidRDefault="00965B36" w:rsidP="00965B36">
      <w:pPr>
        <w:pStyle w:val="ListParagraph"/>
        <w:tabs>
          <w:tab w:val="num" w:pos="1620"/>
        </w:tabs>
        <w:spacing w:before="240"/>
        <w:ind w:left="426"/>
        <w:jc w:val="both"/>
        <w:rPr>
          <w:rFonts w:asciiTheme="minorHAnsi" w:hAnsiTheme="minorHAnsi"/>
          <w:sz w:val="20"/>
          <w:szCs w:val="20"/>
        </w:rPr>
      </w:pPr>
      <w:r w:rsidRPr="00965B36">
        <w:rPr>
          <w:rFonts w:asciiTheme="minorHAnsi" w:hAnsiTheme="minorHAnsi"/>
          <w:sz w:val="20"/>
          <w:szCs w:val="20"/>
        </w:rPr>
        <w:t xml:space="preserve"> </w:t>
      </w: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Alors que sévissait encore l’épidémie circonscrite d’Ebola dans le Territoire proche de Boende, les Batwas rencontrés lors de la mission BioCfplus en novembre 2014 se déclaraient hostiles à toute règlementation de la chasse aux singes et à toute interdiction de la consommation de viande de singe et autre viande de brousse dont celle des chauves-souris. L’information sur les risques encourus paraissait disponible (tout au moins dans les villages visités, rayon des 50 km autour des cités), mais ces risques semblaient lointains et largement balancés par le désir de la consommation de viande fraîche et boucanée, opinion absolument partagée par les bantous.  </w:t>
      </w:r>
    </w:p>
    <w:p w:rsidR="00965B36" w:rsidRPr="00965B36" w:rsidRDefault="00965B36" w:rsidP="00965B36">
      <w:pPr>
        <w:pStyle w:val="ListParagraph"/>
        <w:tabs>
          <w:tab w:val="num" w:pos="1620"/>
        </w:tabs>
        <w:spacing w:before="240"/>
        <w:ind w:left="426"/>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Dans les trois Territoires forestiers du </w:t>
      </w:r>
      <w:r w:rsidR="00DD03A6">
        <w:rPr>
          <w:rFonts w:asciiTheme="minorHAnsi" w:hAnsiTheme="minorHAnsi"/>
          <w:sz w:val="20"/>
          <w:szCs w:val="20"/>
        </w:rPr>
        <w:t>Mai-Ndombe</w:t>
      </w:r>
      <w:r w:rsidRPr="00965B36">
        <w:rPr>
          <w:rFonts w:asciiTheme="minorHAnsi" w:hAnsiTheme="minorHAnsi"/>
          <w:sz w:val="20"/>
          <w:szCs w:val="20"/>
        </w:rPr>
        <w:t xml:space="preserve">, la consommation de poisson et de viande de brousse est courante, et souvent bihebdomadaire. Toutefois, les bantous eux-mêmes reconnaissent que l’alimentation des PA est plus variée que la leur, plus riche et qu’elle absorbe une grande part de leurs ressources monétaires. Les PA en effet, disposent de revenus journaliers relativement réguliers, même s’ils sont faibles, au contraire des Bantous, soumis davantage à la saisonnalité agricole (bien qu’ils s’adonnent eux aussi à la chasse, à la pêche et à la cueillette). Dans le </w:t>
      </w:r>
      <w:r w:rsidR="00B20F29">
        <w:rPr>
          <w:rFonts w:asciiTheme="minorHAnsi" w:hAnsiTheme="minorHAnsi"/>
          <w:sz w:val="20"/>
          <w:szCs w:val="20"/>
        </w:rPr>
        <w:t xml:space="preserve">tableau ci-dessus </w:t>
      </w:r>
      <w:r w:rsidRPr="00965B36">
        <w:rPr>
          <w:rFonts w:asciiTheme="minorHAnsi" w:hAnsiTheme="minorHAnsi"/>
          <w:sz w:val="20"/>
          <w:szCs w:val="20"/>
        </w:rPr>
        <w:t xml:space="preserve">sont signalées des disettes périodiques en manioc aux mois de janvier et de février, surtout sensibles en zone urbaine, mois de travail agricole intense, en récolte des cycles courts de la saison A et en préparation de la saison B, durant lesquels le temps manque pour préparer le manioc. </w:t>
      </w:r>
    </w:p>
    <w:p w:rsidR="00965B36" w:rsidRPr="00965B36" w:rsidRDefault="00965B36" w:rsidP="00965B36">
      <w:pPr>
        <w:pStyle w:val="ListParagrap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Dans la plupart des Secteurs traditionnels d’implantation des PA, les terres ne manquent pas encore (voir le chapitre sur la déforestation), sauf dans les zones urbaines et le long des routes, où la question de la densité humaine dans le rayon des 5 km se pose (une heure à pied pour aller au champ). Le  </w:t>
      </w:r>
      <w:r w:rsidR="00B20F29">
        <w:rPr>
          <w:rFonts w:asciiTheme="minorHAnsi" w:hAnsiTheme="minorHAnsi"/>
          <w:sz w:val="20"/>
          <w:szCs w:val="20"/>
        </w:rPr>
        <w:t xml:space="preserve">tableau ci-dessous </w:t>
      </w:r>
      <w:r w:rsidRPr="00965B36">
        <w:rPr>
          <w:rFonts w:asciiTheme="minorHAnsi" w:hAnsiTheme="minorHAnsi"/>
          <w:sz w:val="20"/>
          <w:szCs w:val="20"/>
        </w:rPr>
        <w:t xml:space="preserve">renseigne que pour la plupart des villages </w:t>
      </w:r>
      <w:r w:rsidR="00B20F29" w:rsidRPr="00965B36">
        <w:rPr>
          <w:rFonts w:asciiTheme="minorHAnsi" w:hAnsiTheme="minorHAnsi"/>
          <w:sz w:val="20"/>
          <w:szCs w:val="20"/>
        </w:rPr>
        <w:t>p</w:t>
      </w:r>
      <w:r w:rsidR="00B20F29">
        <w:rPr>
          <w:rFonts w:asciiTheme="minorHAnsi" w:hAnsiTheme="minorHAnsi"/>
          <w:sz w:val="20"/>
          <w:szCs w:val="20"/>
        </w:rPr>
        <w:t>as</w:t>
      </w:r>
      <w:r w:rsidR="00B20F29" w:rsidRPr="00965B36">
        <w:rPr>
          <w:rFonts w:asciiTheme="minorHAnsi" w:hAnsiTheme="minorHAnsi"/>
          <w:sz w:val="20"/>
          <w:szCs w:val="20"/>
        </w:rPr>
        <w:t xml:space="preserve"> </w:t>
      </w:r>
      <w:r w:rsidRPr="00965B36">
        <w:rPr>
          <w:rFonts w:asciiTheme="minorHAnsi" w:hAnsiTheme="minorHAnsi"/>
          <w:sz w:val="20"/>
          <w:szCs w:val="20"/>
        </w:rPr>
        <w:t xml:space="preserve">trop éloignés </w:t>
      </w:r>
      <w:r w:rsidR="00B20F29">
        <w:rPr>
          <w:rFonts w:asciiTheme="minorHAnsi" w:hAnsiTheme="minorHAnsi"/>
          <w:sz w:val="20"/>
          <w:szCs w:val="20"/>
        </w:rPr>
        <w:t>d’une</w:t>
      </w:r>
      <w:r w:rsidRPr="00965B36">
        <w:rPr>
          <w:rFonts w:asciiTheme="minorHAnsi" w:hAnsiTheme="minorHAnsi"/>
          <w:sz w:val="20"/>
          <w:szCs w:val="20"/>
        </w:rPr>
        <w:t xml:space="preserve"> </w:t>
      </w:r>
      <w:r w:rsidR="00B20F29">
        <w:rPr>
          <w:rFonts w:asciiTheme="minorHAnsi" w:hAnsiTheme="minorHAnsi"/>
          <w:sz w:val="20"/>
          <w:szCs w:val="20"/>
        </w:rPr>
        <w:t>c</w:t>
      </w:r>
      <w:r w:rsidRPr="00965B36">
        <w:rPr>
          <w:rFonts w:asciiTheme="minorHAnsi" w:hAnsiTheme="minorHAnsi"/>
          <w:sz w:val="20"/>
          <w:szCs w:val="20"/>
        </w:rPr>
        <w:t>ité</w:t>
      </w:r>
      <w:r w:rsidR="00B20F29">
        <w:rPr>
          <w:rFonts w:asciiTheme="minorHAnsi" w:hAnsiTheme="minorHAnsi"/>
          <w:sz w:val="20"/>
          <w:szCs w:val="20"/>
        </w:rPr>
        <w:t xml:space="preserve"> principale</w:t>
      </w:r>
      <w:r w:rsidRPr="00965B36">
        <w:rPr>
          <w:rFonts w:asciiTheme="minorHAnsi" w:hAnsiTheme="minorHAnsi"/>
          <w:sz w:val="20"/>
          <w:szCs w:val="20"/>
        </w:rPr>
        <w:t xml:space="preserve"> du District du </w:t>
      </w:r>
      <w:r w:rsidR="00DD03A6">
        <w:rPr>
          <w:rFonts w:asciiTheme="minorHAnsi" w:hAnsiTheme="minorHAnsi"/>
          <w:sz w:val="20"/>
          <w:szCs w:val="20"/>
        </w:rPr>
        <w:t>Mai-Ndombe</w:t>
      </w:r>
      <w:r w:rsidRPr="00965B36">
        <w:rPr>
          <w:rFonts w:asciiTheme="minorHAnsi" w:hAnsiTheme="minorHAnsi"/>
          <w:sz w:val="20"/>
          <w:szCs w:val="20"/>
        </w:rPr>
        <w:t xml:space="preserve">, les terres sont disponibles, sans frais particulier. </w:t>
      </w:r>
    </w:p>
    <w:p w:rsidR="00965B36" w:rsidRPr="00965B36" w:rsidRDefault="0039694C" w:rsidP="00965B36">
      <w:pPr>
        <w:pStyle w:val="Caption"/>
        <w:spacing w:after="0"/>
        <w:ind w:left="708"/>
        <w:jc w:val="center"/>
        <w:rPr>
          <w:sz w:val="20"/>
          <w:szCs w:val="20"/>
        </w:rPr>
      </w:pPr>
      <w:bookmarkStart w:id="79" w:name="_Ref414351035"/>
      <w:bookmarkStart w:id="80" w:name="_Toc420681612"/>
      <w:r>
        <w:rPr>
          <w:sz w:val="20"/>
          <w:szCs w:val="20"/>
        </w:rPr>
        <w:t>A</w:t>
      </w:r>
      <w:bookmarkEnd w:id="79"/>
      <w:r w:rsidR="00965B36" w:rsidRPr="00965B36">
        <w:rPr>
          <w:sz w:val="20"/>
          <w:szCs w:val="20"/>
        </w:rPr>
        <w:t>ccès à la terre des PA dans trois Groupements d’Inongo</w:t>
      </w:r>
      <w:bookmarkEnd w:id="80"/>
    </w:p>
    <w:tbl>
      <w:tblPr>
        <w:tblW w:w="4640" w:type="pct"/>
        <w:jc w:val="center"/>
        <w:tblLayout w:type="fixed"/>
        <w:tblCellMar>
          <w:left w:w="70" w:type="dxa"/>
          <w:right w:w="70" w:type="dxa"/>
        </w:tblCellMar>
        <w:tblLook w:val="04A0" w:firstRow="1" w:lastRow="0" w:firstColumn="1" w:lastColumn="0" w:noHBand="0" w:noVBand="1"/>
      </w:tblPr>
      <w:tblGrid>
        <w:gridCol w:w="730"/>
        <w:gridCol w:w="1799"/>
        <w:gridCol w:w="1136"/>
        <w:gridCol w:w="1148"/>
        <w:gridCol w:w="975"/>
        <w:gridCol w:w="975"/>
        <w:gridCol w:w="1352"/>
        <w:gridCol w:w="746"/>
      </w:tblGrid>
      <w:tr w:rsidR="00965B36" w:rsidRPr="00965B36" w:rsidTr="00965B36">
        <w:trPr>
          <w:trHeight w:val="195"/>
          <w:tblHeader/>
          <w:jc w:val="center"/>
        </w:trPr>
        <w:tc>
          <w:tcPr>
            <w:tcW w:w="1427" w:type="pct"/>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r w:rsidRPr="00965B36">
              <w:rPr>
                <w:rFonts w:eastAsia="Times New Roman" w:cs="Times New Roman"/>
                <w:b/>
                <w:color w:val="000000"/>
                <w:sz w:val="18"/>
                <w:szCs w:val="18"/>
              </w:rPr>
              <w:t>Groupements et villages</w:t>
            </w:r>
          </w:p>
        </w:tc>
        <w:tc>
          <w:tcPr>
            <w:tcW w:w="1289"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T</w:t>
            </w:r>
            <w:r w:rsidR="00965B36" w:rsidRPr="00965B36">
              <w:rPr>
                <w:rFonts w:eastAsia="Times New Roman" w:cs="Times New Roman"/>
                <w:b/>
                <w:color w:val="000000"/>
                <w:sz w:val="18"/>
                <w:szCs w:val="18"/>
              </w:rPr>
              <w:t>erres</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r w:rsidRPr="00965B36">
              <w:rPr>
                <w:rFonts w:eastAsia="Times New Roman" w:cs="Times New Roman"/>
                <w:b/>
                <w:color w:val="000000"/>
                <w:sz w:val="18"/>
                <w:szCs w:val="18"/>
              </w:rPr>
              <w:t>PA chefs de terre</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V</w:t>
            </w:r>
            <w:r w:rsidR="00965B36" w:rsidRPr="00965B36">
              <w:rPr>
                <w:rFonts w:eastAsia="Times New Roman" w:cs="Times New Roman"/>
                <w:b/>
                <w:color w:val="000000"/>
                <w:sz w:val="18"/>
                <w:szCs w:val="18"/>
              </w:rPr>
              <w:t>illage mixte</w:t>
            </w:r>
          </w:p>
        </w:tc>
        <w:tc>
          <w:tcPr>
            <w:tcW w:w="118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r w:rsidRPr="00965B36">
              <w:rPr>
                <w:rFonts w:eastAsia="Times New Roman" w:cs="Times New Roman"/>
                <w:b/>
                <w:color w:val="000000"/>
                <w:sz w:val="18"/>
                <w:szCs w:val="18"/>
              </w:rPr>
              <w:t>N</w:t>
            </w:r>
            <w:r w:rsidR="00632DCF">
              <w:rPr>
                <w:rFonts w:eastAsia="Times New Roman" w:cs="Times New Roman"/>
                <w:b/>
                <w:color w:val="000000"/>
                <w:sz w:val="18"/>
                <w:szCs w:val="18"/>
              </w:rPr>
              <w:t>om</w:t>
            </w:r>
            <w:r w:rsidRPr="00965B36">
              <w:rPr>
                <w:rFonts w:eastAsia="Times New Roman" w:cs="Times New Roman"/>
                <w:b/>
                <w:color w:val="000000"/>
                <w:sz w:val="18"/>
                <w:szCs w:val="18"/>
              </w:rPr>
              <w:t>bre de ménages</w:t>
            </w:r>
          </w:p>
        </w:tc>
      </w:tr>
      <w:tr w:rsidR="00965B36" w:rsidRPr="00965B36" w:rsidTr="00965B36">
        <w:trPr>
          <w:trHeight w:val="195"/>
          <w:tblHeader/>
          <w:jc w:val="center"/>
        </w:trPr>
        <w:tc>
          <w:tcPr>
            <w:tcW w:w="1427" w:type="pct"/>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p>
        </w:tc>
        <w:tc>
          <w:tcPr>
            <w:tcW w:w="641"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65B36" w:rsidRPr="00965B36" w:rsidRDefault="00632DCF" w:rsidP="00965B36">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D</w:t>
            </w:r>
            <w:r w:rsidR="00965B36" w:rsidRPr="00965B36">
              <w:rPr>
                <w:rFonts w:eastAsia="Times New Roman" w:cs="Times New Roman"/>
                <w:b/>
                <w:color w:val="000000"/>
                <w:sz w:val="18"/>
                <w:szCs w:val="18"/>
              </w:rPr>
              <w:t>isponibles</w:t>
            </w:r>
          </w:p>
        </w:tc>
        <w:tc>
          <w:tcPr>
            <w:tcW w:w="6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632DCF" w:rsidP="00965B36">
            <w:pPr>
              <w:spacing w:after="0" w:line="240" w:lineRule="auto"/>
              <w:jc w:val="center"/>
              <w:rPr>
                <w:rFonts w:eastAsia="Times New Roman" w:cs="Times New Roman"/>
                <w:b/>
                <w:color w:val="000000"/>
                <w:sz w:val="18"/>
                <w:szCs w:val="18"/>
              </w:rPr>
            </w:pPr>
            <w:r>
              <w:rPr>
                <w:rFonts w:eastAsia="Times New Roman" w:cs="Times New Roman"/>
                <w:b/>
                <w:color w:val="000000"/>
                <w:sz w:val="18"/>
                <w:szCs w:val="18"/>
              </w:rPr>
              <w:t>P</w:t>
            </w:r>
            <w:r w:rsidR="00965B36" w:rsidRPr="00965B36">
              <w:rPr>
                <w:rFonts w:eastAsia="Times New Roman" w:cs="Times New Roman"/>
                <w:b/>
                <w:color w:val="000000"/>
                <w:sz w:val="18"/>
                <w:szCs w:val="18"/>
              </w:rPr>
              <w:t>lus de 10 km</w:t>
            </w:r>
          </w:p>
        </w:tc>
        <w:tc>
          <w:tcPr>
            <w:tcW w:w="55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p>
        </w:tc>
        <w:tc>
          <w:tcPr>
            <w:tcW w:w="55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p>
        </w:tc>
        <w:tc>
          <w:tcPr>
            <w:tcW w:w="7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r w:rsidRPr="00965B36">
              <w:rPr>
                <w:rFonts w:eastAsia="Times New Roman" w:cs="Times New Roman"/>
                <w:b/>
                <w:color w:val="000000"/>
                <w:sz w:val="18"/>
                <w:szCs w:val="18"/>
              </w:rPr>
              <w:t>Moins de 50</w:t>
            </w:r>
          </w:p>
        </w:tc>
        <w:tc>
          <w:tcPr>
            <w:tcW w:w="4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jc w:val="center"/>
              <w:rPr>
                <w:rFonts w:eastAsia="Times New Roman" w:cs="Times New Roman"/>
                <w:b/>
                <w:color w:val="000000"/>
                <w:sz w:val="18"/>
                <w:szCs w:val="18"/>
              </w:rPr>
            </w:pPr>
            <w:r w:rsidRPr="00965B36">
              <w:rPr>
                <w:rFonts w:eastAsia="Times New Roman" w:cs="Times New Roman"/>
                <w:b/>
                <w:color w:val="000000"/>
                <w:sz w:val="18"/>
                <w:szCs w:val="18"/>
              </w:rPr>
              <w:t>50 à 100</w:t>
            </w:r>
          </w:p>
        </w:tc>
      </w:tr>
      <w:tr w:rsidR="00965B36" w:rsidRPr="00965B36" w:rsidTr="00965B36">
        <w:trPr>
          <w:trHeight w:val="20"/>
          <w:jc w:val="center"/>
        </w:trPr>
        <w:tc>
          <w:tcPr>
            <w:tcW w:w="1427"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Ntomba Zale</w:t>
            </w:r>
          </w:p>
        </w:tc>
        <w:tc>
          <w:tcPr>
            <w:tcW w:w="641" w:type="pct"/>
            <w:tcBorders>
              <w:top w:val="single" w:sz="4" w:space="0" w:color="auto"/>
              <w:left w:val="nil"/>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single" w:sz="4" w:space="0" w:color="auto"/>
              <w:left w:val="nil"/>
              <w:bottom w:val="nil"/>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single" w:sz="4" w:space="0" w:color="auto"/>
              <w:left w:val="nil"/>
              <w:bottom w:val="nil"/>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single" w:sz="4" w:space="0" w:color="auto"/>
              <w:left w:val="nil"/>
              <w:bottom w:val="nil"/>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62"/>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OUEST</w:t>
            </w: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1" w:type="pct"/>
            <w:tcBorders>
              <w:top w:val="single" w:sz="4" w:space="0" w:color="auto"/>
              <w:left w:val="nil"/>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single" w:sz="4" w:space="0" w:color="auto"/>
              <w:left w:val="nil"/>
              <w:bottom w:val="nil"/>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single" w:sz="4" w:space="0" w:color="auto"/>
              <w:left w:val="nil"/>
              <w:bottom w:val="nil"/>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single" w:sz="4" w:space="0" w:color="auto"/>
              <w:left w:val="nil"/>
              <w:bottom w:val="nil"/>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20"/>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Belembe</w:t>
            </w:r>
          </w:p>
        </w:tc>
        <w:tc>
          <w:tcPr>
            <w:tcW w:w="641" w:type="pct"/>
            <w:tcBorders>
              <w:top w:val="single" w:sz="4" w:space="0" w:color="auto"/>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single" w:sz="4" w:space="0" w:color="auto"/>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FFFFF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20"/>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Bankaï</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FFFFF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20"/>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Botaka</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FFFFF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20"/>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Baugo</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FFFFF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20"/>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Benkondi</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FFFFF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EST</w:t>
            </w: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Luatekaka</w:t>
            </w: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Rizières</w:t>
            </w: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Centre com</w:t>
            </w: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Bobangi</w:t>
            </w:r>
          </w:p>
        </w:tc>
        <w:tc>
          <w:tcPr>
            <w:tcW w:w="64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12 km</w:t>
            </w:r>
          </w:p>
        </w:tc>
        <w:tc>
          <w:tcPr>
            <w:tcW w:w="64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Bongema</w:t>
            </w:r>
          </w:p>
        </w:tc>
        <w:tc>
          <w:tcPr>
            <w:tcW w:w="64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15 km</w:t>
            </w: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19 km</w:t>
            </w: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21 km</w:t>
            </w:r>
          </w:p>
        </w:tc>
        <w:tc>
          <w:tcPr>
            <w:tcW w:w="64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Nkolo Mbanza</w:t>
            </w:r>
          </w:p>
        </w:tc>
        <w:tc>
          <w:tcPr>
            <w:tcW w:w="64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FF0000"/>
                <w:sz w:val="18"/>
                <w:szCs w:val="18"/>
              </w:rPr>
            </w:pPr>
          </w:p>
        </w:tc>
      </w:tr>
      <w:tr w:rsidR="00965B36" w:rsidRPr="00965B36" w:rsidTr="00965B36">
        <w:trPr>
          <w:trHeight w:val="195"/>
          <w:jc w:val="center"/>
        </w:trPr>
        <w:tc>
          <w:tcPr>
            <w:tcW w:w="1427" w:type="pct"/>
            <w:gridSpan w:val="2"/>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lastRenderedPageBreak/>
              <w:t>Ibenga</w:t>
            </w:r>
          </w:p>
        </w:tc>
        <w:tc>
          <w:tcPr>
            <w:tcW w:w="641" w:type="pct"/>
            <w:tcBorders>
              <w:top w:val="nil"/>
              <w:left w:val="nil"/>
              <w:bottom w:val="single" w:sz="4" w:space="0" w:color="auto"/>
              <w:right w:val="nil"/>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nil"/>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nil"/>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nil"/>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nil"/>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Bolingo</w:t>
            </w:r>
          </w:p>
        </w:tc>
        <w:tc>
          <w:tcPr>
            <w:tcW w:w="641" w:type="pct"/>
            <w:tcBorders>
              <w:top w:val="nil"/>
              <w:left w:val="nil"/>
              <w:bottom w:val="single" w:sz="4" w:space="0" w:color="auto"/>
              <w:right w:val="single" w:sz="4" w:space="0" w:color="auto"/>
            </w:tcBorders>
            <w:shd w:val="clear" w:color="000000" w:fill="FFFFF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Nkonde</w:t>
            </w:r>
          </w:p>
        </w:tc>
        <w:tc>
          <w:tcPr>
            <w:tcW w:w="641" w:type="pct"/>
            <w:tcBorders>
              <w:top w:val="nil"/>
              <w:left w:val="nil"/>
              <w:bottom w:val="single" w:sz="4" w:space="0" w:color="auto"/>
              <w:right w:val="single" w:sz="4" w:space="0" w:color="auto"/>
            </w:tcBorders>
            <w:shd w:val="clear" w:color="000000" w:fill="A6A6A6"/>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1427" w:type="pct"/>
            <w:gridSpan w:val="2"/>
            <w:tcBorders>
              <w:top w:val="nil"/>
              <w:left w:val="single" w:sz="4" w:space="0" w:color="auto"/>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Iyembe</w:t>
            </w:r>
          </w:p>
        </w:tc>
        <w:tc>
          <w:tcPr>
            <w:tcW w:w="64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Balondo</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Ibali -Ngongo</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5"/>
          <w:jc w:val="center"/>
        </w:trPr>
        <w:tc>
          <w:tcPr>
            <w:tcW w:w="412" w:type="pct"/>
            <w:tcBorders>
              <w:top w:val="nil"/>
              <w:left w:val="single" w:sz="4" w:space="0" w:color="auto"/>
              <w:bottom w:val="nil"/>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Ngong'Iyembe</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r w:rsidR="00965B36" w:rsidRPr="00965B36" w:rsidTr="00965B36">
        <w:trPr>
          <w:trHeight w:val="196"/>
          <w:jc w:val="center"/>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1015"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Ikenge</w:t>
            </w:r>
          </w:p>
        </w:tc>
        <w:tc>
          <w:tcPr>
            <w:tcW w:w="641"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550"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763" w:type="pct"/>
            <w:tcBorders>
              <w:top w:val="nil"/>
              <w:left w:val="nil"/>
              <w:bottom w:val="single" w:sz="4" w:space="0" w:color="auto"/>
              <w:right w:val="single" w:sz="4" w:space="0" w:color="auto"/>
            </w:tcBorders>
            <w:shd w:val="clear" w:color="000000" w:fill="BFBFBF"/>
            <w:noWrap/>
            <w:vAlign w:val="center"/>
            <w:hideMark/>
          </w:tcPr>
          <w:p w:rsidR="00965B36" w:rsidRPr="00965B36" w:rsidRDefault="00965B36" w:rsidP="00965B36">
            <w:pPr>
              <w:spacing w:after="0" w:line="240" w:lineRule="auto"/>
              <w:rPr>
                <w:rFonts w:eastAsia="Times New Roman" w:cs="Times New Roman"/>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rPr>
                <w:rFonts w:eastAsia="Times New Roman" w:cs="Times New Roman"/>
                <w:color w:val="000000"/>
                <w:sz w:val="18"/>
                <w:szCs w:val="18"/>
              </w:rPr>
            </w:pPr>
          </w:p>
        </w:tc>
      </w:tr>
    </w:tbl>
    <w:p w:rsidR="00965B36" w:rsidRPr="00965B36" w:rsidRDefault="00965B36" w:rsidP="00965B36">
      <w:pPr>
        <w:ind w:left="708"/>
        <w:rPr>
          <w:sz w:val="20"/>
          <w:szCs w:val="20"/>
        </w:rPr>
      </w:pPr>
      <w:r w:rsidRPr="00965B36">
        <w:rPr>
          <w:sz w:val="20"/>
          <w:szCs w:val="20"/>
        </w:rPr>
        <w:t>Source : atelier participatif CART de novembre 2014 à Inongo. Mission BioCf</w:t>
      </w:r>
      <w:r w:rsidRPr="00965B36">
        <w:rPr>
          <w:i/>
          <w:sz w:val="20"/>
          <w:szCs w:val="20"/>
        </w:rPr>
        <w:t>plus</w:t>
      </w:r>
      <w:r w:rsidRPr="00965B36">
        <w:rPr>
          <w:sz w:val="20"/>
          <w:szCs w:val="20"/>
        </w:rPr>
        <w:t>.</w:t>
      </w: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L’une des sources de revenu principale des PA est le « coup de main », travail journalier à la tâche. La superficie d’une tâche varie beaucoup dans la Province, entre « 100 carré » et « 200 carré »</w:t>
      </w:r>
      <w:r w:rsidRPr="00965B36">
        <w:rPr>
          <w:rStyle w:val="FootnoteReference"/>
          <w:rFonts w:asciiTheme="minorHAnsi" w:hAnsiTheme="minorHAnsi"/>
          <w:sz w:val="20"/>
          <w:szCs w:val="20"/>
        </w:rPr>
        <w:footnoteReference w:id="56"/>
      </w:r>
      <w:r w:rsidRPr="00965B36">
        <w:rPr>
          <w:rFonts w:asciiTheme="minorHAnsi" w:hAnsiTheme="minorHAnsi"/>
          <w:sz w:val="20"/>
          <w:szCs w:val="20"/>
        </w:rPr>
        <w:t xml:space="preserve">. Le </w:t>
      </w:r>
      <w:r w:rsidR="00B20F29">
        <w:rPr>
          <w:rFonts w:asciiTheme="minorHAnsi" w:hAnsiTheme="minorHAnsi"/>
          <w:sz w:val="20"/>
          <w:szCs w:val="20"/>
        </w:rPr>
        <w:t xml:space="preserve">tableau ci-dessous </w:t>
      </w:r>
      <w:r w:rsidRPr="00965B36">
        <w:rPr>
          <w:rFonts w:asciiTheme="minorHAnsi" w:hAnsiTheme="minorHAnsi"/>
          <w:sz w:val="20"/>
          <w:szCs w:val="20"/>
        </w:rPr>
        <w:t xml:space="preserve">fournit une vision comparative d’ensemble des coûts d’opportunité de la production agricole dans le </w:t>
      </w:r>
      <w:r w:rsidR="00DD03A6">
        <w:rPr>
          <w:rFonts w:asciiTheme="minorHAnsi" w:hAnsiTheme="minorHAnsi"/>
          <w:sz w:val="20"/>
          <w:szCs w:val="20"/>
        </w:rPr>
        <w:t>Mai-Ndombe</w:t>
      </w:r>
      <w:r w:rsidRPr="00965B36">
        <w:rPr>
          <w:rFonts w:asciiTheme="minorHAnsi" w:hAnsiTheme="minorHAnsi"/>
          <w:sz w:val="20"/>
          <w:szCs w:val="20"/>
        </w:rPr>
        <w:t>, sachant que les prix payés pour les tâches sont les mêmes pour les bantous (s’ils deviennent journaliers ce qui est rare dans les villages où il y a des PA) et les pygmées</w:t>
      </w:r>
      <w:r w:rsidRPr="00965B36">
        <w:rPr>
          <w:rStyle w:val="FootnoteReference"/>
          <w:rFonts w:asciiTheme="minorHAnsi" w:hAnsiTheme="minorHAnsi"/>
          <w:sz w:val="20"/>
          <w:szCs w:val="20"/>
        </w:rPr>
        <w:footnoteReference w:id="57"/>
      </w:r>
      <w:r w:rsidRPr="00965B36">
        <w:rPr>
          <w:rFonts w:asciiTheme="minorHAnsi" w:hAnsiTheme="minorHAnsi"/>
          <w:sz w:val="20"/>
          <w:szCs w:val="20"/>
        </w:rPr>
        <w:t xml:space="preserve">. L’hectare complet travaillé représente 725 000 FC soit entre 1,5 et 2 dollars la journée travaillée (en comptant 450 journées de travail par ha). Le prix est identique dans tous les pays où l’unité de paiement de référence est le prix de la corbeille de tubercules de manioc. Dans le Territoire de Kiri, le tarif diffère avec l’unité de paiement, la bouteille de Lotoko. Là le prix du travail est inférieur de moitié. Rien ne justifie cela. Kiri est relativement proche de Mbandaka, un grand marché, les prix des produits importés sont identiques à ceux d’Inongo etc. Il semble bien, à travers cet exemple qu’une discrimination marquée affecte ce Territoire quant à la rémunération de la main d’œuvre (qui est presqu’exclusivement PA). C’est pourtant le Territoire où les accusations de fainéantise à l’égard des PA sont les plus fréquentes et où le travail agricole des bantous, le plus rare. </w:t>
      </w:r>
    </w:p>
    <w:p w:rsidR="00965B36" w:rsidRPr="00965B36" w:rsidRDefault="0039694C" w:rsidP="00965B36">
      <w:pPr>
        <w:pStyle w:val="Caption"/>
        <w:spacing w:after="0"/>
        <w:ind w:left="708"/>
        <w:jc w:val="center"/>
        <w:rPr>
          <w:sz w:val="20"/>
          <w:szCs w:val="20"/>
        </w:rPr>
      </w:pPr>
      <w:bookmarkStart w:id="81" w:name="_Ref414352570"/>
      <w:bookmarkStart w:id="82" w:name="_Toc420681613"/>
      <w:r>
        <w:rPr>
          <w:sz w:val="20"/>
          <w:szCs w:val="20"/>
        </w:rPr>
        <w:t>P</w:t>
      </w:r>
      <w:bookmarkEnd w:id="81"/>
      <w:r w:rsidR="00965B36" w:rsidRPr="00965B36">
        <w:rPr>
          <w:sz w:val="20"/>
          <w:szCs w:val="20"/>
        </w:rPr>
        <w:t xml:space="preserve">rix du travail agricole dans le district du </w:t>
      </w:r>
      <w:r w:rsidR="00DD03A6">
        <w:rPr>
          <w:sz w:val="20"/>
          <w:szCs w:val="20"/>
        </w:rPr>
        <w:t>Mai-Ndombe</w:t>
      </w:r>
      <w:bookmarkEnd w:id="82"/>
    </w:p>
    <w:tbl>
      <w:tblPr>
        <w:tblW w:w="7139" w:type="dxa"/>
        <w:jc w:val="center"/>
        <w:tblCellMar>
          <w:left w:w="70" w:type="dxa"/>
          <w:right w:w="70" w:type="dxa"/>
        </w:tblCellMar>
        <w:tblLook w:val="04A0" w:firstRow="1" w:lastRow="0" w:firstColumn="1" w:lastColumn="0" w:noHBand="0" w:noVBand="1"/>
      </w:tblPr>
      <w:tblGrid>
        <w:gridCol w:w="252"/>
        <w:gridCol w:w="2695"/>
        <w:gridCol w:w="1012"/>
        <w:gridCol w:w="1153"/>
        <w:gridCol w:w="884"/>
        <w:gridCol w:w="1143"/>
      </w:tblGrid>
      <w:tr w:rsidR="00965B36" w:rsidRPr="00965B36" w:rsidTr="00965B36">
        <w:trPr>
          <w:trHeight w:val="300"/>
          <w:jc w:val="center"/>
        </w:trPr>
        <w:tc>
          <w:tcPr>
            <w:tcW w:w="7139" w:type="dxa"/>
            <w:gridSpan w:val="6"/>
            <w:tcBorders>
              <w:top w:val="nil"/>
              <w:left w:val="nil"/>
              <w:bottom w:val="nil"/>
              <w:right w:val="nil"/>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xml:space="preserve">ramené à la tâche Badia, soit 400 m2 (20x20 m, 400 m2, 25 tâches par ha) </w:t>
            </w:r>
          </w:p>
        </w:tc>
      </w:tr>
      <w:tr w:rsidR="00965B36" w:rsidRPr="00965B36" w:rsidTr="00965B36">
        <w:trPr>
          <w:trHeight w:val="600"/>
          <w:jc w:val="center"/>
        </w:trPr>
        <w:tc>
          <w:tcPr>
            <w:tcW w:w="25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65B36" w:rsidRPr="00965B36" w:rsidRDefault="00965B36" w:rsidP="00965B36">
            <w:pPr>
              <w:spacing w:after="0" w:line="240" w:lineRule="auto"/>
              <w:rPr>
                <w:rFonts w:eastAsia="Times New Roman" w:cs="Times New Roman"/>
                <w:b/>
                <w:color w:val="000000"/>
                <w:sz w:val="18"/>
                <w:szCs w:val="18"/>
              </w:rPr>
            </w:pPr>
            <w:r w:rsidRPr="00965B36">
              <w:rPr>
                <w:rFonts w:eastAsia="Times New Roman" w:cs="Times New Roman"/>
                <w:b/>
                <w:color w:val="000000"/>
                <w:sz w:val="18"/>
                <w:szCs w:val="18"/>
              </w:rPr>
              <w:t> </w:t>
            </w:r>
          </w:p>
        </w:tc>
        <w:tc>
          <w:tcPr>
            <w:tcW w:w="269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65B36" w:rsidRPr="00965B36" w:rsidRDefault="00965B36" w:rsidP="00965B36">
            <w:pPr>
              <w:spacing w:after="0" w:line="240" w:lineRule="auto"/>
              <w:rPr>
                <w:rFonts w:eastAsia="Times New Roman" w:cs="Times New Roman"/>
                <w:b/>
                <w:color w:val="000000"/>
                <w:sz w:val="18"/>
                <w:szCs w:val="18"/>
              </w:rPr>
            </w:pPr>
            <w:r w:rsidRPr="00965B36">
              <w:rPr>
                <w:rFonts w:eastAsia="Times New Roman" w:cs="Times New Roman"/>
                <w:b/>
                <w:color w:val="000000"/>
                <w:sz w:val="18"/>
                <w:szCs w:val="18"/>
              </w:rPr>
              <w:t> </w:t>
            </w:r>
          </w:p>
        </w:tc>
        <w:tc>
          <w:tcPr>
            <w:tcW w:w="10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65B36" w:rsidRPr="00965B36" w:rsidRDefault="00965B36" w:rsidP="00965B36">
            <w:pPr>
              <w:spacing w:after="0" w:line="240" w:lineRule="auto"/>
              <w:rPr>
                <w:rFonts w:eastAsia="Times New Roman" w:cs="Times New Roman"/>
                <w:b/>
                <w:color w:val="000000"/>
                <w:sz w:val="18"/>
                <w:szCs w:val="18"/>
              </w:rPr>
            </w:pPr>
            <w:r w:rsidRPr="00965B36">
              <w:rPr>
                <w:rFonts w:eastAsia="Times New Roman" w:cs="Times New Roman"/>
                <w:b/>
                <w:color w:val="000000"/>
                <w:sz w:val="18"/>
                <w:szCs w:val="18"/>
              </w:rPr>
              <w:t>Badia Kutu (*)</w:t>
            </w:r>
          </w:p>
        </w:tc>
        <w:tc>
          <w:tcPr>
            <w:tcW w:w="115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65B36" w:rsidRPr="00965B36" w:rsidRDefault="00965B36" w:rsidP="00965B36">
            <w:pPr>
              <w:spacing w:after="0" w:line="240" w:lineRule="auto"/>
              <w:rPr>
                <w:rFonts w:eastAsia="Times New Roman" w:cs="Times New Roman"/>
                <w:b/>
                <w:color w:val="000000"/>
                <w:sz w:val="18"/>
                <w:szCs w:val="18"/>
              </w:rPr>
            </w:pPr>
            <w:r w:rsidRPr="00965B36">
              <w:rPr>
                <w:rFonts w:eastAsia="Times New Roman" w:cs="Times New Roman"/>
                <w:b/>
                <w:color w:val="000000"/>
                <w:sz w:val="18"/>
                <w:szCs w:val="18"/>
              </w:rPr>
              <w:t>Inongo (*)</w:t>
            </w:r>
          </w:p>
        </w:tc>
        <w:tc>
          <w:tcPr>
            <w:tcW w:w="88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65B36" w:rsidRPr="00965B36" w:rsidRDefault="00965B36" w:rsidP="00965B36">
            <w:pPr>
              <w:spacing w:after="0" w:line="240" w:lineRule="auto"/>
              <w:rPr>
                <w:rFonts w:eastAsia="Times New Roman" w:cs="Times New Roman"/>
                <w:b/>
                <w:color w:val="000000"/>
                <w:sz w:val="18"/>
                <w:szCs w:val="18"/>
              </w:rPr>
            </w:pPr>
            <w:r w:rsidRPr="00965B36">
              <w:rPr>
                <w:rFonts w:eastAsia="Times New Roman" w:cs="Times New Roman"/>
                <w:b/>
                <w:color w:val="000000"/>
                <w:sz w:val="18"/>
                <w:szCs w:val="18"/>
              </w:rPr>
              <w:t>Kiri (**)</w:t>
            </w:r>
          </w:p>
        </w:tc>
        <w:tc>
          <w:tcPr>
            <w:tcW w:w="114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65B36" w:rsidRPr="00965B36" w:rsidRDefault="00965B36" w:rsidP="00965B36">
            <w:pPr>
              <w:spacing w:after="0" w:line="240" w:lineRule="auto"/>
              <w:rPr>
                <w:rFonts w:eastAsia="Times New Roman" w:cs="Times New Roman"/>
                <w:b/>
                <w:color w:val="000000"/>
                <w:sz w:val="18"/>
                <w:szCs w:val="18"/>
              </w:rPr>
            </w:pPr>
            <w:r w:rsidRPr="00965B36">
              <w:rPr>
                <w:rFonts w:eastAsia="Times New Roman" w:cs="Times New Roman"/>
                <w:b/>
                <w:color w:val="000000"/>
                <w:sz w:val="18"/>
                <w:szCs w:val="18"/>
              </w:rPr>
              <w:t>Oshwe (*)</w:t>
            </w:r>
          </w:p>
        </w:tc>
      </w:tr>
      <w:tr w:rsidR="00965B36" w:rsidRPr="00965B36" w:rsidTr="00965B36">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w:t>
            </w:r>
          </w:p>
        </w:tc>
        <w:tc>
          <w:tcPr>
            <w:tcW w:w="2695" w:type="dxa"/>
            <w:tcBorders>
              <w:top w:val="nil"/>
              <w:left w:val="nil"/>
              <w:bottom w:val="single" w:sz="4" w:space="0" w:color="auto"/>
              <w:right w:val="single" w:sz="4" w:space="0" w:color="auto"/>
            </w:tcBorders>
            <w:shd w:val="clear" w:color="auto" w:fill="auto"/>
            <w:noWrap/>
            <w:vAlign w:val="bottom"/>
            <w:hideMark/>
          </w:tcPr>
          <w:p w:rsidR="00965B36" w:rsidRPr="00965B36" w:rsidRDefault="0039694C" w:rsidP="00965B36">
            <w:pPr>
              <w:spacing w:after="0" w:line="240" w:lineRule="auto"/>
              <w:rPr>
                <w:rFonts w:eastAsia="Times New Roman" w:cs="Times New Roman"/>
                <w:color w:val="000000"/>
                <w:sz w:val="18"/>
                <w:szCs w:val="18"/>
              </w:rPr>
            </w:pPr>
            <w:r>
              <w:rPr>
                <w:rFonts w:eastAsia="Times New Roman" w:cs="Times New Roman"/>
                <w:color w:val="000000"/>
                <w:sz w:val="18"/>
                <w:szCs w:val="18"/>
              </w:rPr>
              <w:t>D</w:t>
            </w:r>
            <w:r w:rsidR="00965B36" w:rsidRPr="00965B36">
              <w:rPr>
                <w:rFonts w:eastAsia="Times New Roman" w:cs="Times New Roman"/>
                <w:color w:val="000000"/>
                <w:sz w:val="18"/>
                <w:szCs w:val="18"/>
              </w:rPr>
              <w:t>éfrichement (Lobenzi)</w:t>
            </w:r>
          </w:p>
        </w:tc>
        <w:tc>
          <w:tcPr>
            <w:tcW w:w="1012"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c>
          <w:tcPr>
            <w:tcW w:w="115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c>
          <w:tcPr>
            <w:tcW w:w="884"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1600</w:t>
            </w:r>
          </w:p>
        </w:tc>
        <w:tc>
          <w:tcPr>
            <w:tcW w:w="114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r>
      <w:tr w:rsidR="00965B36" w:rsidRPr="00965B36" w:rsidTr="00965B36">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w:t>
            </w:r>
          </w:p>
        </w:tc>
        <w:tc>
          <w:tcPr>
            <w:tcW w:w="2695" w:type="dxa"/>
            <w:tcBorders>
              <w:top w:val="nil"/>
              <w:left w:val="nil"/>
              <w:bottom w:val="single" w:sz="4" w:space="0" w:color="auto"/>
              <w:right w:val="single" w:sz="4" w:space="0" w:color="auto"/>
            </w:tcBorders>
            <w:shd w:val="clear" w:color="auto" w:fill="auto"/>
            <w:noWrap/>
            <w:vAlign w:val="bottom"/>
            <w:hideMark/>
          </w:tcPr>
          <w:p w:rsidR="00965B36" w:rsidRPr="00965B36" w:rsidRDefault="0039694C" w:rsidP="00965B36">
            <w:pPr>
              <w:spacing w:after="0" w:line="240" w:lineRule="auto"/>
              <w:rPr>
                <w:rFonts w:eastAsia="Times New Roman" w:cs="Times New Roman"/>
                <w:color w:val="000000"/>
                <w:sz w:val="18"/>
                <w:szCs w:val="18"/>
              </w:rPr>
            </w:pPr>
            <w:r>
              <w:rPr>
                <w:rFonts w:eastAsia="Times New Roman" w:cs="Times New Roman"/>
                <w:color w:val="000000"/>
                <w:sz w:val="18"/>
                <w:szCs w:val="18"/>
              </w:rPr>
              <w:t>A</w:t>
            </w:r>
            <w:r w:rsidR="00965B36" w:rsidRPr="00965B36">
              <w:rPr>
                <w:rFonts w:eastAsia="Times New Roman" w:cs="Times New Roman"/>
                <w:color w:val="000000"/>
                <w:sz w:val="18"/>
                <w:szCs w:val="18"/>
              </w:rPr>
              <w:t>battage</w:t>
            </w:r>
          </w:p>
        </w:tc>
        <w:tc>
          <w:tcPr>
            <w:tcW w:w="1012"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8000</w:t>
            </w:r>
          </w:p>
        </w:tc>
        <w:tc>
          <w:tcPr>
            <w:tcW w:w="115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8000</w:t>
            </w:r>
          </w:p>
        </w:tc>
        <w:tc>
          <w:tcPr>
            <w:tcW w:w="884"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3200</w:t>
            </w:r>
          </w:p>
        </w:tc>
        <w:tc>
          <w:tcPr>
            <w:tcW w:w="114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8000</w:t>
            </w:r>
          </w:p>
        </w:tc>
      </w:tr>
      <w:tr w:rsidR="00965B36" w:rsidRPr="00965B36" w:rsidTr="00965B36">
        <w:trPr>
          <w:trHeight w:val="365"/>
          <w:jc w:val="center"/>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w:t>
            </w:r>
          </w:p>
        </w:tc>
        <w:tc>
          <w:tcPr>
            <w:tcW w:w="2695" w:type="dxa"/>
            <w:tcBorders>
              <w:top w:val="nil"/>
              <w:left w:val="nil"/>
              <w:bottom w:val="single" w:sz="4" w:space="0" w:color="auto"/>
              <w:right w:val="single" w:sz="4" w:space="0" w:color="auto"/>
            </w:tcBorders>
            <w:shd w:val="clear" w:color="auto" w:fill="auto"/>
            <w:vAlign w:val="bottom"/>
            <w:hideMark/>
          </w:tcPr>
          <w:p w:rsidR="00965B36" w:rsidRPr="00965B36" w:rsidRDefault="0039694C" w:rsidP="00965B36">
            <w:pPr>
              <w:spacing w:after="0" w:line="240" w:lineRule="auto"/>
              <w:rPr>
                <w:rFonts w:eastAsia="Times New Roman" w:cs="Times New Roman"/>
                <w:color w:val="000000"/>
                <w:sz w:val="18"/>
                <w:szCs w:val="18"/>
              </w:rPr>
            </w:pPr>
            <w:r>
              <w:rPr>
                <w:rFonts w:eastAsia="Times New Roman" w:cs="Times New Roman"/>
                <w:color w:val="000000"/>
                <w:sz w:val="18"/>
                <w:szCs w:val="18"/>
              </w:rPr>
              <w:t>L</w:t>
            </w:r>
            <w:r w:rsidR="00965B36" w:rsidRPr="00965B36">
              <w:rPr>
                <w:rFonts w:eastAsia="Times New Roman" w:cs="Times New Roman"/>
                <w:color w:val="000000"/>
                <w:sz w:val="18"/>
                <w:szCs w:val="18"/>
              </w:rPr>
              <w:t>abour à la houe et plantation (+ 500 si apport de bouture)</w:t>
            </w:r>
          </w:p>
        </w:tc>
        <w:tc>
          <w:tcPr>
            <w:tcW w:w="1012"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c>
          <w:tcPr>
            <w:tcW w:w="1153"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c>
          <w:tcPr>
            <w:tcW w:w="884"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1600</w:t>
            </w:r>
          </w:p>
        </w:tc>
        <w:tc>
          <w:tcPr>
            <w:tcW w:w="1143"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r>
      <w:tr w:rsidR="00965B36" w:rsidRPr="00965B36" w:rsidTr="00965B36">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w:t>
            </w:r>
          </w:p>
        </w:tc>
        <w:tc>
          <w:tcPr>
            <w:tcW w:w="2695" w:type="dxa"/>
            <w:tcBorders>
              <w:top w:val="nil"/>
              <w:left w:val="nil"/>
              <w:bottom w:val="single" w:sz="4" w:space="0" w:color="auto"/>
              <w:right w:val="single" w:sz="4" w:space="0" w:color="auto"/>
            </w:tcBorders>
            <w:shd w:val="clear" w:color="auto" w:fill="auto"/>
            <w:noWrap/>
            <w:vAlign w:val="bottom"/>
            <w:hideMark/>
          </w:tcPr>
          <w:p w:rsidR="00965B36" w:rsidRPr="00965B36" w:rsidRDefault="0039694C" w:rsidP="00965B36">
            <w:pPr>
              <w:spacing w:after="0" w:line="240" w:lineRule="auto"/>
              <w:rPr>
                <w:rFonts w:eastAsia="Times New Roman" w:cs="Times New Roman"/>
                <w:color w:val="000000"/>
                <w:sz w:val="18"/>
                <w:szCs w:val="18"/>
              </w:rPr>
            </w:pPr>
            <w:r>
              <w:rPr>
                <w:rFonts w:eastAsia="Times New Roman" w:cs="Times New Roman"/>
                <w:color w:val="000000"/>
                <w:sz w:val="18"/>
                <w:szCs w:val="18"/>
              </w:rPr>
              <w:t>S</w:t>
            </w:r>
            <w:r w:rsidR="00965B36" w:rsidRPr="00965B36">
              <w:rPr>
                <w:rFonts w:eastAsia="Times New Roman" w:cs="Times New Roman"/>
                <w:color w:val="000000"/>
                <w:sz w:val="18"/>
                <w:szCs w:val="18"/>
              </w:rPr>
              <w:t>arclage (2)</w:t>
            </w:r>
          </w:p>
        </w:tc>
        <w:tc>
          <w:tcPr>
            <w:tcW w:w="1012"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c>
          <w:tcPr>
            <w:tcW w:w="115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c>
          <w:tcPr>
            <w:tcW w:w="884"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1600</w:t>
            </w:r>
          </w:p>
        </w:tc>
        <w:tc>
          <w:tcPr>
            <w:tcW w:w="114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4000</w:t>
            </w:r>
          </w:p>
        </w:tc>
      </w:tr>
      <w:tr w:rsidR="00965B36" w:rsidRPr="00965B36" w:rsidTr="00965B36">
        <w:trPr>
          <w:trHeight w:val="461"/>
          <w:jc w:val="center"/>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5</w:t>
            </w:r>
          </w:p>
        </w:tc>
        <w:tc>
          <w:tcPr>
            <w:tcW w:w="2695" w:type="dxa"/>
            <w:tcBorders>
              <w:top w:val="nil"/>
              <w:left w:val="nil"/>
              <w:bottom w:val="single" w:sz="4" w:space="0" w:color="auto"/>
              <w:right w:val="single" w:sz="4" w:space="0" w:color="auto"/>
            </w:tcBorders>
            <w:shd w:val="clear" w:color="auto" w:fill="auto"/>
            <w:vAlign w:val="bottom"/>
            <w:hideMark/>
          </w:tcPr>
          <w:p w:rsidR="00965B36" w:rsidRPr="00965B36" w:rsidRDefault="0039694C" w:rsidP="00965B36">
            <w:pPr>
              <w:spacing w:after="0" w:line="240" w:lineRule="auto"/>
              <w:rPr>
                <w:rFonts w:eastAsia="Times New Roman" w:cs="Times New Roman"/>
                <w:color w:val="000000"/>
                <w:sz w:val="18"/>
                <w:szCs w:val="18"/>
              </w:rPr>
            </w:pPr>
            <w:r>
              <w:rPr>
                <w:rFonts w:eastAsia="Times New Roman" w:cs="Times New Roman"/>
                <w:color w:val="000000"/>
                <w:sz w:val="18"/>
                <w:szCs w:val="18"/>
              </w:rPr>
              <w:t>R</w:t>
            </w:r>
            <w:r w:rsidR="00965B36" w:rsidRPr="00965B36">
              <w:rPr>
                <w:rFonts w:eastAsia="Times New Roman" w:cs="Times New Roman"/>
                <w:color w:val="000000"/>
                <w:sz w:val="18"/>
                <w:szCs w:val="18"/>
              </w:rPr>
              <w:t>écolte rouissage, séchage, transport (1/3 de la récolte)</w:t>
            </w:r>
          </w:p>
        </w:tc>
        <w:tc>
          <w:tcPr>
            <w:tcW w:w="1012"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9000</w:t>
            </w:r>
          </w:p>
        </w:tc>
        <w:tc>
          <w:tcPr>
            <w:tcW w:w="1153"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9000</w:t>
            </w:r>
          </w:p>
        </w:tc>
        <w:tc>
          <w:tcPr>
            <w:tcW w:w="884"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4500</w:t>
            </w:r>
          </w:p>
        </w:tc>
        <w:tc>
          <w:tcPr>
            <w:tcW w:w="1143" w:type="dxa"/>
            <w:tcBorders>
              <w:top w:val="nil"/>
              <w:left w:val="nil"/>
              <w:bottom w:val="single" w:sz="4" w:space="0" w:color="auto"/>
              <w:right w:val="single" w:sz="4" w:space="0" w:color="auto"/>
            </w:tcBorders>
            <w:shd w:val="clear" w:color="auto" w:fill="auto"/>
            <w:noWrap/>
            <w:vAlign w:val="center"/>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9000</w:t>
            </w:r>
          </w:p>
        </w:tc>
      </w:tr>
      <w:tr w:rsidR="00965B36" w:rsidRPr="00965B36" w:rsidTr="00965B36">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2695" w:type="dxa"/>
            <w:tcBorders>
              <w:top w:val="nil"/>
              <w:left w:val="nil"/>
              <w:bottom w:val="single" w:sz="4" w:space="0" w:color="auto"/>
              <w:right w:val="single" w:sz="4" w:space="0" w:color="auto"/>
            </w:tcBorders>
            <w:shd w:val="clear" w:color="auto" w:fill="auto"/>
            <w:noWrap/>
            <w:vAlign w:val="bottom"/>
            <w:hideMark/>
          </w:tcPr>
          <w:p w:rsidR="00965B36" w:rsidRPr="00965B36" w:rsidRDefault="0039694C" w:rsidP="00965B36">
            <w:pPr>
              <w:spacing w:after="0" w:line="240" w:lineRule="auto"/>
              <w:rPr>
                <w:rFonts w:eastAsia="Times New Roman" w:cs="Times New Roman"/>
                <w:color w:val="000000"/>
                <w:sz w:val="18"/>
                <w:szCs w:val="18"/>
              </w:rPr>
            </w:pPr>
            <w:r>
              <w:rPr>
                <w:rFonts w:eastAsia="Times New Roman" w:cs="Times New Roman"/>
                <w:color w:val="000000"/>
                <w:sz w:val="18"/>
                <w:szCs w:val="18"/>
              </w:rPr>
              <w:t>T</w:t>
            </w:r>
            <w:r w:rsidR="00965B36" w:rsidRPr="00965B36">
              <w:rPr>
                <w:rFonts w:eastAsia="Times New Roman" w:cs="Times New Roman"/>
                <w:color w:val="000000"/>
                <w:sz w:val="18"/>
                <w:szCs w:val="18"/>
              </w:rPr>
              <w:t>otal tâche</w:t>
            </w:r>
          </w:p>
        </w:tc>
        <w:tc>
          <w:tcPr>
            <w:tcW w:w="1012"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29000</w:t>
            </w:r>
          </w:p>
        </w:tc>
        <w:tc>
          <w:tcPr>
            <w:tcW w:w="115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29000</w:t>
            </w:r>
          </w:p>
        </w:tc>
        <w:tc>
          <w:tcPr>
            <w:tcW w:w="884"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12500</w:t>
            </w:r>
          </w:p>
        </w:tc>
        <w:tc>
          <w:tcPr>
            <w:tcW w:w="114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29000</w:t>
            </w:r>
          </w:p>
        </w:tc>
      </w:tr>
      <w:tr w:rsidR="00965B36" w:rsidRPr="00965B36" w:rsidTr="00965B36">
        <w:trPr>
          <w:trHeight w:val="300"/>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w:t>
            </w:r>
          </w:p>
        </w:tc>
        <w:tc>
          <w:tcPr>
            <w:tcW w:w="2695" w:type="dxa"/>
            <w:tcBorders>
              <w:top w:val="nil"/>
              <w:left w:val="nil"/>
              <w:bottom w:val="single" w:sz="4" w:space="0" w:color="auto"/>
              <w:right w:val="single" w:sz="4" w:space="0" w:color="auto"/>
            </w:tcBorders>
            <w:shd w:val="clear" w:color="auto" w:fill="auto"/>
            <w:noWrap/>
            <w:vAlign w:val="bottom"/>
            <w:hideMark/>
          </w:tcPr>
          <w:p w:rsidR="00965B36" w:rsidRPr="00965B36" w:rsidRDefault="0039694C" w:rsidP="00965B36">
            <w:pPr>
              <w:spacing w:after="0" w:line="240" w:lineRule="auto"/>
              <w:rPr>
                <w:rFonts w:eastAsia="Times New Roman" w:cs="Times New Roman"/>
                <w:color w:val="000000"/>
                <w:sz w:val="18"/>
                <w:szCs w:val="18"/>
              </w:rPr>
            </w:pPr>
            <w:r>
              <w:rPr>
                <w:rFonts w:eastAsia="Times New Roman" w:cs="Times New Roman"/>
                <w:color w:val="000000"/>
                <w:sz w:val="18"/>
                <w:szCs w:val="18"/>
              </w:rPr>
              <w:t>T</w:t>
            </w:r>
            <w:r w:rsidR="00965B36" w:rsidRPr="00965B36">
              <w:rPr>
                <w:rFonts w:eastAsia="Times New Roman" w:cs="Times New Roman"/>
                <w:color w:val="000000"/>
                <w:sz w:val="18"/>
                <w:szCs w:val="18"/>
              </w:rPr>
              <w:t xml:space="preserve">otal </w:t>
            </w:r>
            <w:r>
              <w:rPr>
                <w:rFonts w:eastAsia="Times New Roman" w:cs="Times New Roman"/>
                <w:color w:val="000000"/>
                <w:sz w:val="18"/>
                <w:szCs w:val="18"/>
              </w:rPr>
              <w:t xml:space="preserve">par </w:t>
            </w:r>
            <w:r w:rsidR="00965B36" w:rsidRPr="00965B36">
              <w:rPr>
                <w:rFonts w:eastAsia="Times New Roman" w:cs="Times New Roman"/>
                <w:color w:val="000000"/>
                <w:sz w:val="18"/>
                <w:szCs w:val="18"/>
              </w:rPr>
              <w:t>h</w:t>
            </w:r>
            <w:r>
              <w:rPr>
                <w:rFonts w:eastAsia="Times New Roman" w:cs="Times New Roman"/>
                <w:color w:val="000000"/>
                <w:sz w:val="18"/>
                <w:szCs w:val="18"/>
              </w:rPr>
              <w:t>ect</w:t>
            </w:r>
            <w:r w:rsidR="00965B36" w:rsidRPr="00965B36">
              <w:rPr>
                <w:rFonts w:eastAsia="Times New Roman" w:cs="Times New Roman"/>
                <w:color w:val="000000"/>
                <w:sz w:val="18"/>
                <w:szCs w:val="18"/>
              </w:rPr>
              <w:t>a</w:t>
            </w:r>
            <w:r>
              <w:rPr>
                <w:rFonts w:eastAsia="Times New Roman" w:cs="Times New Roman"/>
                <w:color w:val="000000"/>
                <w:sz w:val="18"/>
                <w:szCs w:val="18"/>
              </w:rPr>
              <w:t>re</w:t>
            </w:r>
          </w:p>
        </w:tc>
        <w:tc>
          <w:tcPr>
            <w:tcW w:w="1012"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725000</w:t>
            </w:r>
          </w:p>
        </w:tc>
        <w:tc>
          <w:tcPr>
            <w:tcW w:w="115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725000</w:t>
            </w:r>
          </w:p>
        </w:tc>
        <w:tc>
          <w:tcPr>
            <w:tcW w:w="884"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312500</w:t>
            </w:r>
          </w:p>
        </w:tc>
        <w:tc>
          <w:tcPr>
            <w:tcW w:w="1143" w:type="dxa"/>
            <w:tcBorders>
              <w:top w:val="nil"/>
              <w:left w:val="nil"/>
              <w:bottom w:val="single" w:sz="4" w:space="0" w:color="auto"/>
              <w:right w:val="single" w:sz="4" w:space="0" w:color="auto"/>
            </w:tcBorders>
            <w:shd w:val="clear" w:color="auto" w:fill="auto"/>
            <w:noWrap/>
            <w:vAlign w:val="bottom"/>
            <w:hideMark/>
          </w:tcPr>
          <w:p w:rsidR="00965B36" w:rsidRPr="00965B36" w:rsidRDefault="00965B36" w:rsidP="00965B36">
            <w:pPr>
              <w:spacing w:after="0" w:line="240" w:lineRule="auto"/>
              <w:jc w:val="right"/>
              <w:rPr>
                <w:rFonts w:eastAsia="Times New Roman" w:cs="Times New Roman"/>
                <w:color w:val="000000"/>
                <w:sz w:val="18"/>
                <w:szCs w:val="18"/>
              </w:rPr>
            </w:pPr>
            <w:r w:rsidRPr="00965B36">
              <w:rPr>
                <w:rFonts w:eastAsia="Times New Roman" w:cs="Times New Roman"/>
                <w:color w:val="000000"/>
                <w:sz w:val="18"/>
                <w:szCs w:val="18"/>
              </w:rPr>
              <w:t>725000</w:t>
            </w:r>
          </w:p>
        </w:tc>
      </w:tr>
      <w:tr w:rsidR="00965B36" w:rsidRPr="00965B36" w:rsidTr="00965B36">
        <w:trPr>
          <w:trHeight w:val="207"/>
          <w:jc w:val="center"/>
        </w:trPr>
        <w:tc>
          <w:tcPr>
            <w:tcW w:w="7139"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xml:space="preserve">* </w:t>
            </w:r>
            <w:r w:rsidR="0095561F">
              <w:rPr>
                <w:rFonts w:eastAsia="Times New Roman" w:cs="Times New Roman"/>
                <w:color w:val="000000"/>
                <w:sz w:val="18"/>
                <w:szCs w:val="18"/>
              </w:rPr>
              <w:t>T</w:t>
            </w:r>
            <w:r w:rsidRPr="00965B36">
              <w:rPr>
                <w:rFonts w:eastAsia="Times New Roman" w:cs="Times New Roman"/>
                <w:color w:val="000000"/>
                <w:sz w:val="18"/>
                <w:szCs w:val="18"/>
              </w:rPr>
              <w:t>âche établie sur 20x20 m (400 m2) et indexée sur le prix de la corbeille de tubercules de manioc</w:t>
            </w:r>
          </w:p>
        </w:tc>
      </w:tr>
      <w:tr w:rsidR="00965B36" w:rsidRPr="00965B36" w:rsidTr="00965B36">
        <w:trPr>
          <w:trHeight w:val="140"/>
          <w:jc w:val="center"/>
        </w:trPr>
        <w:tc>
          <w:tcPr>
            <w:tcW w:w="7139" w:type="dxa"/>
            <w:gridSpan w:val="6"/>
            <w:tcBorders>
              <w:top w:val="single" w:sz="4" w:space="0" w:color="auto"/>
              <w:left w:val="single" w:sz="4" w:space="0" w:color="auto"/>
              <w:bottom w:val="single" w:sz="4" w:space="0" w:color="auto"/>
              <w:right w:val="single" w:sz="4" w:space="0" w:color="auto"/>
            </w:tcBorders>
            <w:shd w:val="clear" w:color="auto" w:fill="auto"/>
            <w:hideMark/>
          </w:tcPr>
          <w:p w:rsidR="00965B36" w:rsidRPr="00965B36" w:rsidRDefault="00965B36" w:rsidP="00965B36">
            <w:pPr>
              <w:spacing w:after="0" w:line="240" w:lineRule="auto"/>
              <w:rPr>
                <w:rFonts w:eastAsia="Times New Roman" w:cs="Times New Roman"/>
                <w:color w:val="000000"/>
                <w:sz w:val="18"/>
                <w:szCs w:val="18"/>
              </w:rPr>
            </w:pPr>
            <w:r w:rsidRPr="00965B36">
              <w:rPr>
                <w:rFonts w:eastAsia="Times New Roman" w:cs="Times New Roman"/>
                <w:color w:val="000000"/>
                <w:sz w:val="18"/>
                <w:szCs w:val="18"/>
              </w:rPr>
              <w:t xml:space="preserve">** </w:t>
            </w:r>
            <w:r w:rsidR="0095561F">
              <w:rPr>
                <w:rFonts w:eastAsia="Times New Roman" w:cs="Times New Roman"/>
                <w:color w:val="000000"/>
                <w:sz w:val="18"/>
                <w:szCs w:val="18"/>
              </w:rPr>
              <w:t>T</w:t>
            </w:r>
            <w:r w:rsidRPr="00965B36">
              <w:rPr>
                <w:rFonts w:eastAsia="Times New Roman" w:cs="Times New Roman"/>
                <w:color w:val="000000"/>
                <w:sz w:val="18"/>
                <w:szCs w:val="18"/>
              </w:rPr>
              <w:t>âche établie sur 10x10 m et indexée sur les 3/4 de la bouteille de bière primus de lotoko</w:t>
            </w:r>
          </w:p>
        </w:tc>
      </w:tr>
    </w:tbl>
    <w:p w:rsidR="00965B36" w:rsidRPr="00965B36" w:rsidRDefault="00965B36" w:rsidP="00965B36">
      <w:pPr>
        <w:pStyle w:val="ListParagraph"/>
        <w:tabs>
          <w:tab w:val="num" w:pos="1620"/>
        </w:tabs>
        <w:ind w:left="708"/>
        <w:jc w:val="both"/>
        <w:rPr>
          <w:rFonts w:asciiTheme="minorHAnsi" w:hAnsiTheme="minorHAnsi"/>
          <w:sz w:val="20"/>
          <w:szCs w:val="20"/>
        </w:rPr>
      </w:pPr>
      <w:r w:rsidRPr="00965B36">
        <w:rPr>
          <w:rFonts w:asciiTheme="minorHAnsi" w:hAnsiTheme="minorHAnsi"/>
          <w:sz w:val="20"/>
          <w:szCs w:val="20"/>
        </w:rPr>
        <w:t xml:space="preserve">Source : Mission BioCfplus </w:t>
      </w:r>
      <w:r w:rsidR="00DD03A6">
        <w:rPr>
          <w:rFonts w:asciiTheme="minorHAnsi" w:hAnsiTheme="minorHAnsi"/>
          <w:sz w:val="20"/>
          <w:szCs w:val="20"/>
        </w:rPr>
        <w:t>Mai-Ndombe</w:t>
      </w:r>
      <w:r w:rsidRPr="00965B36">
        <w:rPr>
          <w:rFonts w:asciiTheme="minorHAnsi" w:hAnsiTheme="minorHAnsi"/>
          <w:sz w:val="20"/>
          <w:szCs w:val="20"/>
        </w:rPr>
        <w:t>. Novembre 2014.</w:t>
      </w:r>
    </w:p>
    <w:p w:rsidR="00965B36" w:rsidRPr="00965B36" w:rsidRDefault="00965B36" w:rsidP="00965B36">
      <w:pPr>
        <w:pStyle w:val="ListParagraph"/>
        <w:tabs>
          <w:tab w:val="num" w:pos="1620"/>
        </w:tabs>
        <w:ind w:left="708"/>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Les relations entre les PA du </w:t>
      </w:r>
      <w:r w:rsidR="00EB17C0">
        <w:rPr>
          <w:rFonts w:asciiTheme="minorHAnsi" w:hAnsiTheme="minorHAnsi"/>
          <w:sz w:val="20"/>
          <w:szCs w:val="20"/>
        </w:rPr>
        <w:t>Mai-Ndombe</w:t>
      </w:r>
      <w:r w:rsidR="00E15FEC">
        <w:rPr>
          <w:rFonts w:asciiTheme="minorHAnsi" w:hAnsiTheme="minorHAnsi"/>
          <w:sz w:val="20"/>
          <w:szCs w:val="20"/>
        </w:rPr>
        <w:t xml:space="preserve"> </w:t>
      </w:r>
      <w:r w:rsidRPr="00965B36">
        <w:rPr>
          <w:rFonts w:asciiTheme="minorHAnsi" w:hAnsiTheme="minorHAnsi"/>
          <w:sz w:val="20"/>
          <w:szCs w:val="20"/>
        </w:rPr>
        <w:t xml:space="preserve">sont ainsi souvent marquées par la complémentarité et la frustration. Complémentarité sur les activités économiques et la commercialisation de leurs produits (les PA achètent du manioc et les bantous du gibier, du miel, de l’huile et autres produits de cueillette), complémentarité culturelle également, grâce aux festivités musicales et partagées, complémentarité dans l’approvisionnement en produits de la pharmacopée traditionnelle. Frustration sur la rémunération de la main d’œuvre, on vient de le voir, et surtout sur les relations interpersonnelles, toujours marquées par la </w:t>
      </w:r>
      <w:r w:rsidRPr="00965B36">
        <w:rPr>
          <w:rFonts w:asciiTheme="minorHAnsi" w:hAnsiTheme="minorHAnsi"/>
          <w:sz w:val="20"/>
          <w:szCs w:val="20"/>
        </w:rPr>
        <w:lastRenderedPageBreak/>
        <w:t>domination et le dédain, qui ne se manifeste jamais autant que dans les relations amoureuses très inégalitaires, autorisées seulement entre les hommes bantous et les femmes pygmées, mais point dans l’autre sens</w:t>
      </w:r>
      <w:r w:rsidRPr="00965B36">
        <w:rPr>
          <w:rStyle w:val="FootnoteReference"/>
          <w:rFonts w:asciiTheme="minorHAnsi" w:hAnsiTheme="minorHAnsi"/>
          <w:sz w:val="20"/>
          <w:szCs w:val="20"/>
        </w:rPr>
        <w:footnoteReference w:id="58"/>
      </w:r>
      <w:r w:rsidRPr="00965B36">
        <w:rPr>
          <w:rFonts w:asciiTheme="minorHAnsi" w:hAnsiTheme="minorHAnsi"/>
          <w:sz w:val="20"/>
          <w:szCs w:val="20"/>
        </w:rPr>
        <w:t xml:space="preserve">. Même si chacun observe et reconnaît des évolutions, les pygmées restent à part, et les tabous qui les affectent sont bien présents, comme celui portant sur la nourriture préparée par eux. </w:t>
      </w:r>
    </w:p>
    <w:p w:rsidR="00965B36" w:rsidRPr="00965B36" w:rsidRDefault="00965B36" w:rsidP="00965B36">
      <w:pPr>
        <w:pStyle w:val="ListParagraph"/>
        <w:tabs>
          <w:tab w:val="num" w:pos="1620"/>
        </w:tabs>
        <w:spacing w:before="240"/>
        <w:ind w:left="426"/>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Si les PA subissent des frustrations, ils les expriment haut et fort, c’est une particularité générale qui mérite d’être soulignée. La population pygmée du </w:t>
      </w:r>
      <w:r w:rsidR="00EB17C0">
        <w:rPr>
          <w:rFonts w:asciiTheme="minorHAnsi" w:hAnsiTheme="minorHAnsi"/>
          <w:sz w:val="20"/>
          <w:szCs w:val="20"/>
        </w:rPr>
        <w:t>Mai-Ndombe</w:t>
      </w:r>
      <w:r w:rsidR="00E15FEC">
        <w:rPr>
          <w:rFonts w:asciiTheme="minorHAnsi" w:hAnsiTheme="minorHAnsi"/>
          <w:sz w:val="20"/>
          <w:szCs w:val="20"/>
        </w:rPr>
        <w:t xml:space="preserve"> </w:t>
      </w:r>
      <w:r w:rsidRPr="00965B36">
        <w:rPr>
          <w:rFonts w:asciiTheme="minorHAnsi" w:hAnsiTheme="minorHAnsi"/>
          <w:sz w:val="20"/>
          <w:szCs w:val="20"/>
        </w:rPr>
        <w:t>n’est pas du tout enfermée dans un silence victimaire. Tout au contraire, elle se plaint et formule haut et fort ses revendications</w:t>
      </w:r>
      <w:r w:rsidRPr="00965B36">
        <w:rPr>
          <w:rStyle w:val="FootnoteReference"/>
          <w:rFonts w:asciiTheme="minorHAnsi" w:hAnsiTheme="minorHAnsi"/>
          <w:sz w:val="20"/>
          <w:szCs w:val="20"/>
        </w:rPr>
        <w:footnoteReference w:id="59"/>
      </w:r>
      <w:r w:rsidRPr="00965B36">
        <w:rPr>
          <w:rFonts w:asciiTheme="minorHAnsi" w:hAnsiTheme="minorHAnsi"/>
          <w:sz w:val="20"/>
          <w:szCs w:val="20"/>
        </w:rPr>
        <w:t>, y compris devant les chefs de Groupement et les autorités, et ils saisissent toutes les occasions pour ce faire. Ils s’organisent également, multiplient les associations villageoises, se dotent de chefs de collectivités, et, à part l’exemple d’Inongo, ou un conflit existe entre celui qui se présentait encore récemment comme leur représentant sans l’être, ils reconnaissent et apprécient les personnes qu’ils ont désignées pour être les points focaux du Repalef et les membres du Comité de Pilotage du DGM.</w:t>
      </w:r>
    </w:p>
    <w:p w:rsidR="00965B36" w:rsidRPr="00965B36" w:rsidRDefault="00965B36" w:rsidP="00965B36">
      <w:pPr>
        <w:pStyle w:val="ListParagrap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Il est un domaine pour lequel les Pygmées sont en position de faiblesse et cela est reconnu unanimement par les bantous éduqués, les autorités administratives, les associations religieuses et la société civile, c’est celui de la justice. Il est reconnu qu’ils perdent systématiquement en justice, notamment sur les affaires foncières et de jouissance qui les opposent aux bantous, notamment dans le périurbain. Il semble que de ce côté, ils ne disposent pas des mêmes arguments convaincants que ceux des bantous pour faire valoir leurs droits et résister aux abus dont ils sont victimes (refus de payer les redevances foncières de leurs locataires, refus d’appliquer les dispositions des accords d’usufruits de leurs plantations etc.). </w:t>
      </w:r>
    </w:p>
    <w:p w:rsidR="00965B36" w:rsidRPr="00965B36" w:rsidRDefault="00965B36" w:rsidP="00965B36">
      <w:pPr>
        <w:pStyle w:val="ListParagraph"/>
        <w:tabs>
          <w:tab w:val="num" w:pos="1620"/>
        </w:tabs>
        <w:spacing w:before="240"/>
        <w:ind w:left="426"/>
        <w:jc w:val="both"/>
        <w:rPr>
          <w:rFonts w:asciiTheme="minorHAnsi" w:hAnsiTheme="minorHAnsi"/>
          <w:sz w:val="20"/>
          <w:szCs w:val="20"/>
        </w:rPr>
      </w:pPr>
    </w:p>
    <w:p w:rsidR="00965B36" w:rsidRPr="00965B36" w:rsidRDefault="00965B36" w:rsidP="002E3A02">
      <w:pPr>
        <w:pStyle w:val="ListParagraph"/>
        <w:numPr>
          <w:ilvl w:val="0"/>
          <w:numId w:val="55"/>
        </w:numPr>
        <w:autoSpaceDE w:val="0"/>
        <w:autoSpaceDN w:val="0"/>
        <w:adjustRightInd w:val="0"/>
        <w:spacing w:before="240" w:after="200"/>
        <w:contextualSpacing/>
        <w:jc w:val="both"/>
        <w:rPr>
          <w:rFonts w:asciiTheme="minorHAnsi" w:hAnsiTheme="minorHAnsi"/>
          <w:sz w:val="20"/>
          <w:szCs w:val="20"/>
        </w:rPr>
      </w:pPr>
      <w:r w:rsidRPr="00965B36">
        <w:rPr>
          <w:rFonts w:asciiTheme="minorHAnsi" w:hAnsiTheme="minorHAnsi"/>
          <w:sz w:val="20"/>
          <w:szCs w:val="20"/>
        </w:rPr>
        <w:t xml:space="preserve">Si l’accès des PA à la terre paraît ne pas les distinguer des autres habitants de la Province, comme celui qui les lie à la citoyenneté (ils se sont enrôlés en masse, dans toute la Province, et ils exercent effectivement leur droit de vote), il en est tout autrement pour les services de santé et d’éducation. Dans ces domaines, les indicateurs sont au rouge : taux de scolarité primaire inférieur de 10% et plus à celui des enfants bantous (qui eux doivent payer le minerval et sont très souvent exclus du système scolaire faute d’en être capables), malgré l’avènement de la gratuité de l’enseignement pour eux, en 2013, taux de fréquentation des centres de santé également très inférieurs (accouchements à la maternité, nombre de visites aux centres de santé, etc.). L’explication qu’ils donnent eux-mêmes de ces mauvaises performances est toujours la même. Tout d’abord ils excluent d’être victimes d’attitudes de rejet et  d’exclusion de la part des agents bantous des services d’éducation et de santé. Pour eux, dans un premier temps,  l’argent leur manquerait, du fait de leur pauvreté. Ceci n’est qu’en partie vrai et on vient de le voir, faux pour la scolarisation des enfants par exemple. Faux pour l’accès aux services de santé également, tant les prix de la santé comme de l’éducation sont peu élevés dans le District. Ils sont de plus établis pour la plupart dans les villages bantous et l’éloignement des écoles ou des maternités n’est pas plus grand pour les PA que pour les bantous. Les PA reconnaissent que la cause principale de la déscolarisation qui les affecte est le peu d’engouement des enfants pour l’école, et le peu d’autorité des parents pour les obliger à la fréquenter. Ils préfèrent suivre des cours de science naturelle avec leurs parents. De même, ils ont une grande confiance dans leur pharmacopée traditionnelle et n’ont nullement le réflexe de se soigner avec des médicaments modernes. A cet égard, leur addiction à l’alcool et au chanvre constitue pour eux un grave problème de santé publique et d’appauvrissement, car il est reconnu par tous et d’abord par eux-mêmes qu’une grande part de leurs revenus est consommée par ces addictions, sans parler de toutes les conséquences sociales et d’image qu’elles génèrent. Leur éloignement des centres de santé les écarte également des messages véhiculés par les centres de santé, par exemple en ce qui concerne les Infections Sexuellement Transmissibles, bien présentes pourtant dans les Territoires, et qui y font des ravages (mais il est vrai que toute la population en est victime et que les performances du système de santé en la matière sont faibles). </w:t>
      </w:r>
    </w:p>
    <w:p w:rsidR="00965B36" w:rsidRPr="00965B36" w:rsidRDefault="00965B36" w:rsidP="00965B36">
      <w:pPr>
        <w:tabs>
          <w:tab w:val="num" w:pos="1620"/>
        </w:tabs>
        <w:spacing w:before="240" w:line="240" w:lineRule="auto"/>
        <w:jc w:val="both"/>
        <w:rPr>
          <w:rFonts w:cs="Times New Roman"/>
          <w:b/>
          <w:sz w:val="20"/>
          <w:szCs w:val="20"/>
        </w:rPr>
      </w:pPr>
      <w:r w:rsidRPr="00965B36">
        <w:rPr>
          <w:rFonts w:cs="Times New Roman"/>
          <w:b/>
          <w:sz w:val="20"/>
          <w:szCs w:val="20"/>
        </w:rPr>
        <w:t xml:space="preserve">Recommandations </w:t>
      </w:r>
    </w:p>
    <w:p w:rsidR="00965B36" w:rsidRPr="00965B36" w:rsidRDefault="00965B36" w:rsidP="00965B36">
      <w:pPr>
        <w:tabs>
          <w:tab w:val="num" w:pos="1620"/>
        </w:tabs>
        <w:spacing w:before="240" w:line="240" w:lineRule="auto"/>
        <w:jc w:val="both"/>
        <w:rPr>
          <w:rFonts w:cs="Times New Roman"/>
          <w:sz w:val="20"/>
          <w:szCs w:val="20"/>
        </w:rPr>
      </w:pPr>
      <w:r w:rsidRPr="00965B36">
        <w:rPr>
          <w:rFonts w:cs="Times New Roman"/>
          <w:sz w:val="20"/>
          <w:szCs w:val="20"/>
        </w:rPr>
        <w:t xml:space="preserve">Les PA d’Inongo disposent de Plans de Développement Peuples autochtones réalisés par le PFCN. Les PA ont participé largement à l’élaboration de ces plans, qui paraissent très orientés vers l’obtention de moyens et </w:t>
      </w:r>
      <w:r w:rsidRPr="00965B36">
        <w:rPr>
          <w:rFonts w:cs="Times New Roman"/>
          <w:sz w:val="20"/>
          <w:szCs w:val="20"/>
        </w:rPr>
        <w:lastRenderedPageBreak/>
        <w:t xml:space="preserve">d’investissements dans les domaines de la santé, de l’éducation, du développement agricole etc. Ces investissements sont nécessaires. Ils valent pour l’ensemble des populations de la région. </w:t>
      </w:r>
    </w:p>
    <w:p w:rsidR="00965B36" w:rsidRPr="00965B36" w:rsidRDefault="00965B36" w:rsidP="00965B36">
      <w:pPr>
        <w:tabs>
          <w:tab w:val="num" w:pos="1620"/>
        </w:tabs>
        <w:spacing w:after="0" w:line="240" w:lineRule="auto"/>
        <w:jc w:val="both"/>
        <w:rPr>
          <w:rFonts w:cs="Times New Roman"/>
          <w:sz w:val="20"/>
          <w:szCs w:val="20"/>
        </w:rPr>
      </w:pPr>
      <w:r w:rsidRPr="00965B36">
        <w:rPr>
          <w:rFonts w:cs="Times New Roman"/>
          <w:sz w:val="20"/>
          <w:szCs w:val="20"/>
        </w:rPr>
        <w:t xml:space="preserve">De l’état des lieux qui vient d’être présenté, en cohérence avec les orientations du Cadre Stratégique National pour les Peuples autochtones pygmées (BM, 2009), on pourrait pour le projet REDD+ du </w:t>
      </w:r>
      <w:r w:rsidR="00EB17C0">
        <w:rPr>
          <w:rFonts w:cs="Times New Roman"/>
          <w:sz w:val="20"/>
          <w:szCs w:val="20"/>
        </w:rPr>
        <w:t>Mai-Ndombe</w:t>
      </w:r>
      <w:r w:rsidR="00E15FEC">
        <w:rPr>
          <w:rFonts w:cs="Times New Roman"/>
          <w:sz w:val="20"/>
          <w:szCs w:val="20"/>
        </w:rPr>
        <w:t xml:space="preserve"> </w:t>
      </w:r>
      <w:r w:rsidRPr="00965B36">
        <w:rPr>
          <w:rFonts w:cs="Times New Roman"/>
          <w:sz w:val="20"/>
          <w:szCs w:val="20"/>
        </w:rPr>
        <w:t>mettre en avant les recommandations suivantes :</w:t>
      </w:r>
    </w:p>
    <w:p w:rsidR="00965B36" w:rsidRPr="00965B36" w:rsidRDefault="00965B36" w:rsidP="002E3A02">
      <w:pPr>
        <w:pStyle w:val="ListParagraph"/>
        <w:numPr>
          <w:ilvl w:val="0"/>
          <w:numId w:val="56"/>
        </w:numPr>
        <w:spacing w:before="240" w:after="200"/>
        <w:contextualSpacing/>
        <w:jc w:val="both"/>
        <w:rPr>
          <w:rFonts w:asciiTheme="minorHAnsi" w:hAnsiTheme="minorHAnsi"/>
          <w:sz w:val="20"/>
          <w:szCs w:val="20"/>
        </w:rPr>
      </w:pPr>
      <w:r w:rsidRPr="00965B36">
        <w:rPr>
          <w:rFonts w:asciiTheme="minorHAnsi" w:hAnsiTheme="minorHAnsi"/>
          <w:sz w:val="20"/>
          <w:szCs w:val="20"/>
        </w:rPr>
        <w:t>Poursuivre et renforcer la pénétration du mouvement associatif au sein de la population PA du District, afin qu’elle dispose elle-même des institutions capables d’analyser les faits sociaux des communautés, de formuler des stratégies adaptées, et de les mettre en œuvre. Ceci est un travail de longue haleine qui pourrait être accompli avec le DGM. Ce travail doit mettre au premier plan la sensibilisation, l’éducation ciblée des PA sur les questions de santé, d’éducation, d’accès aux droits qui sont les leurs. Dans ce dernier domaine, étudier la possibilité de fournir aux PA des conseils  dédiés en matière judiciaire,</w:t>
      </w:r>
    </w:p>
    <w:p w:rsidR="00965B36" w:rsidRPr="00965B36" w:rsidRDefault="00965B36" w:rsidP="00965B36">
      <w:pPr>
        <w:pStyle w:val="ListParagraph"/>
        <w:spacing w:before="240"/>
        <w:ind w:left="1068"/>
        <w:jc w:val="both"/>
        <w:rPr>
          <w:rFonts w:asciiTheme="minorHAnsi" w:hAnsiTheme="minorHAnsi"/>
          <w:sz w:val="20"/>
          <w:szCs w:val="20"/>
        </w:rPr>
      </w:pPr>
    </w:p>
    <w:p w:rsidR="00965B36" w:rsidRPr="00965B36" w:rsidRDefault="00965B36" w:rsidP="002E3A02">
      <w:pPr>
        <w:pStyle w:val="ListParagraph"/>
        <w:numPr>
          <w:ilvl w:val="0"/>
          <w:numId w:val="56"/>
        </w:numPr>
        <w:spacing w:before="240" w:after="200"/>
        <w:contextualSpacing/>
        <w:jc w:val="both"/>
        <w:rPr>
          <w:rFonts w:asciiTheme="minorHAnsi" w:hAnsiTheme="minorHAnsi"/>
          <w:sz w:val="20"/>
          <w:szCs w:val="20"/>
        </w:rPr>
      </w:pPr>
      <w:r w:rsidRPr="00965B36">
        <w:rPr>
          <w:rFonts w:asciiTheme="minorHAnsi" w:hAnsiTheme="minorHAnsi"/>
          <w:sz w:val="20"/>
          <w:szCs w:val="20"/>
        </w:rPr>
        <w:t>Mettre au premier plan des préoccupations éducatives à prendre en charge par le mouvement associatif interne et d’appui aux PA la question des addictions auxquelles les pygmées sont soumis, et les moyens de s’en départir,</w:t>
      </w:r>
    </w:p>
    <w:p w:rsidR="00965B36" w:rsidRPr="00965B36" w:rsidRDefault="00965B36" w:rsidP="002E3A02">
      <w:pPr>
        <w:pStyle w:val="ListParagraph"/>
        <w:numPr>
          <w:ilvl w:val="0"/>
          <w:numId w:val="56"/>
        </w:numPr>
        <w:contextualSpacing/>
        <w:jc w:val="both"/>
        <w:rPr>
          <w:rFonts w:asciiTheme="minorHAnsi" w:hAnsiTheme="minorHAnsi"/>
          <w:sz w:val="20"/>
          <w:szCs w:val="20"/>
        </w:rPr>
      </w:pPr>
      <w:r w:rsidRPr="00965B36">
        <w:rPr>
          <w:rFonts w:asciiTheme="minorHAnsi" w:hAnsiTheme="minorHAnsi"/>
          <w:sz w:val="20"/>
          <w:szCs w:val="20"/>
        </w:rPr>
        <w:t>Veiller à ce que les PA profitent systématiquement et de manière privilégiée des avantages du Projet, en particulier en matière d’investissement sur les plantations de cultures pérennes, susceptibles de fixer leurs droits sur la terre et de leur fournir des revenus réguliers. Intégrer cela clairement dans les Plans de Développement Durables des CLDs et des Secteurs,</w:t>
      </w:r>
    </w:p>
    <w:p w:rsidR="00965B36" w:rsidRPr="00965B36" w:rsidRDefault="00965B36" w:rsidP="00965B36">
      <w:pPr>
        <w:pStyle w:val="ListParagraph"/>
        <w:ind w:left="1068"/>
        <w:jc w:val="both"/>
        <w:rPr>
          <w:rFonts w:asciiTheme="minorHAnsi" w:hAnsiTheme="minorHAnsi"/>
          <w:sz w:val="20"/>
          <w:szCs w:val="20"/>
        </w:rPr>
      </w:pPr>
    </w:p>
    <w:p w:rsidR="00965B36" w:rsidRPr="00965B36" w:rsidRDefault="00965B36" w:rsidP="002E3A02">
      <w:pPr>
        <w:pStyle w:val="ListParagraph"/>
        <w:numPr>
          <w:ilvl w:val="0"/>
          <w:numId w:val="56"/>
        </w:numPr>
        <w:contextualSpacing/>
        <w:jc w:val="both"/>
        <w:rPr>
          <w:rFonts w:asciiTheme="minorHAnsi" w:hAnsiTheme="minorHAnsi"/>
          <w:sz w:val="20"/>
          <w:szCs w:val="20"/>
        </w:rPr>
      </w:pPr>
      <w:r w:rsidRPr="00965B36">
        <w:rPr>
          <w:rFonts w:asciiTheme="minorHAnsi" w:hAnsiTheme="minorHAnsi"/>
          <w:sz w:val="20"/>
          <w:szCs w:val="20"/>
        </w:rPr>
        <w:t xml:space="preserve"> Dans tous les villages mixtes, exiger l’organisation distincte des PA, mais intégrée aux CLD, afin de disposer de représentants légitimes dans les conseils de gestion des CLD et autres niveaux de concertation (dont les CARTs),</w:t>
      </w:r>
    </w:p>
    <w:p w:rsidR="00965B36" w:rsidRPr="00965B36" w:rsidRDefault="00965B36" w:rsidP="00965B36">
      <w:pPr>
        <w:pStyle w:val="ListParagraph"/>
        <w:ind w:left="1068"/>
        <w:jc w:val="both"/>
        <w:rPr>
          <w:rFonts w:asciiTheme="minorHAnsi" w:hAnsiTheme="minorHAnsi"/>
          <w:sz w:val="20"/>
          <w:szCs w:val="20"/>
        </w:rPr>
      </w:pPr>
    </w:p>
    <w:p w:rsidR="00965B36" w:rsidRPr="00965B36" w:rsidRDefault="00965B36" w:rsidP="002E3A02">
      <w:pPr>
        <w:pStyle w:val="ListParagraph"/>
        <w:numPr>
          <w:ilvl w:val="0"/>
          <w:numId w:val="56"/>
        </w:numPr>
        <w:spacing w:before="240" w:after="200"/>
        <w:contextualSpacing/>
        <w:jc w:val="both"/>
        <w:rPr>
          <w:rFonts w:asciiTheme="minorHAnsi" w:hAnsiTheme="minorHAnsi"/>
          <w:sz w:val="20"/>
          <w:szCs w:val="20"/>
        </w:rPr>
      </w:pPr>
      <w:r w:rsidRPr="00965B36">
        <w:rPr>
          <w:rFonts w:asciiTheme="minorHAnsi" w:hAnsiTheme="minorHAnsi"/>
          <w:sz w:val="20"/>
          <w:szCs w:val="20"/>
        </w:rPr>
        <w:t>S’appuyer sur ces organisations distinctes pour créer un système de recours et plaintes spécifique aux PA.</w:t>
      </w:r>
    </w:p>
    <w:p w:rsidR="0002196E" w:rsidRPr="0002196E" w:rsidRDefault="0002196E" w:rsidP="00965B36">
      <w:pPr>
        <w:pStyle w:val="Default"/>
        <w:jc w:val="both"/>
        <w:rPr>
          <w:sz w:val="20"/>
          <w:szCs w:val="20"/>
        </w:rPr>
      </w:pPr>
    </w:p>
    <w:p w:rsidR="0002196E" w:rsidRPr="0002196E" w:rsidRDefault="0002196E" w:rsidP="00761D8E">
      <w:pPr>
        <w:spacing w:after="240"/>
        <w:rPr>
          <w:rFonts w:cs="Times New Roman"/>
          <w:sz w:val="20"/>
          <w:szCs w:val="20"/>
        </w:rPr>
      </w:pPr>
    </w:p>
    <w:p w:rsidR="0002196E" w:rsidRPr="0002196E" w:rsidRDefault="0002196E" w:rsidP="00761D8E">
      <w:pPr>
        <w:spacing w:after="240"/>
        <w:rPr>
          <w:rFonts w:cs="Times New Roman"/>
          <w:sz w:val="20"/>
          <w:szCs w:val="20"/>
        </w:rPr>
      </w:pPr>
    </w:p>
    <w:p w:rsidR="0002196E" w:rsidRPr="0002196E" w:rsidRDefault="0002196E" w:rsidP="00761D8E">
      <w:pPr>
        <w:spacing w:after="240"/>
        <w:rPr>
          <w:rFonts w:cs="Times New Roman"/>
          <w:sz w:val="20"/>
          <w:szCs w:val="20"/>
        </w:rPr>
      </w:pPr>
    </w:p>
    <w:p w:rsidR="008E44E4" w:rsidRPr="00EF6F07" w:rsidRDefault="008E44E4">
      <w:pPr>
        <w:spacing w:after="160" w:line="259" w:lineRule="auto"/>
        <w:rPr>
          <w:rFonts w:cs="Times New Roman"/>
          <w:sz w:val="20"/>
          <w:szCs w:val="20"/>
        </w:rPr>
      </w:pPr>
      <w:r w:rsidRPr="00EF6F07">
        <w:rPr>
          <w:rFonts w:cs="Times New Roman"/>
          <w:sz w:val="20"/>
          <w:szCs w:val="20"/>
        </w:rPr>
        <w:br w:type="page"/>
      </w:r>
    </w:p>
    <w:p w:rsidR="008E44E4" w:rsidRPr="00302B2C" w:rsidRDefault="00302B2C" w:rsidP="00302B2C">
      <w:pPr>
        <w:rPr>
          <w:b/>
          <w:color w:val="2E74B5" w:themeColor="accent1" w:themeShade="BF"/>
        </w:rPr>
      </w:pPr>
      <w:r w:rsidRPr="00302B2C">
        <w:rPr>
          <w:b/>
          <w:color w:val="2E74B5" w:themeColor="accent1" w:themeShade="BF"/>
        </w:rPr>
        <w:lastRenderedPageBreak/>
        <w:t>Annexe 6</w:t>
      </w:r>
      <w:r w:rsidR="008E44E4" w:rsidRPr="00302B2C">
        <w:rPr>
          <w:b/>
          <w:color w:val="2E74B5" w:themeColor="accent1" w:themeShade="BF"/>
        </w:rPr>
        <w:t xml:space="preserve"> - Proposition d’arrangements fiduciaires renforcés pour la supervision des moyens mis en œuvre par l’UC-PI</w:t>
      </w:r>
      <w:r w:rsidRPr="00302B2C">
        <w:rPr>
          <w:b/>
          <w:color w:val="2E74B5" w:themeColor="accent1" w:themeShade="BF"/>
        </w:rPr>
        <w:t>F</w:t>
      </w:r>
    </w:p>
    <w:p w:rsidR="008E44E4" w:rsidRPr="00A31FC5" w:rsidRDefault="008E44E4" w:rsidP="008E44E4">
      <w:pPr>
        <w:rPr>
          <w:sz w:val="20"/>
          <w:szCs w:val="20"/>
        </w:rPr>
      </w:pPr>
      <w:r w:rsidRPr="00A31FC5">
        <w:rPr>
          <w:noProof/>
          <w:sz w:val="20"/>
          <w:szCs w:val="20"/>
        </w:rPr>
        <w:drawing>
          <wp:inline distT="0" distB="0" distL="0" distR="0">
            <wp:extent cx="1847850" cy="361536"/>
            <wp:effectExtent l="0" t="0" r="0" b="635"/>
            <wp:docPr id="21" name="Picture 21" descr="C:\Users\wb447831\Box Sync\CF-Assist\COMMS\Logos\WBG\WBG_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47831\Box Sync\CF-Assist\COMMS\Logos\WBG\WBG_Horizontal-RG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8500" cy="367533"/>
                    </a:xfrm>
                    <a:prstGeom prst="rect">
                      <a:avLst/>
                    </a:prstGeom>
                    <a:noFill/>
                    <a:ln>
                      <a:noFill/>
                    </a:ln>
                  </pic:spPr>
                </pic:pic>
              </a:graphicData>
            </a:graphic>
          </wp:inline>
        </w:drawing>
      </w:r>
      <w:r w:rsidRPr="00A31FC5">
        <w:rPr>
          <w:sz w:val="20"/>
          <w:szCs w:val="20"/>
        </w:rPr>
        <w:tab/>
      </w:r>
      <w:r w:rsidRPr="00A31FC5">
        <w:rPr>
          <w:sz w:val="20"/>
          <w:szCs w:val="20"/>
        </w:rPr>
        <w:tab/>
      </w:r>
      <w:r w:rsidRPr="00A31FC5">
        <w:rPr>
          <w:sz w:val="20"/>
          <w:szCs w:val="20"/>
        </w:rPr>
        <w:tab/>
      </w:r>
      <w:r w:rsidRPr="00A31FC5">
        <w:rPr>
          <w:sz w:val="20"/>
          <w:szCs w:val="20"/>
        </w:rPr>
        <w:tab/>
      </w:r>
      <w:r w:rsidRPr="00A31FC5">
        <w:rPr>
          <w:sz w:val="20"/>
          <w:szCs w:val="20"/>
        </w:rPr>
        <w:tab/>
      </w:r>
      <w:r w:rsidRPr="00A31FC5">
        <w:rPr>
          <w:sz w:val="20"/>
          <w:szCs w:val="20"/>
        </w:rPr>
        <w:tab/>
      </w:r>
      <w:r w:rsidRPr="00A31FC5">
        <w:rPr>
          <w:sz w:val="20"/>
          <w:szCs w:val="20"/>
        </w:rPr>
        <w:tab/>
      </w:r>
    </w:p>
    <w:p w:rsidR="008E44E4" w:rsidRPr="00A31FC5" w:rsidRDefault="008E44E4" w:rsidP="008E44E4">
      <w:pPr>
        <w:jc w:val="right"/>
        <w:rPr>
          <w:sz w:val="20"/>
          <w:szCs w:val="20"/>
          <w:lang w:val="en-US"/>
        </w:rPr>
      </w:pPr>
      <w:r w:rsidRPr="00A31FC5">
        <w:rPr>
          <w:sz w:val="20"/>
          <w:szCs w:val="20"/>
          <w:lang w:val="en-US"/>
        </w:rPr>
        <w:t>June 15, 2016</w:t>
      </w:r>
    </w:p>
    <w:p w:rsidR="008E44E4" w:rsidRPr="00A31FC5" w:rsidRDefault="008E44E4" w:rsidP="008E44E4">
      <w:pPr>
        <w:ind w:left="2160" w:hanging="2160"/>
        <w:rPr>
          <w:rFonts w:cs="Times New Roman"/>
          <w:sz w:val="20"/>
          <w:szCs w:val="20"/>
          <w:lang w:val="en-US"/>
        </w:rPr>
      </w:pPr>
    </w:p>
    <w:p w:rsidR="008E44E4" w:rsidRPr="00A31FC5" w:rsidRDefault="008E44E4" w:rsidP="008E44E4">
      <w:pPr>
        <w:jc w:val="center"/>
        <w:rPr>
          <w:rFonts w:cs="Times New Roman"/>
          <w:sz w:val="20"/>
          <w:szCs w:val="20"/>
          <w:lang w:val="en-US"/>
        </w:rPr>
      </w:pPr>
      <w:r w:rsidRPr="00A31FC5">
        <w:rPr>
          <w:rFonts w:cs="Times New Roman"/>
          <w:sz w:val="20"/>
          <w:szCs w:val="20"/>
          <w:lang w:val="en-US"/>
        </w:rPr>
        <w:t>Fiduciary Arrangements in Support of Project Implementation for the National REDD+ Fund (FONAREDD) in the Democratic Republic of Congo</w:t>
      </w:r>
    </w:p>
    <w:p w:rsidR="008E44E4" w:rsidRPr="00A31FC5" w:rsidRDefault="008E44E4" w:rsidP="008E44E4">
      <w:pPr>
        <w:pBdr>
          <w:bottom w:val="single" w:sz="4" w:space="1" w:color="auto"/>
        </w:pBdr>
        <w:tabs>
          <w:tab w:val="left" w:pos="1140"/>
        </w:tabs>
        <w:spacing w:after="240"/>
        <w:ind w:left="2160" w:hanging="2160"/>
        <w:rPr>
          <w:rFonts w:cs="Times New Roman"/>
          <w:sz w:val="20"/>
          <w:szCs w:val="20"/>
          <w:lang w:val="en-US"/>
        </w:rPr>
      </w:pPr>
    </w:p>
    <w:p w:rsidR="008E44E4" w:rsidRPr="00A31FC5" w:rsidRDefault="008E44E4" w:rsidP="002E3A02">
      <w:pPr>
        <w:pStyle w:val="ListParagraph"/>
        <w:numPr>
          <w:ilvl w:val="0"/>
          <w:numId w:val="24"/>
        </w:numPr>
        <w:spacing w:before="360" w:after="240" w:line="259" w:lineRule="auto"/>
        <w:jc w:val="both"/>
        <w:rPr>
          <w:rFonts w:asciiTheme="minorHAnsi" w:hAnsiTheme="minorHAnsi"/>
          <w:b/>
          <w:color w:val="0070C0"/>
          <w:sz w:val="20"/>
          <w:szCs w:val="20"/>
        </w:rPr>
      </w:pPr>
      <w:r w:rsidRPr="00A31FC5">
        <w:rPr>
          <w:rFonts w:asciiTheme="minorHAnsi" w:hAnsiTheme="minorHAnsi"/>
          <w:b/>
          <w:color w:val="0070C0"/>
          <w:sz w:val="20"/>
          <w:szCs w:val="20"/>
        </w:rPr>
        <w:t>Overview</w:t>
      </w:r>
    </w:p>
    <w:p w:rsidR="008E44E4" w:rsidRPr="00A31FC5" w:rsidRDefault="008E44E4" w:rsidP="008E44E4">
      <w:pPr>
        <w:jc w:val="both"/>
        <w:rPr>
          <w:rFonts w:cs="Times New Roman"/>
          <w:sz w:val="20"/>
          <w:szCs w:val="20"/>
          <w:lang w:val="en-US"/>
        </w:rPr>
      </w:pPr>
      <w:r w:rsidRPr="00A31FC5">
        <w:rPr>
          <w:rFonts w:cs="Times New Roman"/>
          <w:sz w:val="20"/>
          <w:szCs w:val="20"/>
          <w:lang w:val="en-US"/>
        </w:rPr>
        <w:t>This document summarizes the fiduciary mechanisms of the World Bank Group that are in place to ensure the proceeds of any loan</w:t>
      </w:r>
      <w:r w:rsidRPr="00A31FC5">
        <w:rPr>
          <w:rStyle w:val="FootnoteReference"/>
          <w:rFonts w:cs="Times New Roman"/>
          <w:sz w:val="20"/>
          <w:szCs w:val="20"/>
        </w:rPr>
        <w:footnoteReference w:id="60"/>
      </w:r>
      <w:r w:rsidRPr="00A31FC5">
        <w:rPr>
          <w:rFonts w:cs="Times New Roman"/>
          <w:sz w:val="20"/>
          <w:szCs w:val="20"/>
          <w:lang w:val="en-US"/>
        </w:rPr>
        <w:t xml:space="preserve"> are used only for the purposes for which the loan was granted; supplemented by a list of enhanced risk mitigation measures for the implementation of prospective FONAREDD Funds, specific to the requirements set out by the Central African Forest Initiative (CAFI) Executive Board. It is presented in response to Article (4.1.12), part of decision EB3.4.1 on the Democratic Republic of Congo’s country allocation, which reads:</w:t>
      </w:r>
    </w:p>
    <w:p w:rsidR="008E44E4" w:rsidRPr="00A31FC5" w:rsidRDefault="008E44E4" w:rsidP="008E44E4">
      <w:pPr>
        <w:spacing w:after="240"/>
        <w:jc w:val="both"/>
        <w:rPr>
          <w:rFonts w:cs="Times New Roman"/>
          <w:sz w:val="20"/>
          <w:szCs w:val="20"/>
          <w:lang w:val="en-US"/>
        </w:rPr>
      </w:pPr>
      <w:r w:rsidRPr="00A31FC5">
        <w:rPr>
          <w:rFonts w:cs="Times New Roman"/>
          <w:sz w:val="20"/>
          <w:szCs w:val="20"/>
          <w:lang w:val="en-US"/>
        </w:rPr>
        <w:t xml:space="preserve">« </w:t>
      </w:r>
      <w:r w:rsidRPr="00A31FC5">
        <w:rPr>
          <w:rFonts w:cs="Times New Roman"/>
          <w:i/>
          <w:sz w:val="20"/>
          <w:szCs w:val="20"/>
          <w:lang w:val="en-US"/>
        </w:rPr>
        <w:t>Implementing agencies are required to provide information to the EB on how they propose to strengthen and enforce their risk mitigation measures according to their own rules and procedures for high risk scenarios. This information will be made available to the EB by 15 of June 2016.</w:t>
      </w:r>
      <w:r w:rsidRPr="00A31FC5">
        <w:rPr>
          <w:rFonts w:cs="Times New Roman"/>
          <w:sz w:val="20"/>
          <w:szCs w:val="20"/>
          <w:lang w:val="en-US"/>
        </w:rPr>
        <w:t xml:space="preserve"> »</w:t>
      </w:r>
    </w:p>
    <w:p w:rsidR="008E44E4" w:rsidRPr="00A31FC5" w:rsidRDefault="008E44E4" w:rsidP="002E3A02">
      <w:pPr>
        <w:pStyle w:val="ListParagraph"/>
        <w:numPr>
          <w:ilvl w:val="0"/>
          <w:numId w:val="24"/>
        </w:numPr>
        <w:spacing w:before="360" w:after="240" w:line="259" w:lineRule="auto"/>
        <w:jc w:val="both"/>
        <w:rPr>
          <w:rFonts w:asciiTheme="minorHAnsi" w:hAnsiTheme="minorHAnsi"/>
          <w:b/>
          <w:color w:val="0070C0"/>
          <w:sz w:val="20"/>
          <w:szCs w:val="20"/>
        </w:rPr>
      </w:pPr>
      <w:r w:rsidRPr="00A31FC5">
        <w:rPr>
          <w:rFonts w:asciiTheme="minorHAnsi" w:hAnsiTheme="minorHAnsi"/>
          <w:b/>
          <w:color w:val="0070C0"/>
          <w:sz w:val="20"/>
          <w:szCs w:val="20"/>
        </w:rPr>
        <w:t xml:space="preserve">Fiduciary Mechanism during Project Design </w:t>
      </w:r>
    </w:p>
    <w:p w:rsidR="008E44E4" w:rsidRPr="00A31FC5" w:rsidRDefault="008E44E4" w:rsidP="008E44E4">
      <w:pPr>
        <w:pStyle w:val="Default"/>
        <w:spacing w:after="120"/>
        <w:jc w:val="both"/>
        <w:rPr>
          <w:rFonts w:asciiTheme="minorHAnsi" w:hAnsiTheme="minorHAnsi"/>
          <w:color w:val="auto"/>
          <w:sz w:val="20"/>
          <w:szCs w:val="20"/>
          <w:lang w:val="en-CA"/>
        </w:rPr>
      </w:pPr>
      <w:r w:rsidRPr="00A31FC5">
        <w:rPr>
          <w:rFonts w:asciiTheme="minorHAnsi" w:hAnsiTheme="minorHAnsi"/>
          <w:color w:val="auto"/>
          <w:sz w:val="20"/>
          <w:szCs w:val="20"/>
          <w:lang w:val="en-CA"/>
        </w:rPr>
        <w:t>The Systematic Operations Risk-Rating Tool (</w:t>
      </w:r>
      <w:r w:rsidRPr="00A31FC5">
        <w:rPr>
          <w:rFonts w:asciiTheme="minorHAnsi" w:hAnsiTheme="minorHAnsi"/>
          <w:b/>
          <w:color w:val="auto"/>
          <w:sz w:val="20"/>
          <w:szCs w:val="20"/>
          <w:lang w:val="en-CA"/>
        </w:rPr>
        <w:t>SORT</w:t>
      </w:r>
      <w:r w:rsidRPr="00A31FC5">
        <w:rPr>
          <w:rFonts w:asciiTheme="minorHAnsi" w:hAnsiTheme="minorHAnsi"/>
          <w:color w:val="auto"/>
          <w:sz w:val="20"/>
          <w:szCs w:val="20"/>
          <w:lang w:val="en-CA"/>
        </w:rPr>
        <w:t>) was developed to help the World Bank consistently assess and monitor risks across all operational instruments and country programs. The risks considered are those potentially affecting development results associated with the operation: both the risks to not achieving the intended (positive) results intended by Bank-supported operations; and the risks of Bank-supported operations causing unintended (negative) results. Within the World Bank Group, SORT is used to:</w:t>
      </w:r>
    </w:p>
    <w:p w:rsidR="008E44E4" w:rsidRPr="00A31FC5" w:rsidRDefault="008E44E4" w:rsidP="002E3A02">
      <w:pPr>
        <w:pStyle w:val="Default"/>
        <w:numPr>
          <w:ilvl w:val="0"/>
          <w:numId w:val="32"/>
        </w:numPr>
        <w:jc w:val="both"/>
        <w:rPr>
          <w:rFonts w:asciiTheme="minorHAnsi" w:hAnsiTheme="minorHAnsi"/>
          <w:color w:val="auto"/>
          <w:sz w:val="20"/>
          <w:szCs w:val="20"/>
          <w:lang w:val="en-CA"/>
        </w:rPr>
      </w:pPr>
      <w:r w:rsidRPr="00A31FC5">
        <w:rPr>
          <w:rFonts w:asciiTheme="minorHAnsi" w:hAnsiTheme="minorHAnsi"/>
          <w:color w:val="auto"/>
          <w:sz w:val="20"/>
          <w:szCs w:val="20"/>
          <w:lang w:val="en-CA"/>
        </w:rPr>
        <w:t>systematically and consistently rate the residual risk (after consideration of the Inherent, Control and Project risks) of operational and country engagements in all regions and across all operations;</w:t>
      </w:r>
    </w:p>
    <w:p w:rsidR="008E44E4" w:rsidRPr="00A31FC5" w:rsidRDefault="008E44E4" w:rsidP="002E3A02">
      <w:pPr>
        <w:pStyle w:val="Default"/>
        <w:numPr>
          <w:ilvl w:val="0"/>
          <w:numId w:val="32"/>
        </w:numPr>
        <w:jc w:val="both"/>
        <w:rPr>
          <w:rFonts w:asciiTheme="minorHAnsi" w:hAnsiTheme="minorHAnsi"/>
          <w:color w:val="auto"/>
          <w:sz w:val="20"/>
          <w:szCs w:val="20"/>
          <w:lang w:val="en-CA"/>
        </w:rPr>
      </w:pPr>
      <w:r w:rsidRPr="00A31FC5">
        <w:rPr>
          <w:rFonts w:asciiTheme="minorHAnsi" w:hAnsiTheme="minorHAnsi"/>
          <w:color w:val="auto"/>
          <w:sz w:val="20"/>
          <w:szCs w:val="20"/>
          <w:lang w:val="en-CA"/>
        </w:rPr>
        <w:t>help focus management attention on high and substantial risk operations and on particular risks within operations during implementation; and</w:t>
      </w:r>
    </w:p>
    <w:p w:rsidR="008E44E4" w:rsidRPr="00A31FC5" w:rsidRDefault="008E44E4" w:rsidP="002E3A02">
      <w:pPr>
        <w:pStyle w:val="Default"/>
        <w:numPr>
          <w:ilvl w:val="0"/>
          <w:numId w:val="32"/>
        </w:numPr>
        <w:jc w:val="both"/>
        <w:rPr>
          <w:rFonts w:asciiTheme="minorHAnsi" w:hAnsiTheme="minorHAnsi"/>
          <w:color w:val="auto"/>
          <w:sz w:val="20"/>
          <w:szCs w:val="20"/>
          <w:lang w:val="en-CA"/>
        </w:rPr>
      </w:pPr>
      <w:r w:rsidRPr="00A31FC5">
        <w:rPr>
          <w:rFonts w:asciiTheme="minorHAnsi" w:hAnsiTheme="minorHAnsi"/>
          <w:color w:val="auto"/>
          <w:sz w:val="20"/>
          <w:szCs w:val="20"/>
          <w:lang w:val="en-CA"/>
        </w:rPr>
        <w:t>provide a light but systematic and contestable way of identifying the appropriate level of corporate review process and any need for Board discussion.</w:t>
      </w:r>
    </w:p>
    <w:p w:rsidR="008E44E4" w:rsidRPr="00A31FC5" w:rsidRDefault="008E44E4" w:rsidP="008E44E4">
      <w:pPr>
        <w:pStyle w:val="Default"/>
        <w:jc w:val="both"/>
        <w:rPr>
          <w:rFonts w:asciiTheme="minorHAnsi" w:hAnsiTheme="minorHAnsi"/>
          <w:color w:val="auto"/>
          <w:sz w:val="20"/>
          <w:szCs w:val="20"/>
          <w:lang w:val="en-CA"/>
        </w:rPr>
      </w:pPr>
    </w:p>
    <w:p w:rsidR="008E44E4" w:rsidRPr="00A31FC5" w:rsidRDefault="008E44E4" w:rsidP="008E44E4">
      <w:pPr>
        <w:pStyle w:val="Default"/>
        <w:jc w:val="both"/>
        <w:rPr>
          <w:rFonts w:asciiTheme="minorHAnsi" w:hAnsiTheme="minorHAnsi"/>
          <w:color w:val="auto"/>
          <w:sz w:val="20"/>
          <w:szCs w:val="20"/>
          <w:lang w:val="en-CA"/>
        </w:rPr>
      </w:pPr>
      <w:r w:rsidRPr="00A31FC5">
        <w:rPr>
          <w:rFonts w:asciiTheme="minorHAnsi" w:hAnsiTheme="minorHAnsi"/>
          <w:color w:val="auto"/>
          <w:sz w:val="20"/>
          <w:szCs w:val="20"/>
          <w:lang w:val="en-CA"/>
        </w:rPr>
        <w:t>Its ultimate objective is to assist in the design of a project with appropriate institutional and fiduciary arrangements in place.</w:t>
      </w:r>
    </w:p>
    <w:p w:rsidR="008E44E4" w:rsidRPr="00A31FC5" w:rsidRDefault="008E44E4" w:rsidP="008E44E4">
      <w:pPr>
        <w:pStyle w:val="Default"/>
        <w:jc w:val="both"/>
        <w:rPr>
          <w:rFonts w:asciiTheme="minorHAnsi" w:hAnsiTheme="minorHAnsi"/>
          <w:color w:val="auto"/>
          <w:sz w:val="20"/>
          <w:szCs w:val="20"/>
          <w:lang w:val="en-CA"/>
        </w:rPr>
      </w:pPr>
    </w:p>
    <w:p w:rsidR="008E44E4" w:rsidRPr="00A31FC5" w:rsidRDefault="008E44E4" w:rsidP="008E44E4">
      <w:pPr>
        <w:pStyle w:val="Default"/>
        <w:jc w:val="both"/>
        <w:rPr>
          <w:rFonts w:asciiTheme="minorHAnsi" w:hAnsiTheme="minorHAnsi"/>
          <w:color w:val="auto"/>
          <w:sz w:val="20"/>
          <w:szCs w:val="20"/>
          <w:lang w:val="en-CA"/>
        </w:rPr>
      </w:pPr>
      <w:r w:rsidRPr="00A31FC5">
        <w:rPr>
          <w:rFonts w:asciiTheme="minorHAnsi" w:hAnsiTheme="minorHAnsi"/>
          <w:color w:val="auto"/>
          <w:sz w:val="20"/>
          <w:szCs w:val="20"/>
          <w:lang w:val="en-CA"/>
        </w:rPr>
        <w:t xml:space="preserve">SORT applies to operations that are in the </w:t>
      </w:r>
      <w:r w:rsidRPr="00A31FC5">
        <w:rPr>
          <w:rFonts w:asciiTheme="minorHAnsi" w:hAnsiTheme="minorHAnsi"/>
          <w:i/>
          <w:color w:val="auto"/>
          <w:sz w:val="20"/>
          <w:szCs w:val="20"/>
          <w:lang w:val="en-CA"/>
        </w:rPr>
        <w:t>early stages of preparation</w:t>
      </w:r>
      <w:r w:rsidRPr="00A31FC5">
        <w:rPr>
          <w:rFonts w:asciiTheme="minorHAnsi" w:hAnsiTheme="minorHAnsi"/>
          <w:color w:val="auto"/>
          <w:sz w:val="20"/>
          <w:szCs w:val="20"/>
          <w:lang w:val="en-CA"/>
        </w:rPr>
        <w:t xml:space="preserve">. In the case of instruments that are </w:t>
      </w:r>
      <w:r w:rsidRPr="00A31FC5">
        <w:rPr>
          <w:rFonts w:asciiTheme="minorHAnsi" w:hAnsiTheme="minorHAnsi"/>
          <w:i/>
          <w:color w:val="auto"/>
          <w:sz w:val="20"/>
          <w:szCs w:val="20"/>
          <w:lang w:val="en-CA"/>
        </w:rPr>
        <w:t>already under implementation</w:t>
      </w:r>
      <w:r w:rsidRPr="00A31FC5">
        <w:rPr>
          <w:rFonts w:asciiTheme="minorHAnsi" w:hAnsiTheme="minorHAnsi"/>
          <w:color w:val="auto"/>
          <w:sz w:val="20"/>
          <w:szCs w:val="20"/>
          <w:lang w:val="en-CA"/>
        </w:rPr>
        <w:t>, teams use an Implementation Status and Results Report (ISR) to update the risk rating of the operation and take appropriate corrective action (e.g. Risk mitigation plan, fiduciary arrangements and risk based-Implementation support). The rating, which can be High, Substantial, Moderate or Low, indicates the likelihood of a given risk to have an impact on the operation, while the risk categories are described as follows:</w:t>
      </w:r>
    </w:p>
    <w:p w:rsidR="008E44E4" w:rsidRPr="00A31FC5" w:rsidRDefault="008E44E4" w:rsidP="008E44E4">
      <w:pPr>
        <w:pStyle w:val="Default"/>
        <w:jc w:val="both"/>
        <w:rPr>
          <w:rFonts w:asciiTheme="minorHAnsi" w:hAnsiTheme="minorHAnsi"/>
          <w:color w:val="auto"/>
          <w:sz w:val="20"/>
          <w:szCs w:val="20"/>
          <w:lang w:val="en-CA"/>
        </w:rPr>
      </w:pP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4770"/>
        <w:gridCol w:w="1530"/>
      </w:tblGrid>
      <w:tr w:rsidR="008E44E4" w:rsidRPr="0003745E" w:rsidTr="008E44E4">
        <w:tc>
          <w:tcPr>
            <w:tcW w:w="3055" w:type="dxa"/>
            <w:shd w:val="clear" w:color="auto" w:fill="F2F2F2" w:themeFill="background1" w:themeFillShade="F2"/>
            <w:vAlign w:val="center"/>
          </w:tcPr>
          <w:p w:rsidR="008E44E4" w:rsidRPr="00A31FC5" w:rsidRDefault="008E44E4" w:rsidP="001433AA">
            <w:pPr>
              <w:pStyle w:val="Default"/>
              <w:jc w:val="both"/>
              <w:rPr>
                <w:rFonts w:asciiTheme="minorHAnsi" w:hAnsiTheme="minorHAnsi"/>
                <w:b/>
                <w:color w:val="auto"/>
                <w:sz w:val="20"/>
                <w:szCs w:val="20"/>
                <w:lang w:val="en-CA"/>
              </w:rPr>
            </w:pPr>
            <w:r w:rsidRPr="00A31FC5">
              <w:rPr>
                <w:rFonts w:asciiTheme="minorHAnsi" w:hAnsiTheme="minorHAnsi"/>
                <w:b/>
                <w:color w:val="auto"/>
                <w:sz w:val="20"/>
                <w:szCs w:val="20"/>
                <w:lang w:val="en-CA"/>
              </w:rPr>
              <w:lastRenderedPageBreak/>
              <w:t>Risk Categories</w:t>
            </w:r>
          </w:p>
        </w:tc>
        <w:tc>
          <w:tcPr>
            <w:tcW w:w="4770" w:type="dxa"/>
            <w:shd w:val="clear" w:color="auto" w:fill="F2F2F2" w:themeFill="background1" w:themeFillShade="F2"/>
            <w:vAlign w:val="center"/>
          </w:tcPr>
          <w:p w:rsidR="008E44E4" w:rsidRPr="00A31FC5" w:rsidRDefault="008E44E4" w:rsidP="001433AA">
            <w:pPr>
              <w:pStyle w:val="Default"/>
              <w:jc w:val="both"/>
              <w:rPr>
                <w:rFonts w:asciiTheme="minorHAnsi" w:hAnsiTheme="minorHAnsi"/>
                <w:b/>
                <w:color w:val="auto"/>
                <w:sz w:val="20"/>
                <w:szCs w:val="20"/>
                <w:lang w:val="en-CA"/>
              </w:rPr>
            </w:pPr>
            <w:r w:rsidRPr="00A31FC5">
              <w:rPr>
                <w:rFonts w:asciiTheme="minorHAnsi" w:hAnsiTheme="minorHAnsi"/>
                <w:b/>
                <w:color w:val="auto"/>
                <w:sz w:val="20"/>
                <w:szCs w:val="20"/>
                <w:lang w:val="en-CA"/>
              </w:rPr>
              <w:t>Description</w:t>
            </w:r>
          </w:p>
        </w:tc>
        <w:tc>
          <w:tcPr>
            <w:tcW w:w="1530" w:type="dxa"/>
            <w:shd w:val="clear" w:color="auto" w:fill="F2F2F2" w:themeFill="background1" w:themeFillShade="F2"/>
            <w:vAlign w:val="center"/>
          </w:tcPr>
          <w:p w:rsidR="008E44E4" w:rsidRPr="00A31FC5" w:rsidRDefault="008E44E4" w:rsidP="001433AA">
            <w:pPr>
              <w:pStyle w:val="Default"/>
              <w:rPr>
                <w:rFonts w:asciiTheme="minorHAnsi" w:hAnsiTheme="minorHAnsi"/>
                <w:b/>
                <w:color w:val="auto"/>
                <w:sz w:val="20"/>
                <w:szCs w:val="20"/>
                <w:lang w:val="en-CA"/>
              </w:rPr>
            </w:pPr>
            <w:r w:rsidRPr="00A31FC5">
              <w:rPr>
                <w:rFonts w:asciiTheme="minorHAnsi" w:hAnsiTheme="minorHAnsi"/>
                <w:b/>
                <w:color w:val="auto"/>
                <w:sz w:val="20"/>
                <w:szCs w:val="20"/>
                <w:lang w:val="en-CA"/>
              </w:rPr>
              <w:t>Rating: H, S, M or L</w:t>
            </w:r>
          </w:p>
        </w:tc>
      </w:tr>
      <w:tr w:rsidR="008E44E4" w:rsidRPr="0003745E" w:rsidTr="008E44E4">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Political and Governance</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This category assesses the risks to the development objective stemming from the country’s political situation and governance context.</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Macroeconomic</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This category includes external and domestic economic risks that may derail proper preparation, implementation and achievement of results of the proposed operation or otherwise affect the development results associated with the operation.</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Sector Strategies and Policies</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These risks are specific to the sector(s) which are at the core of the operation.</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Technical Design of Project or Program</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These risks include those related to technical aspects of the operation’s design that could affect the development results associated with the operation.</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Institutional Capacity for Implementation and Sustainability</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This risk relates to the capacity of the government to implement the activities supported by the operation and to achieve the expected results.</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Fiduciary</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Such risks could arise from deviations from key fiduciary principles, including economy, efficiency, effectiveness (3Es), integrity, openness and transparency, and fairness and accountability.</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Environment and Social</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Environmental (including climate change and natural disasters) and social risks that may have an adverse effect on physical, biological and cultural resources and on human health and safety.</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rPr>
          <w:trHeight w:val="83"/>
        </w:trPr>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Stakeholders</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These risks are related to stakeholders who may have grounds to object to the operation design, implementation or objective, and who may affect its successful completion by delaying or halting its implementation.</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8E44E4">
        <w:trPr>
          <w:trHeight w:val="83"/>
        </w:trPr>
        <w:tc>
          <w:tcPr>
            <w:tcW w:w="3055"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Other</w:t>
            </w:r>
          </w:p>
        </w:tc>
        <w:tc>
          <w:tcPr>
            <w:tcW w:w="4770" w:type="dxa"/>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Any other risks relevant in the context of the specific operation that are not covered in any of the eight categories in the template, e.g. international political risks, specific risks related to regional operations, security risk, risk of spillovers from neighboring countries, etc.</w:t>
            </w:r>
          </w:p>
        </w:tc>
        <w:tc>
          <w:tcPr>
            <w:tcW w:w="1530" w:type="dxa"/>
            <w:vAlign w:val="center"/>
          </w:tcPr>
          <w:p w:rsidR="008E44E4" w:rsidRPr="00A31FC5" w:rsidRDefault="008E44E4" w:rsidP="001433AA">
            <w:pPr>
              <w:pStyle w:val="Default"/>
              <w:rPr>
                <w:rFonts w:asciiTheme="minorHAnsi" w:hAnsiTheme="minorHAnsi"/>
                <w:color w:val="auto"/>
                <w:sz w:val="20"/>
                <w:szCs w:val="20"/>
                <w:lang w:val="en-CA"/>
              </w:rPr>
            </w:pPr>
          </w:p>
        </w:tc>
      </w:tr>
      <w:tr w:rsidR="008E44E4" w:rsidRPr="0003745E" w:rsidTr="00EE593D">
        <w:trPr>
          <w:trHeight w:val="83"/>
        </w:trPr>
        <w:tc>
          <w:tcPr>
            <w:tcW w:w="3055" w:type="dxa"/>
            <w:shd w:val="clear" w:color="auto" w:fill="FFFFFF" w:themeFill="background1"/>
            <w:vAlign w:val="center"/>
          </w:tcPr>
          <w:p w:rsidR="008E44E4" w:rsidRPr="00A31FC5" w:rsidRDefault="008E44E4" w:rsidP="001433AA">
            <w:pPr>
              <w:pStyle w:val="Default"/>
              <w:rPr>
                <w:rFonts w:asciiTheme="minorHAnsi" w:hAnsiTheme="minorHAnsi"/>
                <w:b/>
                <w:color w:val="auto"/>
                <w:sz w:val="20"/>
                <w:szCs w:val="20"/>
                <w:lang w:val="en-CA"/>
              </w:rPr>
            </w:pPr>
            <w:r w:rsidRPr="00A31FC5">
              <w:rPr>
                <w:rFonts w:asciiTheme="minorHAnsi" w:hAnsiTheme="minorHAnsi"/>
                <w:b/>
                <w:color w:val="auto"/>
                <w:sz w:val="20"/>
                <w:szCs w:val="20"/>
                <w:lang w:val="en-CA"/>
              </w:rPr>
              <w:t xml:space="preserve">Overall </w:t>
            </w:r>
          </w:p>
        </w:tc>
        <w:tc>
          <w:tcPr>
            <w:tcW w:w="4770" w:type="dxa"/>
            <w:shd w:val="clear" w:color="auto" w:fill="FFFFFF" w:themeFill="background1"/>
            <w:vAlign w:val="center"/>
          </w:tcPr>
          <w:p w:rsidR="008E44E4" w:rsidRPr="00A31FC5" w:rsidRDefault="008E44E4" w:rsidP="001433AA">
            <w:pPr>
              <w:pStyle w:val="Default"/>
              <w:rPr>
                <w:rFonts w:asciiTheme="minorHAnsi" w:hAnsiTheme="minorHAnsi"/>
                <w:b/>
                <w:color w:val="auto"/>
                <w:sz w:val="20"/>
                <w:szCs w:val="20"/>
                <w:lang w:val="en-CA"/>
              </w:rPr>
            </w:pPr>
          </w:p>
        </w:tc>
        <w:tc>
          <w:tcPr>
            <w:tcW w:w="1530" w:type="dxa"/>
            <w:shd w:val="clear" w:color="auto" w:fill="FFFFFF" w:themeFill="background1"/>
            <w:vAlign w:val="center"/>
          </w:tcPr>
          <w:p w:rsidR="008E44E4" w:rsidRPr="00A31FC5" w:rsidRDefault="008E44E4" w:rsidP="001433AA">
            <w:pPr>
              <w:pStyle w:val="Default"/>
              <w:rPr>
                <w:rFonts w:asciiTheme="minorHAnsi" w:hAnsiTheme="minorHAnsi"/>
                <w:color w:val="auto"/>
                <w:sz w:val="20"/>
                <w:szCs w:val="20"/>
                <w:lang w:val="en-CA"/>
              </w:rPr>
            </w:pPr>
            <w:r w:rsidRPr="00A31FC5">
              <w:rPr>
                <w:rFonts w:asciiTheme="minorHAnsi" w:hAnsiTheme="minorHAnsi"/>
                <w:color w:val="auto"/>
                <w:sz w:val="20"/>
                <w:szCs w:val="20"/>
                <w:lang w:val="en-CA"/>
              </w:rPr>
              <w:t>Judgment based on collective team expertise.</w:t>
            </w:r>
          </w:p>
        </w:tc>
      </w:tr>
    </w:tbl>
    <w:p w:rsidR="008E44E4" w:rsidRPr="00A31FC5" w:rsidRDefault="008E44E4" w:rsidP="008E44E4">
      <w:pPr>
        <w:rPr>
          <w:rFonts w:cs="Times New Roman"/>
          <w:b/>
          <w:color w:val="0070C0"/>
          <w:sz w:val="20"/>
          <w:szCs w:val="20"/>
          <w:lang w:val="en-US"/>
        </w:rPr>
      </w:pPr>
    </w:p>
    <w:p w:rsidR="008E44E4" w:rsidRPr="00A31FC5" w:rsidRDefault="008E44E4" w:rsidP="002E3A02">
      <w:pPr>
        <w:pStyle w:val="ListParagraph"/>
        <w:numPr>
          <w:ilvl w:val="0"/>
          <w:numId w:val="24"/>
        </w:numPr>
        <w:spacing w:after="240" w:line="259" w:lineRule="auto"/>
        <w:jc w:val="both"/>
        <w:rPr>
          <w:rFonts w:asciiTheme="minorHAnsi" w:hAnsiTheme="minorHAnsi"/>
          <w:b/>
          <w:color w:val="0070C0"/>
          <w:sz w:val="20"/>
          <w:szCs w:val="20"/>
          <w:lang w:val="en-US"/>
        </w:rPr>
      </w:pPr>
      <w:r w:rsidRPr="00A31FC5">
        <w:rPr>
          <w:rFonts w:asciiTheme="minorHAnsi" w:hAnsiTheme="minorHAnsi"/>
          <w:b/>
          <w:color w:val="0070C0"/>
          <w:sz w:val="20"/>
          <w:szCs w:val="20"/>
          <w:lang w:val="en-US"/>
        </w:rPr>
        <w:t>Fiduciary Mechanism for Procurement Activities</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color w:val="000000"/>
          <w:sz w:val="20"/>
          <w:szCs w:val="20"/>
          <w:lang w:val="en-US"/>
        </w:rPr>
        <w:t>In accordance with Operational Policy OP 11.00, the Bank</w:t>
      </w:r>
      <w:r w:rsidRPr="00A31FC5">
        <w:rPr>
          <w:rStyle w:val="FootnoteReference"/>
          <w:rFonts w:cs="Times New Roman"/>
          <w:color w:val="000000"/>
          <w:sz w:val="20"/>
          <w:szCs w:val="20"/>
        </w:rPr>
        <w:footnoteReference w:id="61"/>
      </w:r>
      <w:r w:rsidRPr="00A31FC5">
        <w:rPr>
          <w:rFonts w:cs="Times New Roman"/>
          <w:color w:val="000000"/>
          <w:sz w:val="20"/>
          <w:szCs w:val="20"/>
          <w:lang w:val="en-US"/>
        </w:rPr>
        <w:t xml:space="preserve"> is required by the Articles of Agreement to “</w:t>
      </w:r>
      <w:r w:rsidRPr="00A31FC5">
        <w:rPr>
          <w:rFonts w:cs="Times New Roman"/>
          <w:i/>
          <w:color w:val="000000"/>
          <w:sz w:val="20"/>
          <w:szCs w:val="20"/>
          <w:lang w:val="en-US"/>
        </w:rPr>
        <w:t>make arrangements to ensure that the proceeds of any loan are used only for the purposes for which the loan was granted, with due attention to considerations of economy and efficiency and without regard to political or other non-economic influences or considerations</w:t>
      </w:r>
      <w:r w:rsidRPr="00A31FC5">
        <w:rPr>
          <w:rFonts w:cs="Times New Roman"/>
          <w:color w:val="000000"/>
          <w:sz w:val="20"/>
          <w:szCs w:val="20"/>
          <w:lang w:val="en-US"/>
        </w:rPr>
        <w:t>”. As part of complying with this requirement, the Bank has adopted policies covering the procurement by World Bank borrowers of all goods, works, non-consulting services, and consulting services financed in whole or in part out of the proceeds of Bank loans. In addition, the policies aim to support the Bank’s interest in giving equal opportunity to all eligible bidders and encouraging the development of domestic contracting and manufacturing industries in borrowing countries.</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color w:val="000000"/>
          <w:sz w:val="20"/>
          <w:szCs w:val="20"/>
          <w:lang w:val="en-US"/>
        </w:rPr>
        <w:lastRenderedPageBreak/>
        <w:t xml:space="preserve">The Bank’s </w:t>
      </w:r>
      <w:r w:rsidRPr="00A31FC5">
        <w:rPr>
          <w:rFonts w:cs="Times New Roman"/>
          <w:i/>
          <w:color w:val="000000"/>
          <w:sz w:val="20"/>
          <w:szCs w:val="20"/>
          <w:lang w:val="en-US"/>
        </w:rPr>
        <w:t>Procurement Guidelines</w:t>
      </w:r>
      <w:r w:rsidRPr="00A31FC5">
        <w:rPr>
          <w:rFonts w:cs="Times New Roman"/>
          <w:color w:val="000000"/>
          <w:sz w:val="20"/>
          <w:szCs w:val="20"/>
          <w:lang w:val="en-US"/>
        </w:rPr>
        <w:t xml:space="preserve"> govern the procurement of goods, works, and non-consulting services; and the </w:t>
      </w:r>
      <w:r w:rsidRPr="00A31FC5">
        <w:rPr>
          <w:rFonts w:cs="Times New Roman"/>
          <w:i/>
          <w:color w:val="000000"/>
          <w:sz w:val="20"/>
          <w:szCs w:val="20"/>
          <w:lang w:val="en-US"/>
        </w:rPr>
        <w:t>Consultant Guidelines</w:t>
      </w:r>
      <w:r w:rsidRPr="00A31FC5">
        <w:rPr>
          <w:rFonts w:cs="Times New Roman"/>
          <w:color w:val="000000"/>
          <w:sz w:val="20"/>
          <w:szCs w:val="20"/>
          <w:lang w:val="en-US"/>
        </w:rPr>
        <w:t xml:space="preserve"> govern the selection and employment of consultants. These guidelines apply to Bank-financed procurement and to the Bank’s review of Borrowers’ procurement actions. They are incorporated by reference in the loan agreement and are binding on the Borrower. </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color w:val="000000"/>
          <w:sz w:val="20"/>
          <w:szCs w:val="20"/>
          <w:lang w:val="en-US"/>
        </w:rPr>
        <w:t>The fiduciary risk relating to procurement is managed by the Procurement Risk Assessment and Management System (</w:t>
      </w:r>
      <w:r w:rsidRPr="00A31FC5">
        <w:rPr>
          <w:rFonts w:cs="Times New Roman"/>
          <w:b/>
          <w:color w:val="000000"/>
          <w:sz w:val="20"/>
          <w:szCs w:val="20"/>
          <w:lang w:val="en-US"/>
        </w:rPr>
        <w:t>P-RAMS</w:t>
      </w:r>
      <w:r w:rsidRPr="00A31FC5">
        <w:rPr>
          <w:rFonts w:cs="Times New Roman"/>
          <w:color w:val="000000"/>
          <w:sz w:val="20"/>
          <w:szCs w:val="20"/>
          <w:lang w:val="en-US"/>
        </w:rPr>
        <w:t xml:space="preserve">), which has been developed to align with the Bank’s risk based approach. P-RAMS helps identify procurement risks during the project preparation and implementation stages and to monitor them throughout the project cycle. </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color w:val="000000"/>
          <w:sz w:val="20"/>
          <w:szCs w:val="20"/>
          <w:lang w:val="en-US"/>
        </w:rPr>
        <w:t>PRAMS also has a function to record the integrated fiduciary risk, which takes into account both procurement and financial management risk. The Procurement team together with the Financial Management Specialist (FMS) agree on a single fiduciary risk rating and they enter it in the risk assessment tool. This triggers a system-generated email to the Task Team Lead (TTL) with a recommendation, at which point s/he decides on the final rating, captures it in the SORT and takes appropriate follow up action.</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center"/>
        <w:rPr>
          <w:rFonts w:cs="Times New Roman"/>
          <w:color w:val="000000"/>
          <w:sz w:val="20"/>
          <w:szCs w:val="20"/>
        </w:rPr>
      </w:pPr>
      <w:r w:rsidRPr="00A31FC5">
        <w:rPr>
          <w:rFonts w:cs="Times New Roman"/>
          <w:noProof/>
          <w:sz w:val="20"/>
          <w:szCs w:val="20"/>
        </w:rPr>
        <w:drawing>
          <wp:inline distT="0" distB="0" distL="0" distR="0">
            <wp:extent cx="3745832" cy="2990369"/>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566" r="23718" b="18887"/>
                    <a:stretch/>
                  </pic:blipFill>
                  <pic:spPr bwMode="auto">
                    <a:xfrm>
                      <a:off x="0" y="0"/>
                      <a:ext cx="3757058" cy="2999331"/>
                    </a:xfrm>
                    <a:prstGeom prst="rect">
                      <a:avLst/>
                    </a:prstGeom>
                    <a:noFill/>
                    <a:ln>
                      <a:noFill/>
                    </a:ln>
                    <a:extLst>
                      <a:ext uri="{53640926-AAD7-44D8-BBD7-CCE9431645EC}">
                        <a14:shadowObscured xmlns:a14="http://schemas.microsoft.com/office/drawing/2010/main"/>
                      </a:ext>
                    </a:extLst>
                  </pic:spPr>
                </pic:pic>
              </a:graphicData>
            </a:graphic>
          </wp:inline>
        </w:drawing>
      </w:r>
    </w:p>
    <w:p w:rsidR="008E44E4" w:rsidRDefault="008E44E4" w:rsidP="008E44E4">
      <w:pPr>
        <w:autoSpaceDE w:val="0"/>
        <w:autoSpaceDN w:val="0"/>
        <w:adjustRightInd w:val="0"/>
        <w:spacing w:after="0" w:line="240" w:lineRule="auto"/>
        <w:jc w:val="center"/>
        <w:rPr>
          <w:rFonts w:cs="Times New Roman"/>
          <w:i/>
          <w:color w:val="000000"/>
          <w:sz w:val="20"/>
          <w:szCs w:val="20"/>
          <w:lang w:val="en-US"/>
        </w:rPr>
      </w:pPr>
      <w:r w:rsidRPr="00A31FC5">
        <w:rPr>
          <w:rFonts w:cs="Times New Roman"/>
          <w:i/>
          <w:color w:val="000000"/>
          <w:sz w:val="20"/>
          <w:szCs w:val="20"/>
          <w:lang w:val="en-US"/>
        </w:rPr>
        <w:t>Figure 1: Procurement Risk Assessment and Management System (P-RAMS)</w:t>
      </w:r>
    </w:p>
    <w:p w:rsidR="00A31FC5" w:rsidRPr="00A31FC5" w:rsidRDefault="00A31FC5" w:rsidP="008E44E4">
      <w:pPr>
        <w:autoSpaceDE w:val="0"/>
        <w:autoSpaceDN w:val="0"/>
        <w:adjustRightInd w:val="0"/>
        <w:spacing w:after="0" w:line="240" w:lineRule="auto"/>
        <w:jc w:val="center"/>
        <w:rPr>
          <w:rFonts w:cs="Times New Roman"/>
          <w:i/>
          <w:color w:val="000000"/>
          <w:sz w:val="20"/>
          <w:szCs w:val="20"/>
          <w:lang w:val="en-US"/>
        </w:rPr>
      </w:pPr>
    </w:p>
    <w:p w:rsidR="008E44E4" w:rsidRPr="00A31FC5" w:rsidRDefault="008E44E4" w:rsidP="002E3A02">
      <w:pPr>
        <w:pStyle w:val="ListParagraph"/>
        <w:numPr>
          <w:ilvl w:val="0"/>
          <w:numId w:val="36"/>
        </w:numPr>
        <w:spacing w:after="240" w:line="259" w:lineRule="auto"/>
        <w:contextualSpacing/>
        <w:rPr>
          <w:rFonts w:asciiTheme="minorHAnsi" w:hAnsiTheme="minorHAnsi"/>
          <w:b/>
          <w:sz w:val="20"/>
          <w:szCs w:val="20"/>
        </w:rPr>
      </w:pPr>
      <w:r w:rsidRPr="00A31FC5">
        <w:rPr>
          <w:rFonts w:asciiTheme="minorHAnsi" w:hAnsiTheme="minorHAnsi"/>
          <w:b/>
          <w:sz w:val="20"/>
          <w:szCs w:val="20"/>
        </w:rPr>
        <w:t>Project Preparation Phase</w:t>
      </w:r>
    </w:p>
    <w:p w:rsidR="00A31FC5" w:rsidRDefault="008E44E4" w:rsidP="008E44E4">
      <w:pPr>
        <w:autoSpaceDE w:val="0"/>
        <w:autoSpaceDN w:val="0"/>
        <w:adjustRightInd w:val="0"/>
        <w:spacing w:after="120" w:line="240" w:lineRule="auto"/>
        <w:jc w:val="both"/>
        <w:rPr>
          <w:rFonts w:cs="Times New Roman"/>
          <w:color w:val="000000"/>
          <w:sz w:val="20"/>
          <w:szCs w:val="20"/>
          <w:lang w:val="en-US"/>
        </w:rPr>
      </w:pPr>
      <w:r w:rsidRPr="00A31FC5">
        <w:rPr>
          <w:rFonts w:cs="Times New Roman"/>
          <w:color w:val="000000"/>
          <w:sz w:val="20"/>
          <w:szCs w:val="20"/>
          <w:lang w:val="en-US"/>
        </w:rPr>
        <w:t>During the project preparation stage, an assessment is carried out on the fiduciary risks that are critical to achieving the project development objectives and results at the implementing agency level. The team assesses the capacity of the implementing agency to carry out project procurement and the risks at the country, sector and operations levels associated with the implementation of procurement under the operation by using assessment and implementing agency’s Capacity template and P-RAMS tools. If the procurement capacity and risk assessments reveal deficiencies, an action plan is elaborated with an aim to strengthen the capacity of the implementing agency and mitigate the identified procurement risks.</w:t>
      </w:r>
    </w:p>
    <w:p w:rsidR="00A31FC5" w:rsidRDefault="00A31FC5">
      <w:pPr>
        <w:spacing w:after="160" w:line="259" w:lineRule="auto"/>
        <w:rPr>
          <w:rFonts w:cs="Times New Roman"/>
          <w:color w:val="000000"/>
          <w:sz w:val="20"/>
          <w:szCs w:val="20"/>
          <w:lang w:val="en-US"/>
        </w:rPr>
      </w:pPr>
      <w:r>
        <w:rPr>
          <w:rFonts w:cs="Times New Roman"/>
          <w:color w:val="000000"/>
          <w:sz w:val="20"/>
          <w:szCs w:val="20"/>
          <w:lang w:val="en-US"/>
        </w:rPr>
        <w:br w:type="page"/>
      </w:r>
    </w:p>
    <w:p w:rsidR="008E44E4" w:rsidRPr="00A31FC5" w:rsidRDefault="008E44E4" w:rsidP="008E44E4">
      <w:pPr>
        <w:autoSpaceDE w:val="0"/>
        <w:autoSpaceDN w:val="0"/>
        <w:adjustRightInd w:val="0"/>
        <w:spacing w:after="12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E44E4" w:rsidRPr="0003745E" w:rsidTr="008E44E4">
        <w:tc>
          <w:tcPr>
            <w:tcW w:w="4675" w:type="dxa"/>
            <w:shd w:val="clear" w:color="auto" w:fill="F2F2F2" w:themeFill="background1" w:themeFillShade="F2"/>
            <w:vAlign w:val="center"/>
          </w:tcPr>
          <w:p w:rsidR="008E44E4" w:rsidRPr="00A31FC5" w:rsidRDefault="008E44E4" w:rsidP="001433AA">
            <w:pPr>
              <w:autoSpaceDE w:val="0"/>
              <w:autoSpaceDN w:val="0"/>
              <w:adjustRightInd w:val="0"/>
              <w:jc w:val="both"/>
              <w:rPr>
                <w:rFonts w:cs="Times New Roman"/>
                <w:b/>
                <w:color w:val="000000"/>
                <w:sz w:val="20"/>
                <w:szCs w:val="20"/>
              </w:rPr>
            </w:pPr>
            <w:r w:rsidRPr="00A31FC5">
              <w:rPr>
                <w:rFonts w:cs="Times New Roman"/>
                <w:b/>
                <w:color w:val="000000"/>
                <w:sz w:val="20"/>
                <w:szCs w:val="20"/>
              </w:rPr>
              <w:t>Borrower Procurement Tasks</w:t>
            </w:r>
          </w:p>
        </w:tc>
        <w:tc>
          <w:tcPr>
            <w:tcW w:w="4675" w:type="dxa"/>
            <w:shd w:val="clear" w:color="auto" w:fill="F2F2F2" w:themeFill="background1" w:themeFillShade="F2"/>
            <w:vAlign w:val="center"/>
          </w:tcPr>
          <w:p w:rsidR="008E44E4" w:rsidRPr="00A31FC5" w:rsidRDefault="008E44E4" w:rsidP="001433AA">
            <w:pPr>
              <w:autoSpaceDE w:val="0"/>
              <w:autoSpaceDN w:val="0"/>
              <w:adjustRightInd w:val="0"/>
              <w:jc w:val="both"/>
              <w:rPr>
                <w:rFonts w:cs="Times New Roman"/>
                <w:b/>
                <w:color w:val="000000"/>
                <w:sz w:val="20"/>
                <w:szCs w:val="20"/>
                <w:lang w:val="en-US"/>
              </w:rPr>
            </w:pPr>
            <w:r w:rsidRPr="00A31FC5">
              <w:rPr>
                <w:rFonts w:cs="Times New Roman"/>
                <w:b/>
                <w:color w:val="000000"/>
                <w:sz w:val="20"/>
                <w:szCs w:val="20"/>
                <w:lang w:val="en-US"/>
              </w:rPr>
              <w:t>Bank Mechanism to Manage Procurement Risk</w:t>
            </w:r>
          </w:p>
        </w:tc>
      </w:tr>
      <w:tr w:rsidR="008E44E4" w:rsidRPr="0003745E" w:rsidTr="008E44E4">
        <w:trPr>
          <w:trHeight w:val="4628"/>
        </w:trPr>
        <w:tc>
          <w:tcPr>
            <w:tcW w:w="4675" w:type="dxa"/>
          </w:tcPr>
          <w:p w:rsidR="008E44E4" w:rsidRPr="00A31FC5" w:rsidRDefault="008E44E4" w:rsidP="001433AA">
            <w:pPr>
              <w:autoSpaceDE w:val="0"/>
              <w:autoSpaceDN w:val="0"/>
              <w:adjustRightInd w:val="0"/>
              <w:spacing w:before="120" w:after="120"/>
              <w:rPr>
                <w:rFonts w:cs="Times New Roman"/>
                <w:color w:val="000000"/>
                <w:sz w:val="20"/>
                <w:szCs w:val="20"/>
                <w:lang w:val="en-US"/>
              </w:rPr>
            </w:pPr>
            <w:r w:rsidRPr="00A31FC5">
              <w:rPr>
                <w:rFonts w:cs="Times New Roman"/>
                <w:color w:val="000000"/>
                <w:sz w:val="20"/>
                <w:szCs w:val="20"/>
                <w:lang w:val="en-US"/>
              </w:rPr>
              <w:t>During project preparation, and with the assistance of the Bank, the Borrower prepares:</w:t>
            </w:r>
          </w:p>
          <w:p w:rsidR="008E44E4" w:rsidRPr="00A31FC5" w:rsidRDefault="008E44E4" w:rsidP="002E3A02">
            <w:pPr>
              <w:pStyle w:val="ListParagraph"/>
              <w:numPr>
                <w:ilvl w:val="0"/>
                <w:numId w:val="33"/>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A Procurement Plan, for the entire scope of the project</w:t>
            </w:r>
            <w:r w:rsidRPr="00A31FC5">
              <w:rPr>
                <w:rFonts w:asciiTheme="minorHAnsi" w:hAnsiTheme="minorHAnsi"/>
                <w:sz w:val="20"/>
                <w:szCs w:val="20"/>
                <w:lang w:val="en-US"/>
              </w:rPr>
              <w:t xml:space="preserve">, </w:t>
            </w:r>
            <w:r w:rsidRPr="00A31FC5">
              <w:rPr>
                <w:rFonts w:asciiTheme="minorHAnsi" w:hAnsiTheme="minorHAnsi"/>
                <w:color w:val="000000"/>
                <w:sz w:val="20"/>
                <w:szCs w:val="20"/>
                <w:lang w:val="en-US"/>
              </w:rPr>
              <w:t>including all contracts for which procurement action is to take place in the first 18 (eighteen) months of project implementation</w:t>
            </w:r>
          </w:p>
          <w:p w:rsidR="008E44E4" w:rsidRPr="00A31FC5" w:rsidRDefault="008E44E4" w:rsidP="002E3A02">
            <w:pPr>
              <w:pStyle w:val="ListParagraph"/>
              <w:numPr>
                <w:ilvl w:val="0"/>
                <w:numId w:val="33"/>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Bidding documents for first-year contracts</w:t>
            </w:r>
          </w:p>
          <w:p w:rsidR="008E44E4" w:rsidRPr="00A31FC5" w:rsidRDefault="008E44E4" w:rsidP="002E3A02">
            <w:pPr>
              <w:pStyle w:val="ListParagraph"/>
              <w:numPr>
                <w:ilvl w:val="0"/>
                <w:numId w:val="33"/>
              </w:numPr>
              <w:autoSpaceDE w:val="0"/>
              <w:autoSpaceDN w:val="0"/>
              <w:adjustRightInd w:val="0"/>
              <w:spacing w:before="120"/>
              <w:contextualSpacing/>
              <w:rPr>
                <w:rFonts w:asciiTheme="minorHAnsi" w:hAnsiTheme="minorHAnsi"/>
                <w:color w:val="000000"/>
                <w:sz w:val="20"/>
                <w:szCs w:val="20"/>
              </w:rPr>
            </w:pPr>
            <w:r w:rsidRPr="00A31FC5">
              <w:rPr>
                <w:rFonts w:asciiTheme="minorHAnsi" w:hAnsiTheme="minorHAnsi"/>
                <w:color w:val="000000"/>
                <w:sz w:val="20"/>
                <w:szCs w:val="20"/>
              </w:rPr>
              <w:t>A draft general procurement notice</w:t>
            </w:r>
          </w:p>
          <w:p w:rsidR="008E44E4" w:rsidRPr="00A31FC5" w:rsidRDefault="008E44E4" w:rsidP="001433AA">
            <w:pPr>
              <w:autoSpaceDE w:val="0"/>
              <w:autoSpaceDN w:val="0"/>
              <w:adjustRightInd w:val="0"/>
              <w:spacing w:before="120"/>
              <w:rPr>
                <w:rFonts w:cs="Times New Roman"/>
                <w:color w:val="000000"/>
                <w:sz w:val="20"/>
                <w:szCs w:val="20"/>
                <w:lang w:val="en-US"/>
              </w:rPr>
            </w:pPr>
            <w:r w:rsidRPr="00A31FC5">
              <w:rPr>
                <w:rFonts w:cs="Times New Roman"/>
                <w:color w:val="000000"/>
                <w:sz w:val="20"/>
                <w:szCs w:val="20"/>
                <w:lang w:val="en-US"/>
              </w:rPr>
              <w:t xml:space="preserve">An agreement with the Bank is reached at the latest during loan negotiations. The approved Procurement Plan is incorporated in the loan agreement and becomes legally binding on the Borrower. Any violation of the Procurement Plan may give rise to the exercise of remedies under the loan agreement. </w:t>
            </w:r>
          </w:p>
        </w:tc>
        <w:tc>
          <w:tcPr>
            <w:tcW w:w="4675" w:type="dxa"/>
          </w:tcPr>
          <w:p w:rsidR="008E44E4" w:rsidRPr="00A31FC5" w:rsidRDefault="008E44E4" w:rsidP="002E3A02">
            <w:pPr>
              <w:pStyle w:val="ListParagraph"/>
              <w:numPr>
                <w:ilvl w:val="0"/>
                <w:numId w:val="34"/>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Identifies fraud and corruption risks related to procurement using PRAMS and SORT</w:t>
            </w:r>
          </w:p>
          <w:p w:rsidR="008E44E4" w:rsidRPr="00A31FC5" w:rsidRDefault="008E44E4" w:rsidP="002E3A02">
            <w:pPr>
              <w:pStyle w:val="ListParagraph"/>
              <w:numPr>
                <w:ilvl w:val="0"/>
                <w:numId w:val="34"/>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Based on the initiation of the assessment, uses PRAMS to prepare mitigation measures and action plans</w:t>
            </w:r>
          </w:p>
          <w:p w:rsidR="008E44E4" w:rsidRPr="00A31FC5" w:rsidRDefault="008E44E4" w:rsidP="002E3A02">
            <w:pPr>
              <w:pStyle w:val="ListParagraph"/>
              <w:numPr>
                <w:ilvl w:val="0"/>
                <w:numId w:val="34"/>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Prepares supervision planning, including setting out the thresholds for Bank's Prior and Post Review and the frequency of the supervision</w:t>
            </w:r>
          </w:p>
          <w:p w:rsidR="008E44E4" w:rsidRPr="00A31FC5" w:rsidRDefault="008E44E4" w:rsidP="002E3A02">
            <w:pPr>
              <w:pStyle w:val="ListParagraph"/>
              <w:numPr>
                <w:ilvl w:val="0"/>
                <w:numId w:val="34"/>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Assists the Borrower and the TTL in preparing the procurement strategy and plan.</w:t>
            </w:r>
          </w:p>
        </w:tc>
      </w:tr>
    </w:tbl>
    <w:p w:rsidR="008E44E4" w:rsidRPr="00A31FC5" w:rsidRDefault="008E44E4" w:rsidP="008E44E4">
      <w:pPr>
        <w:autoSpaceDE w:val="0"/>
        <w:autoSpaceDN w:val="0"/>
        <w:adjustRightInd w:val="0"/>
        <w:spacing w:after="0" w:line="240" w:lineRule="auto"/>
        <w:jc w:val="both"/>
        <w:rPr>
          <w:rFonts w:cs="Times New Roman"/>
          <w:b/>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color w:val="000000"/>
          <w:sz w:val="20"/>
          <w:szCs w:val="20"/>
          <w:lang w:val="en-US"/>
        </w:rPr>
        <w:t>All procurement plans (and their subsequent updates or modifications) are subject to the Bank's prior review and ‘no objection’ before implementation. After loan negotiations, the Bank arranges the publication on its external website of the agreed initial procurement plan and all subsequent updates once it has provided the ‘no objection’.</w:t>
      </w:r>
    </w:p>
    <w:p w:rsidR="008E44E4" w:rsidRPr="00A31FC5" w:rsidRDefault="008E44E4" w:rsidP="008E44E4">
      <w:pPr>
        <w:autoSpaceDE w:val="0"/>
        <w:autoSpaceDN w:val="0"/>
        <w:adjustRightInd w:val="0"/>
        <w:spacing w:after="0" w:line="240" w:lineRule="auto"/>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b/>
          <w:color w:val="000000"/>
          <w:sz w:val="20"/>
          <w:szCs w:val="20"/>
          <w:lang w:val="en-US"/>
        </w:rPr>
        <w:t>Prior (apriori) Review</w:t>
      </w:r>
      <w:r w:rsidRPr="00A31FC5">
        <w:rPr>
          <w:rFonts w:cs="Times New Roman"/>
          <w:color w:val="000000"/>
          <w:sz w:val="20"/>
          <w:szCs w:val="20"/>
          <w:lang w:val="en-US"/>
        </w:rPr>
        <w:t xml:space="preserve"> refers to the Bank's review which takes place before the Borrower's decision is taken. In a contract subject to prior review, the review occurs prior to issuing the bidding documents (and prequalification document, if any) and after issuing the bid evaluation report. </w:t>
      </w:r>
    </w:p>
    <w:p w:rsidR="008E44E4" w:rsidRPr="00A31FC5" w:rsidRDefault="008E44E4" w:rsidP="008E44E4">
      <w:pPr>
        <w:autoSpaceDE w:val="0"/>
        <w:autoSpaceDN w:val="0"/>
        <w:adjustRightInd w:val="0"/>
        <w:spacing w:after="0" w:line="240" w:lineRule="auto"/>
        <w:jc w:val="both"/>
        <w:rPr>
          <w:rFonts w:cs="Times New Roman"/>
          <w:b/>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b/>
          <w:color w:val="000000"/>
          <w:sz w:val="20"/>
          <w:szCs w:val="20"/>
          <w:lang w:val="en-US"/>
        </w:rPr>
        <w:t>Post (aposteriori) Review</w:t>
      </w:r>
      <w:r w:rsidRPr="00A31FC5">
        <w:rPr>
          <w:rFonts w:cs="Times New Roman"/>
          <w:color w:val="000000"/>
          <w:sz w:val="20"/>
          <w:szCs w:val="20"/>
          <w:lang w:val="en-US"/>
        </w:rPr>
        <w:t xml:space="preserve"> refers to post reviews that are normally carried out by the Bank. The Borrower is required to retain all documentation with respect to each contract during Project implementation and up to two years after the closing date of the Financing Agreement.</w:t>
      </w:r>
    </w:p>
    <w:p w:rsidR="008E44E4" w:rsidRPr="00A31FC5" w:rsidRDefault="008E44E4" w:rsidP="008E44E4">
      <w:pPr>
        <w:autoSpaceDE w:val="0"/>
        <w:autoSpaceDN w:val="0"/>
        <w:adjustRightInd w:val="0"/>
        <w:spacing w:after="0" w:line="240" w:lineRule="auto"/>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center"/>
        <w:rPr>
          <w:rFonts w:cs="Times New Roman"/>
          <w:color w:val="000000"/>
          <w:sz w:val="20"/>
          <w:szCs w:val="20"/>
        </w:rPr>
      </w:pPr>
      <w:r w:rsidRPr="00A31FC5">
        <w:rPr>
          <w:rFonts w:cs="Times New Roman"/>
          <w:noProof/>
          <w:color w:val="000000"/>
          <w:sz w:val="20"/>
          <w:szCs w:val="20"/>
        </w:rPr>
        <w:drawing>
          <wp:inline distT="0" distB="0" distL="0" distR="0">
            <wp:extent cx="5934075" cy="2124075"/>
            <wp:effectExtent l="0" t="0" r="9525" b="666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400" b="8400"/>
                    <a:stretch/>
                  </pic:blipFill>
                  <pic:spPr bwMode="auto">
                    <a:xfrm>
                      <a:off x="0" y="0"/>
                      <a:ext cx="5934075" cy="2124075"/>
                    </a:xfrm>
                    <a:prstGeom prst="rect">
                      <a:avLst/>
                    </a:prstGeom>
                    <a:noFill/>
                    <a:ln>
                      <a:noFill/>
                    </a:ln>
                    <a:effectLst>
                      <a:outerShdw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p>
    <w:p w:rsidR="008E44E4" w:rsidRPr="00A31FC5" w:rsidRDefault="008E44E4" w:rsidP="008E44E4">
      <w:pPr>
        <w:autoSpaceDE w:val="0"/>
        <w:autoSpaceDN w:val="0"/>
        <w:adjustRightInd w:val="0"/>
        <w:spacing w:after="0" w:line="240" w:lineRule="auto"/>
        <w:jc w:val="center"/>
        <w:rPr>
          <w:rFonts w:cs="Times New Roman"/>
          <w:i/>
          <w:color w:val="000000"/>
          <w:sz w:val="20"/>
          <w:szCs w:val="20"/>
          <w:lang w:val="en-US"/>
        </w:rPr>
      </w:pPr>
      <w:r w:rsidRPr="00A31FC5">
        <w:rPr>
          <w:rFonts w:cs="Times New Roman"/>
          <w:i/>
          <w:color w:val="000000"/>
          <w:sz w:val="20"/>
          <w:szCs w:val="20"/>
          <w:lang w:val="en-US"/>
        </w:rPr>
        <w:t>Figure II: Process Diagram for Review of the Procurement Plan</w:t>
      </w:r>
    </w:p>
    <w:p w:rsidR="008E44E4" w:rsidRPr="00A31FC5" w:rsidRDefault="008E44E4" w:rsidP="008E44E4">
      <w:pPr>
        <w:autoSpaceDE w:val="0"/>
        <w:autoSpaceDN w:val="0"/>
        <w:adjustRightInd w:val="0"/>
        <w:spacing w:after="0" w:line="240" w:lineRule="auto"/>
        <w:jc w:val="center"/>
        <w:rPr>
          <w:rFonts w:cs="Times New Roman"/>
          <w:color w:val="000000"/>
          <w:sz w:val="20"/>
          <w:szCs w:val="20"/>
          <w:lang w:val="en-US"/>
        </w:rPr>
      </w:pPr>
    </w:p>
    <w:p w:rsidR="008E44E4" w:rsidRDefault="008E44E4" w:rsidP="008E44E4">
      <w:pPr>
        <w:autoSpaceDE w:val="0"/>
        <w:autoSpaceDN w:val="0"/>
        <w:adjustRightInd w:val="0"/>
        <w:spacing w:after="0" w:line="240" w:lineRule="auto"/>
        <w:jc w:val="both"/>
        <w:rPr>
          <w:rFonts w:cs="Times New Roman"/>
          <w:b/>
          <w:color w:val="000000"/>
          <w:sz w:val="20"/>
          <w:szCs w:val="20"/>
          <w:lang w:val="en-US"/>
        </w:rPr>
      </w:pPr>
    </w:p>
    <w:p w:rsidR="00A31FC5" w:rsidRDefault="00A31FC5" w:rsidP="008E44E4">
      <w:pPr>
        <w:autoSpaceDE w:val="0"/>
        <w:autoSpaceDN w:val="0"/>
        <w:adjustRightInd w:val="0"/>
        <w:spacing w:after="0" w:line="240" w:lineRule="auto"/>
        <w:jc w:val="both"/>
        <w:rPr>
          <w:rFonts w:cs="Times New Roman"/>
          <w:b/>
          <w:color w:val="000000"/>
          <w:sz w:val="20"/>
          <w:szCs w:val="20"/>
          <w:lang w:val="en-US"/>
        </w:rPr>
      </w:pPr>
    </w:p>
    <w:p w:rsidR="00A31FC5" w:rsidRDefault="00A31FC5" w:rsidP="008E44E4">
      <w:pPr>
        <w:autoSpaceDE w:val="0"/>
        <w:autoSpaceDN w:val="0"/>
        <w:adjustRightInd w:val="0"/>
        <w:spacing w:after="0" w:line="240" w:lineRule="auto"/>
        <w:jc w:val="both"/>
        <w:rPr>
          <w:rFonts w:cs="Times New Roman"/>
          <w:b/>
          <w:color w:val="000000"/>
          <w:sz w:val="20"/>
          <w:szCs w:val="20"/>
          <w:lang w:val="en-US"/>
        </w:rPr>
      </w:pPr>
    </w:p>
    <w:p w:rsidR="00A31FC5" w:rsidRPr="00A31FC5" w:rsidRDefault="00A31FC5" w:rsidP="008E44E4">
      <w:pPr>
        <w:autoSpaceDE w:val="0"/>
        <w:autoSpaceDN w:val="0"/>
        <w:adjustRightInd w:val="0"/>
        <w:spacing w:after="0" w:line="240" w:lineRule="auto"/>
        <w:jc w:val="both"/>
        <w:rPr>
          <w:rFonts w:cs="Times New Roman"/>
          <w:b/>
          <w:color w:val="000000"/>
          <w:sz w:val="20"/>
          <w:szCs w:val="20"/>
          <w:lang w:val="en-US"/>
        </w:rPr>
      </w:pPr>
    </w:p>
    <w:p w:rsidR="008E44E4" w:rsidRPr="00A31FC5" w:rsidRDefault="008E44E4" w:rsidP="002E3A02">
      <w:pPr>
        <w:pStyle w:val="ListParagraph"/>
        <w:numPr>
          <w:ilvl w:val="0"/>
          <w:numId w:val="36"/>
        </w:numPr>
        <w:spacing w:after="240" w:line="259" w:lineRule="auto"/>
        <w:contextualSpacing/>
        <w:rPr>
          <w:rFonts w:asciiTheme="minorHAnsi" w:hAnsiTheme="minorHAnsi"/>
          <w:b/>
          <w:sz w:val="20"/>
          <w:szCs w:val="20"/>
          <w:lang w:val="en-US"/>
        </w:rPr>
      </w:pPr>
      <w:r w:rsidRPr="00A31FC5">
        <w:rPr>
          <w:rFonts w:asciiTheme="minorHAnsi" w:hAnsiTheme="minorHAnsi"/>
          <w:b/>
          <w:sz w:val="20"/>
          <w:szCs w:val="20"/>
          <w:lang w:val="en-US"/>
        </w:rPr>
        <w:lastRenderedPageBreak/>
        <w:t>Project Implementation and Supervision Phase</w:t>
      </w:r>
    </w:p>
    <w:p w:rsidR="008E44E4" w:rsidRPr="00A31FC5" w:rsidRDefault="008E44E4" w:rsidP="008E44E4">
      <w:pPr>
        <w:autoSpaceDE w:val="0"/>
        <w:autoSpaceDN w:val="0"/>
        <w:adjustRightInd w:val="0"/>
        <w:spacing w:after="0" w:line="240" w:lineRule="auto"/>
        <w:jc w:val="both"/>
        <w:rPr>
          <w:rFonts w:cs="Times New Roman"/>
          <w:b/>
          <w:color w:val="00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E44E4" w:rsidRPr="0003745E" w:rsidTr="008E44E4">
        <w:tc>
          <w:tcPr>
            <w:tcW w:w="4675" w:type="dxa"/>
            <w:shd w:val="clear" w:color="auto" w:fill="F2F2F2" w:themeFill="background1" w:themeFillShade="F2"/>
            <w:vAlign w:val="center"/>
          </w:tcPr>
          <w:p w:rsidR="008E44E4" w:rsidRPr="00A31FC5" w:rsidRDefault="008E44E4" w:rsidP="001433AA">
            <w:pPr>
              <w:autoSpaceDE w:val="0"/>
              <w:autoSpaceDN w:val="0"/>
              <w:adjustRightInd w:val="0"/>
              <w:jc w:val="both"/>
              <w:rPr>
                <w:rFonts w:cs="Times New Roman"/>
                <w:b/>
                <w:color w:val="000000"/>
                <w:sz w:val="20"/>
                <w:szCs w:val="20"/>
              </w:rPr>
            </w:pPr>
            <w:r w:rsidRPr="00A31FC5">
              <w:rPr>
                <w:rFonts w:cs="Times New Roman"/>
                <w:b/>
                <w:color w:val="000000"/>
                <w:sz w:val="20"/>
                <w:szCs w:val="20"/>
              </w:rPr>
              <w:t>Borrower Procurement Tasks</w:t>
            </w:r>
          </w:p>
        </w:tc>
        <w:tc>
          <w:tcPr>
            <w:tcW w:w="4675" w:type="dxa"/>
            <w:shd w:val="clear" w:color="auto" w:fill="F2F2F2" w:themeFill="background1" w:themeFillShade="F2"/>
            <w:vAlign w:val="center"/>
          </w:tcPr>
          <w:p w:rsidR="008E44E4" w:rsidRPr="00A31FC5" w:rsidRDefault="008E44E4" w:rsidP="001433AA">
            <w:pPr>
              <w:autoSpaceDE w:val="0"/>
              <w:autoSpaceDN w:val="0"/>
              <w:adjustRightInd w:val="0"/>
              <w:jc w:val="both"/>
              <w:rPr>
                <w:rFonts w:cs="Times New Roman"/>
                <w:b/>
                <w:color w:val="000000"/>
                <w:sz w:val="20"/>
                <w:szCs w:val="20"/>
                <w:lang w:val="en-US"/>
              </w:rPr>
            </w:pPr>
            <w:r w:rsidRPr="00A31FC5">
              <w:rPr>
                <w:rFonts w:cs="Times New Roman"/>
                <w:b/>
                <w:color w:val="000000"/>
                <w:sz w:val="20"/>
                <w:szCs w:val="20"/>
                <w:lang w:val="en-US"/>
              </w:rPr>
              <w:t>Bank Mechanism to Manage Procurement Risk</w:t>
            </w:r>
          </w:p>
        </w:tc>
      </w:tr>
      <w:tr w:rsidR="008E44E4" w:rsidRPr="0003745E" w:rsidTr="008E44E4">
        <w:trPr>
          <w:trHeight w:val="5555"/>
        </w:trPr>
        <w:tc>
          <w:tcPr>
            <w:tcW w:w="4675" w:type="dxa"/>
          </w:tcPr>
          <w:p w:rsidR="008E44E4" w:rsidRPr="00A31FC5" w:rsidRDefault="008E44E4" w:rsidP="001433AA">
            <w:pPr>
              <w:autoSpaceDE w:val="0"/>
              <w:autoSpaceDN w:val="0"/>
              <w:adjustRightInd w:val="0"/>
              <w:spacing w:before="120"/>
              <w:jc w:val="both"/>
              <w:rPr>
                <w:rFonts w:cs="Times New Roman"/>
                <w:color w:val="000000"/>
                <w:sz w:val="20"/>
                <w:szCs w:val="20"/>
                <w:lang w:val="en-US"/>
              </w:rPr>
            </w:pPr>
            <w:r w:rsidRPr="00A31FC5">
              <w:rPr>
                <w:rFonts w:cs="Times New Roman"/>
                <w:color w:val="000000"/>
                <w:sz w:val="20"/>
                <w:szCs w:val="20"/>
                <w:lang w:val="en-US"/>
              </w:rPr>
              <w:t xml:space="preserve">The Borrower implements the project, in accordance with the Financing Agreement that follows the Bank's Procurement Guidelines: </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Updates procurement plan throughout the duration of the project at least annually by including contracts previously awarded and to be procured in the next 12 (twelve) months</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rPr>
            </w:pPr>
            <w:r w:rsidRPr="00A31FC5">
              <w:rPr>
                <w:rFonts w:asciiTheme="minorHAnsi" w:hAnsiTheme="minorHAnsi"/>
                <w:color w:val="000000"/>
                <w:sz w:val="20"/>
                <w:szCs w:val="20"/>
              </w:rPr>
              <w:t>Prepares and issues procurement documents</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rPr>
            </w:pPr>
            <w:r w:rsidRPr="00A31FC5">
              <w:rPr>
                <w:rFonts w:asciiTheme="minorHAnsi" w:hAnsiTheme="minorHAnsi"/>
                <w:color w:val="000000"/>
                <w:sz w:val="20"/>
                <w:szCs w:val="20"/>
              </w:rPr>
              <w:t>Receives and evaluates bids</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rPr>
            </w:pPr>
            <w:r w:rsidRPr="00A31FC5">
              <w:rPr>
                <w:rFonts w:asciiTheme="minorHAnsi" w:hAnsiTheme="minorHAnsi"/>
                <w:color w:val="000000"/>
                <w:sz w:val="20"/>
                <w:szCs w:val="20"/>
              </w:rPr>
              <w:t>Awards contracts</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rPr>
            </w:pPr>
            <w:r w:rsidRPr="00A31FC5">
              <w:rPr>
                <w:rFonts w:asciiTheme="minorHAnsi" w:hAnsiTheme="minorHAnsi"/>
                <w:color w:val="000000"/>
                <w:sz w:val="20"/>
                <w:szCs w:val="20"/>
              </w:rPr>
              <w:t>Supervises contract implementation</w:t>
            </w:r>
          </w:p>
        </w:tc>
        <w:tc>
          <w:tcPr>
            <w:tcW w:w="4675" w:type="dxa"/>
          </w:tcPr>
          <w:p w:rsidR="008E44E4" w:rsidRPr="00A31FC5" w:rsidRDefault="008E44E4" w:rsidP="001433AA">
            <w:pPr>
              <w:autoSpaceDE w:val="0"/>
              <w:autoSpaceDN w:val="0"/>
              <w:adjustRightInd w:val="0"/>
              <w:spacing w:before="120"/>
              <w:rPr>
                <w:rFonts w:cs="Times New Roman"/>
                <w:color w:val="000000"/>
                <w:sz w:val="20"/>
                <w:szCs w:val="20"/>
                <w:lang w:val="en-US"/>
              </w:rPr>
            </w:pPr>
            <w:r w:rsidRPr="00A31FC5">
              <w:rPr>
                <w:rFonts w:cs="Times New Roman"/>
                <w:color w:val="000000"/>
                <w:sz w:val="20"/>
                <w:szCs w:val="20"/>
                <w:lang w:val="en-US"/>
              </w:rPr>
              <w:t>After loan effectiveness, the Bank evaluates the Borrower's compliance with the Financing Agreement, monitors the Borrower’s adherence to the Procurement Plan, and monitors progress in the agreed action plan. The Bank fulfills these responsibilities in order to minimize risks by conducting:</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rPr>
            </w:pPr>
            <w:r w:rsidRPr="00A31FC5">
              <w:rPr>
                <w:rFonts w:asciiTheme="minorHAnsi" w:hAnsiTheme="minorHAnsi"/>
                <w:color w:val="000000"/>
                <w:sz w:val="20"/>
                <w:szCs w:val="20"/>
              </w:rPr>
              <w:t>Procurement reviews</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Supervision missions according to supervision arrangements in the Project Appraisal Document (e.g. follow-up of the action plan &amp; Procurement Plan; procurement reviews and physical inspections; periodic risk assessments)</w:t>
            </w:r>
          </w:p>
          <w:p w:rsidR="008E44E4" w:rsidRPr="00A31FC5" w:rsidRDefault="008E44E4" w:rsidP="002E3A02">
            <w:pPr>
              <w:pStyle w:val="ListParagraph"/>
              <w:numPr>
                <w:ilvl w:val="0"/>
                <w:numId w:val="35"/>
              </w:numPr>
              <w:autoSpaceDE w:val="0"/>
              <w:autoSpaceDN w:val="0"/>
              <w:adjustRightInd w:val="0"/>
              <w:spacing w:before="12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Mid-Term Review: evaluation of progress in procurement implementation (e.g. revision of procurement risk, evaluation of impact of major changes to procurement implementation, and update of Procurement Plan)</w:t>
            </w:r>
          </w:p>
        </w:tc>
      </w:tr>
    </w:tbl>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color w:val="000000"/>
          <w:sz w:val="20"/>
          <w:szCs w:val="20"/>
          <w:lang w:val="en-US"/>
        </w:rPr>
        <w:t>Figure III below illustrates the thresholds that trigger the more stringent Prior Review, based on the level of risk of the Implementing Agency, under a competitive selection process for Procurement and Consultants.</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autoSpaceDE w:val="0"/>
        <w:autoSpaceDN w:val="0"/>
        <w:adjustRightInd w:val="0"/>
        <w:spacing w:after="0" w:line="240" w:lineRule="auto"/>
        <w:jc w:val="center"/>
        <w:rPr>
          <w:rFonts w:cs="Times New Roman"/>
          <w:color w:val="000000"/>
          <w:sz w:val="20"/>
          <w:szCs w:val="20"/>
        </w:rPr>
      </w:pPr>
      <w:r w:rsidRPr="00A31FC5">
        <w:rPr>
          <w:rFonts w:cs="Times New Roman"/>
          <w:noProof/>
          <w:color w:val="000000"/>
          <w:sz w:val="20"/>
          <w:szCs w:val="20"/>
        </w:rPr>
        <w:drawing>
          <wp:inline distT="0" distB="0" distL="0" distR="0">
            <wp:extent cx="4878129" cy="3227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417"/>
                    <a:stretch/>
                  </pic:blipFill>
                  <pic:spPr bwMode="auto">
                    <a:xfrm>
                      <a:off x="0" y="0"/>
                      <a:ext cx="4887025" cy="3232955"/>
                    </a:xfrm>
                    <a:prstGeom prst="rect">
                      <a:avLst/>
                    </a:prstGeom>
                    <a:noFill/>
                    <a:ln>
                      <a:noFill/>
                    </a:ln>
                    <a:extLst>
                      <a:ext uri="{53640926-AAD7-44D8-BBD7-CCE9431645EC}">
                        <a14:shadowObscured xmlns:a14="http://schemas.microsoft.com/office/drawing/2010/main"/>
                      </a:ext>
                    </a:extLst>
                  </pic:spPr>
                </pic:pic>
              </a:graphicData>
            </a:graphic>
          </wp:inline>
        </w:drawing>
      </w:r>
    </w:p>
    <w:p w:rsidR="008E44E4" w:rsidRPr="00A31FC5" w:rsidRDefault="008E44E4" w:rsidP="008E44E4">
      <w:pPr>
        <w:autoSpaceDE w:val="0"/>
        <w:autoSpaceDN w:val="0"/>
        <w:adjustRightInd w:val="0"/>
        <w:spacing w:after="0" w:line="240" w:lineRule="auto"/>
        <w:jc w:val="center"/>
        <w:rPr>
          <w:rFonts w:cs="Times New Roman"/>
          <w:i/>
          <w:color w:val="000000"/>
          <w:sz w:val="20"/>
          <w:szCs w:val="20"/>
          <w:lang w:val="en-US"/>
        </w:rPr>
      </w:pPr>
      <w:r w:rsidRPr="00A31FC5">
        <w:rPr>
          <w:rFonts w:cs="Times New Roman"/>
          <w:i/>
          <w:color w:val="000000"/>
          <w:sz w:val="20"/>
          <w:szCs w:val="20"/>
          <w:lang w:val="en-US"/>
        </w:rPr>
        <w:t>Figure III: Prior Review Thresholds under Competitive Procurement and Consultants Selection Processes</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8E44E4">
      <w:pPr>
        <w:spacing w:after="0"/>
        <w:rPr>
          <w:rFonts w:cs="Times New Roman"/>
          <w:color w:val="000000"/>
          <w:sz w:val="20"/>
          <w:szCs w:val="20"/>
          <w:lang w:val="en-US"/>
        </w:rPr>
      </w:pPr>
    </w:p>
    <w:p w:rsidR="008E44E4" w:rsidRPr="00A31FC5" w:rsidRDefault="008E44E4" w:rsidP="008E44E4">
      <w:pPr>
        <w:spacing w:after="240"/>
        <w:rPr>
          <w:rFonts w:cs="Times New Roman"/>
          <w:b/>
          <w:color w:val="000000"/>
          <w:sz w:val="20"/>
          <w:szCs w:val="20"/>
          <w:lang w:val="en-US"/>
        </w:rPr>
      </w:pPr>
      <w:r w:rsidRPr="00A31FC5">
        <w:rPr>
          <w:rFonts w:cs="Times New Roman"/>
          <w:b/>
          <w:color w:val="000000"/>
          <w:sz w:val="20"/>
          <w:szCs w:val="20"/>
          <w:lang w:val="en-US"/>
        </w:rPr>
        <w:t xml:space="preserve">Misprocurement </w:t>
      </w:r>
    </w:p>
    <w:p w:rsidR="008E44E4" w:rsidRPr="00A31FC5" w:rsidRDefault="008E44E4" w:rsidP="008E44E4">
      <w:pPr>
        <w:autoSpaceDE w:val="0"/>
        <w:autoSpaceDN w:val="0"/>
        <w:adjustRightInd w:val="0"/>
        <w:spacing w:after="120" w:line="240" w:lineRule="auto"/>
        <w:jc w:val="both"/>
        <w:rPr>
          <w:rFonts w:cs="Times New Roman"/>
          <w:color w:val="000000"/>
          <w:sz w:val="20"/>
          <w:szCs w:val="20"/>
          <w:lang w:val="en-US"/>
        </w:rPr>
      </w:pPr>
      <w:r w:rsidRPr="00A31FC5">
        <w:rPr>
          <w:rFonts w:cs="Times New Roman"/>
          <w:color w:val="000000"/>
          <w:sz w:val="20"/>
          <w:szCs w:val="20"/>
          <w:lang w:val="en-US"/>
        </w:rPr>
        <w:t>When the Bank determines that the procedures followed by the project team for procurement are not in accordance with the procedures set forth in the loan agreement, as elaborated in the Procurement Plan, the Bank declares misprocurement and the consequence of that is the cancellation of the contract amount in the allocated budget. Misprocurement may be declared at any point during the procurement process or after conclusion or termination of a contract, including in cases when the Bank issued a ‘no objection’ on the basis of the information provided by the Borrower. Misprocurement may take place in any of the following situations:</w:t>
      </w:r>
    </w:p>
    <w:p w:rsidR="008E44E4" w:rsidRPr="00A31FC5" w:rsidRDefault="008E44E4" w:rsidP="002E3A02">
      <w:pPr>
        <w:pStyle w:val="ListParagraph"/>
        <w:numPr>
          <w:ilvl w:val="0"/>
          <w:numId w:val="31"/>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If the contract award is not in accordance with the Financing Agreement and Procurement Plan;</w:t>
      </w:r>
    </w:p>
    <w:p w:rsidR="008E44E4" w:rsidRPr="00A31FC5" w:rsidRDefault="008E44E4" w:rsidP="002E3A02">
      <w:pPr>
        <w:pStyle w:val="ListParagraph"/>
        <w:numPr>
          <w:ilvl w:val="0"/>
          <w:numId w:val="31"/>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If the Borrower has intentionally delayed a procurement process or rejected any bid wrongfully in order to prevent award to the bidder otherwise determined as successful;</w:t>
      </w:r>
    </w:p>
    <w:p w:rsidR="008E44E4" w:rsidRPr="00A31FC5" w:rsidRDefault="008E44E4" w:rsidP="002E3A02">
      <w:pPr>
        <w:pStyle w:val="ListParagraph"/>
        <w:numPr>
          <w:ilvl w:val="0"/>
          <w:numId w:val="31"/>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If the Borrower's representative or recipient of a part of a financing is engaged in fraud and corruption.</w:t>
      </w:r>
    </w:p>
    <w:p w:rsidR="008E44E4" w:rsidRPr="00A31FC5" w:rsidRDefault="008E44E4" w:rsidP="008E44E4">
      <w:pPr>
        <w:autoSpaceDE w:val="0"/>
        <w:autoSpaceDN w:val="0"/>
        <w:adjustRightInd w:val="0"/>
        <w:spacing w:after="0" w:line="240" w:lineRule="auto"/>
        <w:rPr>
          <w:rFonts w:cs="Times New Roman"/>
          <w:color w:val="000000"/>
          <w:sz w:val="20"/>
          <w:szCs w:val="20"/>
          <w:lang w:val="en-US"/>
        </w:rPr>
      </w:pPr>
    </w:p>
    <w:p w:rsidR="008E44E4" w:rsidRPr="00A31FC5" w:rsidRDefault="008E44E4" w:rsidP="008E44E4">
      <w:pPr>
        <w:autoSpaceDE w:val="0"/>
        <w:autoSpaceDN w:val="0"/>
        <w:adjustRightInd w:val="0"/>
        <w:spacing w:after="120" w:line="240" w:lineRule="auto"/>
        <w:rPr>
          <w:rFonts w:cs="Times New Roman"/>
          <w:color w:val="000000"/>
          <w:sz w:val="20"/>
          <w:szCs w:val="20"/>
        </w:rPr>
      </w:pPr>
      <w:r w:rsidRPr="00A31FC5">
        <w:rPr>
          <w:rFonts w:cs="Times New Roman"/>
          <w:color w:val="000000"/>
          <w:sz w:val="20"/>
          <w:szCs w:val="20"/>
        </w:rPr>
        <w:t>In such cases:</w:t>
      </w:r>
    </w:p>
    <w:p w:rsidR="008E44E4" w:rsidRPr="00A31FC5" w:rsidRDefault="008E44E4" w:rsidP="002E3A02">
      <w:pPr>
        <w:pStyle w:val="ListParagraph"/>
        <w:numPr>
          <w:ilvl w:val="0"/>
          <w:numId w:val="30"/>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The Bank will declare ‘misprocurement’;</w:t>
      </w:r>
    </w:p>
    <w:p w:rsidR="008E44E4" w:rsidRPr="00A31FC5" w:rsidRDefault="008E44E4" w:rsidP="002E3A02">
      <w:pPr>
        <w:pStyle w:val="ListParagraph"/>
        <w:numPr>
          <w:ilvl w:val="0"/>
          <w:numId w:val="30"/>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The Bank does not finance the expenditure for such goods, works, non-consulting, or consulting services;</w:t>
      </w:r>
    </w:p>
    <w:p w:rsidR="008E44E4" w:rsidRPr="00A31FC5" w:rsidRDefault="008E44E4" w:rsidP="002E3A02">
      <w:pPr>
        <w:pStyle w:val="ListParagraph"/>
        <w:numPr>
          <w:ilvl w:val="0"/>
          <w:numId w:val="30"/>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It is the Bank's Policy to cancel that portion of the financing that is allocated to the misprocured goods, works, non-consulting, or consulting services;</w:t>
      </w:r>
    </w:p>
    <w:p w:rsidR="008E44E4" w:rsidRPr="00A31FC5" w:rsidRDefault="008E44E4" w:rsidP="002E3A02">
      <w:pPr>
        <w:pStyle w:val="ListParagraph"/>
        <w:numPr>
          <w:ilvl w:val="0"/>
          <w:numId w:val="30"/>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sz w:val="20"/>
          <w:szCs w:val="20"/>
          <w:lang w:val="en-US"/>
        </w:rPr>
        <w:t>The Bank may exercise other remedies as mentioned in the Financing Agreement.</w:t>
      </w:r>
    </w:p>
    <w:p w:rsidR="008E44E4" w:rsidRPr="00A31FC5" w:rsidRDefault="008E44E4" w:rsidP="008E44E4">
      <w:pPr>
        <w:rPr>
          <w:rFonts w:cs="Times New Roman"/>
          <w:b/>
          <w:color w:val="000000"/>
          <w:sz w:val="20"/>
          <w:szCs w:val="20"/>
          <w:lang w:val="en-US"/>
        </w:rPr>
      </w:pPr>
    </w:p>
    <w:p w:rsidR="008E44E4" w:rsidRPr="00A31FC5" w:rsidRDefault="008E44E4" w:rsidP="008E44E4">
      <w:pPr>
        <w:spacing w:after="240"/>
        <w:rPr>
          <w:rFonts w:cs="Times New Roman"/>
          <w:b/>
          <w:color w:val="000000"/>
          <w:sz w:val="20"/>
          <w:szCs w:val="20"/>
          <w:lang w:val="en-US"/>
        </w:rPr>
      </w:pPr>
      <w:r w:rsidRPr="00A31FC5">
        <w:rPr>
          <w:rFonts w:cs="Times New Roman"/>
          <w:b/>
          <w:color w:val="000000"/>
          <w:sz w:val="20"/>
          <w:szCs w:val="20"/>
          <w:lang w:val="en-US"/>
        </w:rPr>
        <w:t xml:space="preserve">Fraud and Corruption </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r w:rsidRPr="00A31FC5">
        <w:rPr>
          <w:rFonts w:cs="Times New Roman"/>
          <w:color w:val="000000"/>
          <w:sz w:val="20"/>
          <w:szCs w:val="20"/>
          <w:lang w:val="en-US"/>
        </w:rPr>
        <w:t>It is the Bank’s policy to require that Borrowers (including beneficiaries of Bank loans) and bidders, and their personnel, observe the highest standard of ethics during the procurement and execution of all Bank-financed contracts. In accordance with this policy, should a case of fraud and corruption be identified in relation to a Bank-financed project, the Bank will:</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2E3A02">
      <w:pPr>
        <w:pStyle w:val="ListParagraph"/>
        <w:numPr>
          <w:ilvl w:val="0"/>
          <w:numId w:val="29"/>
        </w:numPr>
        <w:autoSpaceDE w:val="0"/>
        <w:autoSpaceDN w:val="0"/>
        <w:adjustRightInd w:val="0"/>
        <w:contextualSpacing/>
        <w:jc w:val="both"/>
        <w:rPr>
          <w:rFonts w:asciiTheme="minorHAnsi" w:hAnsiTheme="minorHAnsi"/>
          <w:color w:val="000000"/>
          <w:sz w:val="20"/>
          <w:szCs w:val="20"/>
          <w:lang w:val="en-US"/>
        </w:rPr>
      </w:pPr>
      <w:r w:rsidRPr="00A31FC5">
        <w:rPr>
          <w:rFonts w:asciiTheme="minorHAnsi" w:hAnsiTheme="minorHAnsi"/>
          <w:color w:val="000000"/>
          <w:sz w:val="20"/>
          <w:szCs w:val="20"/>
          <w:lang w:val="en-US"/>
        </w:rPr>
        <w:t>reject a proposal for award if it determines that the bidder recommended for award, or any of its personnel, or its agents, or its sub-consultants, sub-contractors, service providers, suppliers and/or their employees, has, directly or indirectly, engaged in corrupt, fraudulent, collusive, coercive, or obstructive practices in competing for the contract in question;</w:t>
      </w:r>
    </w:p>
    <w:p w:rsidR="008E44E4" w:rsidRPr="00A31FC5" w:rsidRDefault="008E44E4" w:rsidP="002E3A02">
      <w:pPr>
        <w:pStyle w:val="ListParagraph"/>
        <w:numPr>
          <w:ilvl w:val="0"/>
          <w:numId w:val="29"/>
        </w:numPr>
        <w:autoSpaceDE w:val="0"/>
        <w:autoSpaceDN w:val="0"/>
        <w:adjustRightInd w:val="0"/>
        <w:contextualSpacing/>
        <w:jc w:val="both"/>
        <w:rPr>
          <w:rFonts w:asciiTheme="minorHAnsi" w:hAnsiTheme="minorHAnsi"/>
          <w:color w:val="000000"/>
          <w:sz w:val="20"/>
          <w:szCs w:val="20"/>
          <w:lang w:val="en-US"/>
        </w:rPr>
      </w:pPr>
      <w:r w:rsidRPr="00A31FC5">
        <w:rPr>
          <w:rFonts w:asciiTheme="minorHAnsi" w:hAnsiTheme="minorHAnsi"/>
          <w:color w:val="000000"/>
          <w:sz w:val="20"/>
          <w:szCs w:val="20"/>
          <w:lang w:val="en-US"/>
        </w:rPr>
        <w:t>declare misprocurement and cancel the portion of the loan allocated to a contract if it determines at any time that representatives of the Borrower or of a recipient of any part of the proceeds of the loan engaged in corrupt, fraudulent, collusive, coercive, or obstructive practices during the procurement or the implementation of the contract in question, without the Borrower having taken timely and appropriate action satisfactory to the Bank to address such practices when they occur, including by failing to inform the Bank in a timely manner at the time they knew of the practices;</w:t>
      </w:r>
    </w:p>
    <w:p w:rsidR="008E44E4" w:rsidRPr="00A31FC5" w:rsidRDefault="008E44E4" w:rsidP="002E3A02">
      <w:pPr>
        <w:pStyle w:val="ListParagraph"/>
        <w:numPr>
          <w:ilvl w:val="0"/>
          <w:numId w:val="29"/>
        </w:numPr>
        <w:autoSpaceDE w:val="0"/>
        <w:autoSpaceDN w:val="0"/>
        <w:adjustRightInd w:val="0"/>
        <w:contextualSpacing/>
        <w:jc w:val="both"/>
        <w:rPr>
          <w:rFonts w:asciiTheme="minorHAnsi" w:hAnsiTheme="minorHAnsi"/>
          <w:color w:val="000000"/>
          <w:sz w:val="20"/>
          <w:szCs w:val="20"/>
          <w:lang w:val="en-US"/>
        </w:rPr>
      </w:pPr>
      <w:r w:rsidRPr="00A31FC5">
        <w:rPr>
          <w:rFonts w:asciiTheme="minorHAnsi" w:hAnsiTheme="minorHAnsi"/>
          <w:color w:val="000000"/>
          <w:sz w:val="20"/>
          <w:szCs w:val="20"/>
          <w:lang w:val="en-US"/>
        </w:rPr>
        <w:t>sanction a firm or individual, at any time, in accordance with the prevailing Bank’s sanctions procedures, including by publicly declaring such firm or individual ineligible, either indefinitely or for a stated period of time: (i) to be awarded a Bank-financed contract; and (ii) to be a nominated sub-contractor, consultant, supplier, or service provider of an otherwise eligible firm being awarded a Bank-financed contract;</w:t>
      </w:r>
    </w:p>
    <w:p w:rsidR="008E44E4" w:rsidRPr="00A31FC5" w:rsidRDefault="008E44E4" w:rsidP="002E3A02">
      <w:pPr>
        <w:pStyle w:val="ListParagraph"/>
        <w:numPr>
          <w:ilvl w:val="0"/>
          <w:numId w:val="29"/>
        </w:numPr>
        <w:autoSpaceDE w:val="0"/>
        <w:autoSpaceDN w:val="0"/>
        <w:adjustRightInd w:val="0"/>
        <w:contextualSpacing/>
        <w:jc w:val="both"/>
        <w:rPr>
          <w:rFonts w:asciiTheme="minorHAnsi" w:hAnsiTheme="minorHAnsi"/>
          <w:color w:val="000000"/>
          <w:sz w:val="20"/>
          <w:szCs w:val="20"/>
          <w:lang w:val="en-US"/>
        </w:rPr>
      </w:pPr>
      <w:r w:rsidRPr="00A31FC5">
        <w:rPr>
          <w:rFonts w:asciiTheme="minorHAnsi" w:hAnsiTheme="minorHAnsi"/>
          <w:color w:val="000000"/>
          <w:sz w:val="20"/>
          <w:szCs w:val="20"/>
          <w:lang w:val="en-US"/>
        </w:rPr>
        <w:t>require that a clause be included in bidding documents and in contracts financed by a Bank loan, requiring bidders, suppliers and contractors, and their sub-contractors, agents, personnel, consultants, service providers, or suppliers, to permit the Bank to inspect all accounts, records, and other documents relating to the submission of bids and contract performance, and to have them audited by auditors appointed by the Bank; and</w:t>
      </w:r>
    </w:p>
    <w:p w:rsidR="008E44E4" w:rsidRPr="00A31FC5" w:rsidRDefault="008E44E4" w:rsidP="002E3A02">
      <w:pPr>
        <w:pStyle w:val="ListParagraph"/>
        <w:numPr>
          <w:ilvl w:val="0"/>
          <w:numId w:val="29"/>
        </w:numPr>
        <w:autoSpaceDE w:val="0"/>
        <w:autoSpaceDN w:val="0"/>
        <w:adjustRightInd w:val="0"/>
        <w:contextualSpacing/>
        <w:jc w:val="both"/>
        <w:rPr>
          <w:rFonts w:asciiTheme="minorHAnsi" w:hAnsiTheme="minorHAnsi"/>
          <w:color w:val="000000"/>
          <w:sz w:val="20"/>
          <w:szCs w:val="20"/>
          <w:lang w:val="en-US"/>
        </w:rPr>
      </w:pPr>
      <w:r w:rsidRPr="00A31FC5">
        <w:rPr>
          <w:rFonts w:asciiTheme="minorHAnsi" w:hAnsiTheme="minorHAnsi"/>
          <w:color w:val="000000"/>
          <w:sz w:val="20"/>
          <w:szCs w:val="20"/>
          <w:lang w:val="en-US"/>
        </w:rPr>
        <w:t>require that, when a Borrower procures goods, works or non-consulting services directly from a United Nations (UN) agency in accordance with paragraph 3.10 of these Guidelines under an agreement signed between the Borrower and the UN agency, the above provisions of this paragraph 1.16 regarding sanctions on fraud or corruption shall apply in their entirety to all suppliers, contractors, service providers, consultants, sub-contractors or sub-consultants, and their employees that signed contracts with the UN agency.</w:t>
      </w:r>
    </w:p>
    <w:p w:rsidR="008E44E4" w:rsidRPr="00A31FC5" w:rsidRDefault="008E44E4" w:rsidP="008E44E4">
      <w:pPr>
        <w:autoSpaceDE w:val="0"/>
        <w:autoSpaceDN w:val="0"/>
        <w:adjustRightInd w:val="0"/>
        <w:spacing w:after="0" w:line="240" w:lineRule="auto"/>
        <w:jc w:val="both"/>
        <w:rPr>
          <w:rFonts w:cs="Times New Roman"/>
          <w:color w:val="000000"/>
          <w:sz w:val="20"/>
          <w:szCs w:val="20"/>
          <w:lang w:val="en-US"/>
        </w:rPr>
      </w:pPr>
    </w:p>
    <w:p w:rsidR="008E44E4" w:rsidRPr="00A31FC5" w:rsidRDefault="008E44E4" w:rsidP="002E3A02">
      <w:pPr>
        <w:pStyle w:val="ListParagraph"/>
        <w:numPr>
          <w:ilvl w:val="0"/>
          <w:numId w:val="24"/>
        </w:numPr>
        <w:spacing w:after="240" w:line="259" w:lineRule="auto"/>
        <w:jc w:val="both"/>
        <w:rPr>
          <w:rFonts w:asciiTheme="minorHAnsi" w:hAnsiTheme="minorHAnsi"/>
          <w:b/>
          <w:color w:val="0070C0"/>
          <w:sz w:val="20"/>
          <w:szCs w:val="20"/>
        </w:rPr>
      </w:pPr>
      <w:r w:rsidRPr="00A31FC5">
        <w:rPr>
          <w:rFonts w:asciiTheme="minorHAnsi" w:hAnsiTheme="minorHAnsi"/>
          <w:b/>
          <w:color w:val="0070C0"/>
          <w:sz w:val="20"/>
          <w:szCs w:val="20"/>
        </w:rPr>
        <w:lastRenderedPageBreak/>
        <w:t>Fiduciary Mechanism for Financial Management</w:t>
      </w:r>
    </w:p>
    <w:p w:rsidR="008E44E4" w:rsidRPr="00A31FC5" w:rsidRDefault="008E44E4" w:rsidP="008E44E4">
      <w:pPr>
        <w:spacing w:after="0" w:line="240" w:lineRule="auto"/>
        <w:jc w:val="both"/>
        <w:rPr>
          <w:rFonts w:cs="Times New Roman"/>
          <w:sz w:val="20"/>
          <w:szCs w:val="20"/>
          <w:lang w:val="en-US"/>
        </w:rPr>
      </w:pPr>
      <w:r w:rsidRPr="00A31FC5">
        <w:rPr>
          <w:rFonts w:cs="Times New Roman"/>
          <w:sz w:val="20"/>
          <w:szCs w:val="20"/>
          <w:lang w:val="en-US"/>
        </w:rPr>
        <w:t xml:space="preserve">The Bank’s Operational Policy 10.00 defines the financial management (FM) arrangements in projects as the </w:t>
      </w:r>
      <w:r w:rsidRPr="00A31FC5">
        <w:rPr>
          <w:rFonts w:cs="Times New Roman"/>
          <w:i/>
          <w:sz w:val="20"/>
          <w:szCs w:val="20"/>
          <w:lang w:val="en-US"/>
        </w:rPr>
        <w:t>planning and budgeting, accounting, internal control, funds flow, financial reporting, and auditing arrangements of the Borrower and entity responsible for project implementation</w:t>
      </w:r>
      <w:r w:rsidRPr="00A31FC5">
        <w:rPr>
          <w:rFonts w:cs="Times New Roman"/>
          <w:sz w:val="20"/>
          <w:szCs w:val="20"/>
          <w:lang w:val="en-US"/>
        </w:rPr>
        <w:t>. The FM arrangements rely on the Borrower’s existing institutions and systems, with due consideration to the capacity of those institutions.</w:t>
      </w:r>
    </w:p>
    <w:p w:rsidR="008E44E4" w:rsidRPr="00A31FC5" w:rsidRDefault="008E44E4" w:rsidP="008E44E4">
      <w:pPr>
        <w:pStyle w:val="ListParagraph"/>
        <w:jc w:val="both"/>
        <w:rPr>
          <w:rFonts w:asciiTheme="minorHAnsi" w:hAnsiTheme="minorHAnsi"/>
          <w:b/>
          <w:sz w:val="20"/>
          <w:szCs w:val="20"/>
          <w:lang w:val="en-US"/>
        </w:rPr>
      </w:pPr>
    </w:p>
    <w:p w:rsidR="008E44E4" w:rsidRPr="00A31FC5" w:rsidRDefault="008E44E4" w:rsidP="002E3A02">
      <w:pPr>
        <w:pStyle w:val="ListParagraph"/>
        <w:numPr>
          <w:ilvl w:val="0"/>
          <w:numId w:val="25"/>
        </w:numPr>
        <w:contextualSpacing/>
        <w:jc w:val="both"/>
        <w:rPr>
          <w:rFonts w:asciiTheme="minorHAnsi" w:hAnsiTheme="minorHAnsi"/>
          <w:b/>
          <w:sz w:val="20"/>
          <w:szCs w:val="20"/>
        </w:rPr>
      </w:pPr>
      <w:r w:rsidRPr="00A31FC5">
        <w:rPr>
          <w:rFonts w:asciiTheme="minorHAnsi" w:hAnsiTheme="minorHAnsi"/>
          <w:b/>
          <w:sz w:val="20"/>
          <w:szCs w:val="20"/>
        </w:rPr>
        <w:t>Project Preparation Phase</w:t>
      </w:r>
    </w:p>
    <w:p w:rsidR="008E44E4" w:rsidRPr="00A31FC5" w:rsidRDefault="008E44E4" w:rsidP="008E44E4">
      <w:pPr>
        <w:spacing w:after="0" w:line="240" w:lineRule="auto"/>
        <w:jc w:val="both"/>
        <w:rPr>
          <w:rFonts w:cs="Times New Roman"/>
          <w:b/>
          <w:i/>
          <w:color w:val="1F497D"/>
          <w:sz w:val="20"/>
          <w:szCs w:val="20"/>
          <w:lang w:val="en-CA"/>
        </w:rPr>
      </w:pPr>
    </w:p>
    <w:p w:rsidR="008E44E4" w:rsidRPr="00A31FC5" w:rsidRDefault="008E44E4" w:rsidP="008E44E4">
      <w:pPr>
        <w:spacing w:after="0" w:line="240" w:lineRule="auto"/>
        <w:jc w:val="both"/>
        <w:rPr>
          <w:rFonts w:cs="Times New Roman"/>
          <w:sz w:val="20"/>
          <w:szCs w:val="20"/>
          <w:lang w:val="en-US"/>
        </w:rPr>
      </w:pPr>
      <w:r w:rsidRPr="00A31FC5">
        <w:rPr>
          <w:rFonts w:cs="Times New Roman"/>
          <w:sz w:val="20"/>
          <w:szCs w:val="20"/>
          <w:lang w:val="en-US"/>
        </w:rPr>
        <w:t xml:space="preserve">During the preparation stage, FM staff assess the financial management risks to achieving the project’s development objectives and determine the adequacy of the FM arrangements proposed at the implementing agency levels, together with any measures needed to mitigate the impact of the likelihood of risks materializing. </w:t>
      </w:r>
    </w:p>
    <w:p w:rsidR="008E44E4" w:rsidRPr="00A31FC5" w:rsidRDefault="008E44E4" w:rsidP="008E44E4">
      <w:pPr>
        <w:spacing w:after="0" w:line="240" w:lineRule="auto"/>
        <w:jc w:val="both"/>
        <w:rPr>
          <w:rFonts w:cs="Times New Roman"/>
          <w:color w:val="1F497D"/>
          <w:sz w:val="20"/>
          <w:szCs w:val="20"/>
          <w:lang w:val="en-CA"/>
        </w:rPr>
      </w:pPr>
    </w:p>
    <w:p w:rsidR="008E44E4" w:rsidRPr="00A31FC5" w:rsidRDefault="008E44E4" w:rsidP="002E3A02">
      <w:pPr>
        <w:pStyle w:val="ListParagraph"/>
        <w:numPr>
          <w:ilvl w:val="0"/>
          <w:numId w:val="25"/>
        </w:numPr>
        <w:contextualSpacing/>
        <w:jc w:val="both"/>
        <w:rPr>
          <w:rFonts w:asciiTheme="minorHAnsi" w:hAnsiTheme="minorHAnsi"/>
          <w:b/>
          <w:sz w:val="20"/>
          <w:szCs w:val="20"/>
        </w:rPr>
      </w:pPr>
      <w:r w:rsidRPr="00A31FC5">
        <w:rPr>
          <w:rFonts w:asciiTheme="minorHAnsi" w:hAnsiTheme="minorHAnsi"/>
          <w:b/>
          <w:sz w:val="20"/>
          <w:szCs w:val="20"/>
        </w:rPr>
        <w:t>Project Implementation and Supervision Phase</w:t>
      </w:r>
    </w:p>
    <w:p w:rsidR="008E44E4" w:rsidRPr="00A31FC5" w:rsidRDefault="008E44E4" w:rsidP="008E44E4">
      <w:pPr>
        <w:pStyle w:val="ListParagraph"/>
        <w:jc w:val="both"/>
        <w:rPr>
          <w:rFonts w:asciiTheme="minorHAnsi" w:hAnsiTheme="minorHAnsi"/>
          <w:b/>
          <w:sz w:val="20"/>
          <w:szCs w:val="20"/>
        </w:rPr>
      </w:pPr>
    </w:p>
    <w:p w:rsidR="008E44E4" w:rsidRPr="00A31FC5" w:rsidRDefault="008E44E4" w:rsidP="008E44E4">
      <w:pPr>
        <w:spacing w:after="120" w:line="240" w:lineRule="auto"/>
        <w:jc w:val="both"/>
        <w:rPr>
          <w:rFonts w:cs="Times New Roman"/>
          <w:sz w:val="20"/>
          <w:szCs w:val="20"/>
          <w:lang w:val="en-CA"/>
        </w:rPr>
      </w:pPr>
      <w:r w:rsidRPr="00A31FC5">
        <w:rPr>
          <w:rFonts w:cs="Times New Roman"/>
          <w:sz w:val="20"/>
          <w:szCs w:val="20"/>
          <w:lang w:val="en-CA"/>
        </w:rPr>
        <w:t>Throughout the project’s life cycle, FM specialists in task teams work with the country Borrower to ensure sound management of funds and accountability for project resources in achieving the desired development results. This is achieved through:</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quarterly review of Interim Financial Reports (IFRs);</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review of annual audited financial statements and related audit reports;</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periodic on-site supervision visits, the frequency of which is based on project risk rating, typically ranging from three (3) to six (6) months;</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impromptu in-depth operational and transaction reviews;</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application of sanctions as the need may arise (e.g. if Ineligible Expenses are identified to have been billed for reimbursement)</w:t>
      </w:r>
    </w:p>
    <w:p w:rsidR="008E44E4" w:rsidRPr="00A31FC5" w:rsidRDefault="008E44E4" w:rsidP="008E44E4">
      <w:pPr>
        <w:pStyle w:val="ListParagraph"/>
        <w:jc w:val="both"/>
        <w:rPr>
          <w:rFonts w:asciiTheme="minorHAnsi" w:hAnsiTheme="minorHAnsi"/>
          <w:sz w:val="20"/>
          <w:szCs w:val="20"/>
          <w:lang w:val="en-CA"/>
        </w:rPr>
      </w:pPr>
    </w:p>
    <w:p w:rsidR="008E44E4" w:rsidRPr="00A31FC5" w:rsidRDefault="008E44E4" w:rsidP="008E44E4">
      <w:pPr>
        <w:spacing w:after="240" w:line="240" w:lineRule="auto"/>
        <w:jc w:val="both"/>
        <w:rPr>
          <w:rFonts w:cs="Times New Roman"/>
          <w:sz w:val="20"/>
          <w:szCs w:val="20"/>
          <w:lang w:val="en-CA"/>
        </w:rPr>
      </w:pPr>
      <w:r w:rsidRPr="00A31FC5">
        <w:rPr>
          <w:rFonts w:cs="Times New Roman"/>
          <w:sz w:val="20"/>
          <w:szCs w:val="20"/>
          <w:lang w:val="en-CA"/>
        </w:rPr>
        <w:t>In this way, the Bank periodically assesses the Project, and reviews the monitoring activities carried out by the Borrower or Project Participant(s) pertaining to results, risks and implementation Status. The Bank then updates the project information and identifies necessary follow-up or remedial actions, as appropriate.</w:t>
      </w:r>
    </w:p>
    <w:p w:rsidR="008E44E4" w:rsidRPr="00A31FC5" w:rsidRDefault="008E44E4" w:rsidP="008E44E4">
      <w:pPr>
        <w:spacing w:after="240"/>
        <w:jc w:val="both"/>
        <w:rPr>
          <w:rFonts w:cs="Times New Roman"/>
          <w:sz w:val="20"/>
          <w:szCs w:val="20"/>
          <w:lang w:val="en-CA"/>
        </w:rPr>
      </w:pPr>
      <w:r w:rsidRPr="00A31FC5">
        <w:rPr>
          <w:rFonts w:cs="Times New Roman"/>
          <w:sz w:val="20"/>
          <w:szCs w:val="20"/>
          <w:lang w:val="en-CA"/>
        </w:rPr>
        <w:t>While annual audit reports continue to be generally required within 6 months following the Borrower’s financial year, alternative time limits are allowed. The Bank and the Borrower may agree on alternative time limits for presentation of annual audit reports, and such limits are reflected in the project documents. In the projects already approved by the Board, or for ongoing projects, these changes may be made through project re-structuring. This audit benefits the Borrower by helping to ensure that resources are used efficiently in financing project activities.</w:t>
      </w:r>
    </w:p>
    <w:p w:rsidR="008E44E4" w:rsidRPr="00A31FC5" w:rsidRDefault="008E44E4" w:rsidP="008E44E4">
      <w:pPr>
        <w:spacing w:after="0" w:line="240" w:lineRule="auto"/>
        <w:jc w:val="both"/>
        <w:rPr>
          <w:rFonts w:cs="Times New Roman"/>
          <w:b/>
          <w:sz w:val="20"/>
          <w:szCs w:val="20"/>
          <w:lang w:val="en-US"/>
        </w:rPr>
      </w:pPr>
      <w:r w:rsidRPr="00A31FC5">
        <w:rPr>
          <w:rFonts w:cs="Times New Roman"/>
          <w:b/>
          <w:sz w:val="20"/>
          <w:szCs w:val="20"/>
          <w:lang w:val="en-US"/>
        </w:rPr>
        <w:t>Ineligible expenditures</w:t>
      </w:r>
    </w:p>
    <w:p w:rsidR="008E44E4" w:rsidRPr="00A31FC5" w:rsidRDefault="008E44E4" w:rsidP="008E44E4">
      <w:pPr>
        <w:spacing w:after="0" w:line="240" w:lineRule="auto"/>
        <w:jc w:val="both"/>
        <w:rPr>
          <w:rFonts w:cs="Times New Roman"/>
          <w:b/>
          <w:sz w:val="20"/>
          <w:szCs w:val="20"/>
          <w:lang w:val="en-US"/>
        </w:rPr>
      </w:pPr>
    </w:p>
    <w:p w:rsidR="008E44E4" w:rsidRPr="00A31FC5" w:rsidRDefault="008E44E4" w:rsidP="008E44E4">
      <w:pPr>
        <w:spacing w:after="120"/>
        <w:jc w:val="both"/>
        <w:rPr>
          <w:rFonts w:cs="Times New Roman"/>
          <w:sz w:val="20"/>
          <w:szCs w:val="20"/>
        </w:rPr>
      </w:pPr>
      <w:r w:rsidRPr="00A31FC5">
        <w:rPr>
          <w:rFonts w:cs="Times New Roman"/>
          <w:sz w:val="20"/>
          <w:szCs w:val="20"/>
          <w:lang w:val="en-US"/>
        </w:rPr>
        <w:t>As part of the</w:t>
      </w:r>
      <w:r w:rsidRPr="00A31FC5">
        <w:rPr>
          <w:rFonts w:cs="Times New Roman"/>
          <w:sz w:val="20"/>
          <w:szCs w:val="20"/>
          <w:lang w:val="en-CA"/>
        </w:rPr>
        <w:t xml:space="preserve"> Bank's responsibility to provide implementation support and to monitor the Borrower's implementation of the project, FM reviews of the Borrower's control environment are carried out periodically to flag any risks that are likely to have a material impact on project outcomes. This review process takes into account the country's overall governance and anticorruption environment and sector and project-specific risks and advises the Bank team on the design and monitoring of mitigation measures from a FM perspective. In the case of misuse of funding or misprocurement, the Bank will deem the expense as an ‘</w:t>
      </w:r>
      <w:r w:rsidRPr="00A31FC5">
        <w:rPr>
          <w:rFonts w:cs="Times New Roman"/>
          <w:sz w:val="20"/>
          <w:szCs w:val="20"/>
          <w:lang w:val="en-US"/>
        </w:rPr>
        <w:t xml:space="preserve">Ineligible Expenditure’. </w:t>
      </w:r>
      <w:r w:rsidRPr="00A31FC5">
        <w:rPr>
          <w:rFonts w:cs="Times New Roman"/>
          <w:sz w:val="20"/>
          <w:szCs w:val="20"/>
        </w:rPr>
        <w:t>These include the following:</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items not covered by the project and category descriptions in the legal agreement;</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items not procured in accordance with the procurement plan and agreed procurement procedures;</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payments made before the legal agreement date or, for projects with retroactive financing provisions, before the earlier date specified in the legal agreement;</w:t>
      </w:r>
    </w:p>
    <w:p w:rsidR="008E44E4" w:rsidRPr="00A31FC5"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payments made for expenditures incurred after the closing date, except as otherwise agreed with the Bank (see the section on “Loan Account Closing”;</w:t>
      </w:r>
    </w:p>
    <w:p w:rsidR="008E44E4" w:rsidRDefault="008E44E4" w:rsidP="002E3A02">
      <w:pPr>
        <w:pStyle w:val="ListParagraph"/>
        <w:numPr>
          <w:ilvl w:val="0"/>
          <w:numId w:val="26"/>
        </w:numPr>
        <w:contextualSpacing/>
        <w:jc w:val="both"/>
        <w:rPr>
          <w:rFonts w:asciiTheme="minorHAnsi" w:hAnsiTheme="minorHAnsi"/>
          <w:sz w:val="20"/>
          <w:szCs w:val="20"/>
          <w:lang w:val="en-CA"/>
        </w:rPr>
      </w:pPr>
      <w:r w:rsidRPr="00A31FC5">
        <w:rPr>
          <w:rFonts w:asciiTheme="minorHAnsi" w:hAnsiTheme="minorHAnsi"/>
          <w:sz w:val="20"/>
          <w:szCs w:val="20"/>
          <w:lang w:val="en-CA"/>
        </w:rPr>
        <w:t>expenditures for which the Borrower has been unable to provide sufficient and appropriate evidence.</w:t>
      </w:r>
    </w:p>
    <w:p w:rsidR="00A31FC5" w:rsidRDefault="00A31FC5" w:rsidP="00A31FC5">
      <w:pPr>
        <w:pStyle w:val="ListParagraph"/>
        <w:contextualSpacing/>
        <w:jc w:val="both"/>
        <w:rPr>
          <w:rFonts w:asciiTheme="minorHAnsi" w:hAnsiTheme="minorHAnsi"/>
          <w:sz w:val="20"/>
          <w:szCs w:val="20"/>
          <w:lang w:val="en-CA"/>
        </w:rPr>
      </w:pPr>
    </w:p>
    <w:p w:rsidR="00A31FC5" w:rsidRPr="00A31FC5" w:rsidRDefault="00A31FC5" w:rsidP="00A31FC5">
      <w:pPr>
        <w:pStyle w:val="ListParagraph"/>
        <w:contextualSpacing/>
        <w:jc w:val="both"/>
        <w:rPr>
          <w:rFonts w:asciiTheme="minorHAnsi" w:hAnsiTheme="minorHAnsi"/>
          <w:sz w:val="20"/>
          <w:szCs w:val="20"/>
          <w:lang w:val="en-CA"/>
        </w:rPr>
      </w:pPr>
    </w:p>
    <w:p w:rsidR="008E44E4" w:rsidRPr="00A31FC5" w:rsidRDefault="008E44E4" w:rsidP="002E3A02">
      <w:pPr>
        <w:pStyle w:val="ListParagraph"/>
        <w:numPr>
          <w:ilvl w:val="0"/>
          <w:numId w:val="24"/>
        </w:numPr>
        <w:spacing w:after="240" w:line="259" w:lineRule="auto"/>
        <w:jc w:val="both"/>
        <w:rPr>
          <w:rFonts w:asciiTheme="minorHAnsi" w:hAnsiTheme="minorHAnsi"/>
          <w:b/>
          <w:color w:val="0070C0"/>
          <w:sz w:val="20"/>
          <w:szCs w:val="20"/>
          <w:lang w:val="en-US"/>
        </w:rPr>
      </w:pPr>
      <w:r w:rsidRPr="00A31FC5">
        <w:rPr>
          <w:rFonts w:asciiTheme="minorHAnsi" w:hAnsiTheme="minorHAnsi"/>
          <w:b/>
          <w:color w:val="0070C0"/>
          <w:sz w:val="20"/>
          <w:szCs w:val="20"/>
          <w:lang w:val="en-US"/>
        </w:rPr>
        <w:lastRenderedPageBreak/>
        <w:t>Fiduciary Mechanism for Disbursement Arrangements</w:t>
      </w:r>
    </w:p>
    <w:p w:rsidR="008E44E4" w:rsidRPr="00A31FC5" w:rsidRDefault="008E44E4" w:rsidP="008E44E4">
      <w:pPr>
        <w:autoSpaceDE w:val="0"/>
        <w:autoSpaceDN w:val="0"/>
        <w:adjustRightInd w:val="0"/>
        <w:spacing w:after="0" w:line="240" w:lineRule="auto"/>
        <w:jc w:val="both"/>
        <w:rPr>
          <w:rFonts w:cs="Times New Roman"/>
          <w:sz w:val="20"/>
          <w:szCs w:val="20"/>
          <w:lang w:val="en-CA"/>
        </w:rPr>
      </w:pPr>
      <w:r w:rsidRPr="00A31FC5">
        <w:rPr>
          <w:rFonts w:cs="Times New Roman"/>
          <w:sz w:val="20"/>
          <w:szCs w:val="20"/>
          <w:lang w:val="en-CA"/>
        </w:rPr>
        <w:t>The Bank establishes disbursement arrangements for an operation in consultation with the Borrower and taking into consideration, inter alia, an assessment of the borrower’s financial management and procurement arrangements, the procurement plan and cash flow needs of the operation, and its disbursement experience with the borrower.</w:t>
      </w:r>
    </w:p>
    <w:p w:rsidR="008E44E4" w:rsidRPr="00A31FC5" w:rsidRDefault="008E44E4" w:rsidP="008E44E4">
      <w:pPr>
        <w:autoSpaceDE w:val="0"/>
        <w:autoSpaceDN w:val="0"/>
        <w:adjustRightInd w:val="0"/>
        <w:spacing w:after="0" w:line="240" w:lineRule="auto"/>
        <w:jc w:val="both"/>
        <w:rPr>
          <w:rFonts w:cs="Times New Roman"/>
          <w:sz w:val="20"/>
          <w:szCs w:val="20"/>
          <w:lang w:val="en-CA"/>
        </w:rPr>
      </w:pPr>
    </w:p>
    <w:p w:rsidR="008E44E4" w:rsidRPr="00A31FC5" w:rsidRDefault="008E44E4" w:rsidP="008E44E4">
      <w:pPr>
        <w:autoSpaceDE w:val="0"/>
        <w:autoSpaceDN w:val="0"/>
        <w:adjustRightInd w:val="0"/>
        <w:spacing w:after="0" w:line="240" w:lineRule="auto"/>
        <w:jc w:val="both"/>
        <w:rPr>
          <w:rFonts w:cs="Times New Roman"/>
          <w:sz w:val="20"/>
          <w:szCs w:val="20"/>
          <w:lang w:val="en-CA"/>
        </w:rPr>
      </w:pPr>
      <w:r w:rsidRPr="00A31FC5">
        <w:rPr>
          <w:rFonts w:cs="Times New Roman"/>
          <w:sz w:val="20"/>
          <w:szCs w:val="20"/>
          <w:lang w:val="en-CA"/>
        </w:rPr>
        <w:t>Arrangements for secure, efficient, and cost-effective delivery of loan proceeds include the methods used for payment to the Borrower or to third parties and the supporting documentation to be provided to the Bank as evidence of the use of loan proceeds. Disbursement arrangements are sometimes more broadly defined to include the expenditures eligible for financing from the loan and the expenditure categories and disbursement percentages for a loan.</w:t>
      </w:r>
    </w:p>
    <w:p w:rsidR="008E44E4" w:rsidRPr="00A31FC5" w:rsidRDefault="008E44E4" w:rsidP="008E44E4">
      <w:pPr>
        <w:autoSpaceDE w:val="0"/>
        <w:autoSpaceDN w:val="0"/>
        <w:adjustRightInd w:val="0"/>
        <w:spacing w:after="0" w:line="240" w:lineRule="auto"/>
        <w:jc w:val="both"/>
        <w:rPr>
          <w:rFonts w:cs="Times New Roman"/>
          <w:sz w:val="20"/>
          <w:szCs w:val="20"/>
          <w:lang w:val="en-CA"/>
        </w:rPr>
      </w:pPr>
    </w:p>
    <w:p w:rsidR="008E44E4" w:rsidRPr="00A31FC5" w:rsidRDefault="008E44E4" w:rsidP="008E44E4">
      <w:pPr>
        <w:autoSpaceDE w:val="0"/>
        <w:autoSpaceDN w:val="0"/>
        <w:adjustRightInd w:val="0"/>
        <w:spacing w:after="120" w:line="240" w:lineRule="auto"/>
        <w:jc w:val="both"/>
        <w:rPr>
          <w:rFonts w:cs="Times New Roman"/>
          <w:sz w:val="20"/>
          <w:szCs w:val="20"/>
          <w:lang w:val="en-CA"/>
        </w:rPr>
      </w:pPr>
      <w:r w:rsidRPr="00A31FC5">
        <w:rPr>
          <w:rFonts w:cs="Times New Roman"/>
          <w:sz w:val="20"/>
          <w:szCs w:val="20"/>
          <w:lang w:val="en-CA"/>
        </w:rPr>
        <w:t>The Bank disburses proceeds from the Loan Account established for each loan, to or on the order of the Borrower, using one or more of the disbursement methods set forth below, as determined by the Bank:</w:t>
      </w:r>
    </w:p>
    <w:p w:rsidR="008E44E4" w:rsidRPr="00A31FC5" w:rsidRDefault="008E44E4" w:rsidP="002E3A02">
      <w:pPr>
        <w:pStyle w:val="ListParagraph"/>
        <w:numPr>
          <w:ilvl w:val="0"/>
          <w:numId w:val="37"/>
        </w:numPr>
        <w:autoSpaceDE w:val="0"/>
        <w:autoSpaceDN w:val="0"/>
        <w:adjustRightInd w:val="0"/>
        <w:spacing w:after="120"/>
        <w:jc w:val="both"/>
        <w:rPr>
          <w:rFonts w:asciiTheme="minorHAnsi" w:hAnsiTheme="minorHAnsi"/>
          <w:sz w:val="20"/>
          <w:szCs w:val="20"/>
          <w:lang w:val="en-CA"/>
        </w:rPr>
      </w:pPr>
      <w:r w:rsidRPr="00A31FC5">
        <w:rPr>
          <w:rFonts w:asciiTheme="minorHAnsi" w:hAnsiTheme="minorHAnsi"/>
          <w:b/>
          <w:sz w:val="20"/>
          <w:szCs w:val="20"/>
          <w:lang w:val="en-CA"/>
        </w:rPr>
        <w:t>Reimbursement:</w:t>
      </w:r>
      <w:r w:rsidRPr="00A31FC5">
        <w:rPr>
          <w:rFonts w:asciiTheme="minorHAnsi" w:hAnsiTheme="minorHAnsi"/>
          <w:sz w:val="20"/>
          <w:szCs w:val="20"/>
          <w:lang w:val="en-CA"/>
        </w:rPr>
        <w:t xml:space="preserve"> The Bank may reimburse the Borrower for expenditures eligible for financing pursuant to the loan agreement (“eligible expenditures”) that the Borrower has pre-financed from its own resources;</w:t>
      </w:r>
    </w:p>
    <w:p w:rsidR="008E44E4" w:rsidRPr="00A31FC5" w:rsidRDefault="008E44E4" w:rsidP="002E3A02">
      <w:pPr>
        <w:pStyle w:val="ListParagraph"/>
        <w:numPr>
          <w:ilvl w:val="0"/>
          <w:numId w:val="37"/>
        </w:numPr>
        <w:autoSpaceDE w:val="0"/>
        <w:autoSpaceDN w:val="0"/>
        <w:adjustRightInd w:val="0"/>
        <w:spacing w:after="120"/>
        <w:jc w:val="both"/>
        <w:rPr>
          <w:rFonts w:asciiTheme="minorHAnsi" w:hAnsiTheme="minorHAnsi"/>
          <w:sz w:val="20"/>
          <w:szCs w:val="20"/>
          <w:lang w:val="en-CA"/>
        </w:rPr>
      </w:pPr>
      <w:r w:rsidRPr="00A31FC5">
        <w:rPr>
          <w:rFonts w:asciiTheme="minorHAnsi" w:hAnsiTheme="minorHAnsi"/>
          <w:b/>
          <w:sz w:val="20"/>
          <w:szCs w:val="20"/>
          <w:lang w:val="en-CA"/>
        </w:rPr>
        <w:t>Advance:</w:t>
      </w:r>
      <w:r w:rsidRPr="00A31FC5">
        <w:rPr>
          <w:rFonts w:asciiTheme="minorHAnsi" w:hAnsiTheme="minorHAnsi"/>
          <w:sz w:val="20"/>
          <w:szCs w:val="20"/>
          <w:lang w:val="en-CA"/>
        </w:rPr>
        <w:t xml:space="preserve"> The Bank may advance loan proceeds into a Designated Account of the Borrower to finance eligible expenditures as they are incurred and for which supporting documents will be provided at a later date;</w:t>
      </w:r>
    </w:p>
    <w:p w:rsidR="008E44E4" w:rsidRPr="00A31FC5" w:rsidRDefault="008E44E4" w:rsidP="002E3A02">
      <w:pPr>
        <w:pStyle w:val="ListParagraph"/>
        <w:numPr>
          <w:ilvl w:val="0"/>
          <w:numId w:val="37"/>
        </w:numPr>
        <w:autoSpaceDE w:val="0"/>
        <w:autoSpaceDN w:val="0"/>
        <w:adjustRightInd w:val="0"/>
        <w:spacing w:after="120"/>
        <w:jc w:val="both"/>
        <w:rPr>
          <w:rFonts w:asciiTheme="minorHAnsi" w:hAnsiTheme="minorHAnsi"/>
          <w:sz w:val="20"/>
          <w:szCs w:val="20"/>
          <w:lang w:val="en-CA"/>
        </w:rPr>
      </w:pPr>
      <w:r w:rsidRPr="00A31FC5">
        <w:rPr>
          <w:rFonts w:asciiTheme="minorHAnsi" w:hAnsiTheme="minorHAnsi"/>
          <w:b/>
          <w:sz w:val="20"/>
          <w:szCs w:val="20"/>
          <w:lang w:val="en-CA"/>
        </w:rPr>
        <w:t>Direct Payment:</w:t>
      </w:r>
      <w:r w:rsidRPr="00A31FC5">
        <w:rPr>
          <w:rFonts w:asciiTheme="minorHAnsi" w:hAnsiTheme="minorHAnsi"/>
          <w:sz w:val="20"/>
          <w:szCs w:val="20"/>
          <w:lang w:val="en-CA"/>
        </w:rPr>
        <w:t xml:space="preserve"> The Bank may make payments, at the Borrower’s request, directly to a third party (e.g., supplier, contractor, consultant) for eligible expenditures;</w:t>
      </w:r>
    </w:p>
    <w:p w:rsidR="008E44E4" w:rsidRPr="00A31FC5" w:rsidRDefault="008E44E4" w:rsidP="002E3A02">
      <w:pPr>
        <w:pStyle w:val="ListParagraph"/>
        <w:numPr>
          <w:ilvl w:val="0"/>
          <w:numId w:val="37"/>
        </w:numPr>
        <w:autoSpaceDE w:val="0"/>
        <w:autoSpaceDN w:val="0"/>
        <w:adjustRightInd w:val="0"/>
        <w:contextualSpacing/>
        <w:jc w:val="both"/>
        <w:rPr>
          <w:rFonts w:asciiTheme="minorHAnsi" w:hAnsiTheme="minorHAnsi"/>
          <w:sz w:val="20"/>
          <w:szCs w:val="20"/>
          <w:lang w:val="en-CA"/>
        </w:rPr>
      </w:pPr>
      <w:r w:rsidRPr="00A31FC5">
        <w:rPr>
          <w:rFonts w:asciiTheme="minorHAnsi" w:hAnsiTheme="minorHAnsi"/>
          <w:b/>
          <w:sz w:val="20"/>
          <w:szCs w:val="20"/>
          <w:lang w:val="en-CA"/>
        </w:rPr>
        <w:t>Special Commitment:</w:t>
      </w:r>
      <w:r w:rsidRPr="00A31FC5">
        <w:rPr>
          <w:rFonts w:asciiTheme="minorHAnsi" w:hAnsiTheme="minorHAnsi"/>
          <w:sz w:val="20"/>
          <w:szCs w:val="20"/>
          <w:lang w:val="en-CA"/>
        </w:rPr>
        <w:t xml:space="preserve"> The Bank may pay amounts to a third party for eligible expenditures under special commitments entered into, in writing, at the Borrower’s request and on terms and conditions agreed between the Bank and the Borrower.</w:t>
      </w:r>
    </w:p>
    <w:p w:rsidR="008E44E4" w:rsidRPr="00A31FC5" w:rsidRDefault="008E44E4" w:rsidP="008E44E4">
      <w:pPr>
        <w:autoSpaceDE w:val="0"/>
        <w:autoSpaceDN w:val="0"/>
        <w:adjustRightInd w:val="0"/>
        <w:spacing w:after="0" w:line="240" w:lineRule="auto"/>
        <w:jc w:val="both"/>
        <w:rPr>
          <w:rFonts w:cs="Times New Roman"/>
          <w:sz w:val="20"/>
          <w:szCs w:val="20"/>
          <w:lang w:val="en-CA"/>
        </w:rPr>
      </w:pPr>
    </w:p>
    <w:p w:rsidR="008E44E4" w:rsidRPr="00A31FC5" w:rsidRDefault="008E44E4" w:rsidP="008E44E4">
      <w:pPr>
        <w:autoSpaceDE w:val="0"/>
        <w:autoSpaceDN w:val="0"/>
        <w:adjustRightInd w:val="0"/>
        <w:spacing w:after="0" w:line="240" w:lineRule="auto"/>
        <w:jc w:val="center"/>
        <w:rPr>
          <w:rFonts w:cs="Times New Roman"/>
          <w:sz w:val="20"/>
          <w:szCs w:val="20"/>
          <w:lang w:val="en-CA"/>
        </w:rPr>
      </w:pPr>
      <w:r w:rsidRPr="00A31FC5">
        <w:rPr>
          <w:rFonts w:cs="Times New Roman"/>
          <w:b/>
          <w:noProof/>
          <w:sz w:val="20"/>
          <w:szCs w:val="20"/>
        </w:rPr>
        <w:drawing>
          <wp:inline distT="0" distB="0" distL="0" distR="0">
            <wp:extent cx="5276850" cy="31119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4359" cy="3122315"/>
                    </a:xfrm>
                    <a:prstGeom prst="rect">
                      <a:avLst/>
                    </a:prstGeom>
                    <a:noFill/>
                    <a:ln>
                      <a:noFill/>
                    </a:ln>
                  </pic:spPr>
                </pic:pic>
              </a:graphicData>
            </a:graphic>
          </wp:inline>
        </w:drawing>
      </w:r>
    </w:p>
    <w:p w:rsidR="008E44E4" w:rsidRPr="00A31FC5" w:rsidRDefault="008E44E4" w:rsidP="008E44E4">
      <w:pPr>
        <w:autoSpaceDE w:val="0"/>
        <w:autoSpaceDN w:val="0"/>
        <w:adjustRightInd w:val="0"/>
        <w:spacing w:after="0" w:line="240" w:lineRule="auto"/>
        <w:jc w:val="center"/>
        <w:rPr>
          <w:rFonts w:cs="Times New Roman"/>
          <w:sz w:val="20"/>
          <w:szCs w:val="20"/>
          <w:lang w:val="en-CA"/>
        </w:rPr>
      </w:pPr>
      <w:r w:rsidRPr="00A31FC5">
        <w:rPr>
          <w:rFonts w:cs="Times New Roman"/>
          <w:i/>
          <w:color w:val="000000"/>
          <w:sz w:val="20"/>
          <w:szCs w:val="20"/>
          <w:lang w:val="en-US"/>
        </w:rPr>
        <w:t>Figure IV: Possible Disbursement Methods</w:t>
      </w:r>
    </w:p>
    <w:p w:rsidR="008E44E4" w:rsidRPr="00A31FC5" w:rsidRDefault="008E44E4" w:rsidP="008E44E4">
      <w:pPr>
        <w:autoSpaceDE w:val="0"/>
        <w:autoSpaceDN w:val="0"/>
        <w:adjustRightInd w:val="0"/>
        <w:spacing w:after="120" w:line="240" w:lineRule="auto"/>
        <w:jc w:val="both"/>
        <w:rPr>
          <w:rFonts w:cs="Times New Roman"/>
          <w:sz w:val="20"/>
          <w:szCs w:val="20"/>
          <w:lang w:val="en-CA"/>
        </w:rPr>
      </w:pPr>
      <w:r w:rsidRPr="00A31FC5">
        <w:rPr>
          <w:rFonts w:cs="Times New Roman"/>
          <w:bCs/>
          <w:sz w:val="20"/>
          <w:szCs w:val="20"/>
          <w:lang w:val="en-CA"/>
        </w:rPr>
        <w:t xml:space="preserve">In specific cases, the loan agreement may contain a disbursement condition for a specific expenditure category, in which case the Bank will disburse loan proceeds for that category only after the disbursement condition has been fulfilled and the Bank has notified the Borrower to this effect. </w:t>
      </w:r>
      <w:r w:rsidRPr="00A31FC5">
        <w:rPr>
          <w:rFonts w:cs="Times New Roman"/>
          <w:sz w:val="20"/>
          <w:szCs w:val="20"/>
          <w:lang w:val="en-CA"/>
        </w:rPr>
        <w:t>Normally, the condition applies to the first disbursement under a specific expenditure category. In the legal agreement, this condition is referred to as a withdrawal condition.</w:t>
      </w:r>
    </w:p>
    <w:p w:rsidR="008E44E4" w:rsidRPr="00A31FC5" w:rsidRDefault="008E44E4" w:rsidP="008E44E4">
      <w:pPr>
        <w:spacing w:after="120"/>
        <w:jc w:val="both"/>
        <w:rPr>
          <w:rFonts w:cs="Times New Roman"/>
          <w:sz w:val="20"/>
          <w:szCs w:val="20"/>
          <w:lang w:val="en-US"/>
        </w:rPr>
      </w:pPr>
      <w:r w:rsidRPr="00A31FC5">
        <w:rPr>
          <w:rFonts w:cs="Times New Roman"/>
          <w:sz w:val="20"/>
          <w:szCs w:val="20"/>
          <w:lang w:val="en-US"/>
        </w:rPr>
        <w:t xml:space="preserve">If the Bank determines that any payment out of the Designated Account was not justified by the evidence furnished to the Bank or was made for an ineligible expenditure, the Bank may, at its discretion, require the Borrower to take </w:t>
      </w:r>
      <w:r w:rsidRPr="00A31FC5">
        <w:rPr>
          <w:rFonts w:cs="Times New Roman"/>
          <w:sz w:val="20"/>
          <w:szCs w:val="20"/>
          <w:lang w:val="en-US"/>
        </w:rPr>
        <w:lastRenderedPageBreak/>
        <w:t>one of the actions listed below. Upon notification by the Bank, the Borrower must promptly take the action requested:</w:t>
      </w:r>
    </w:p>
    <w:p w:rsidR="008E44E4" w:rsidRPr="00A31FC5" w:rsidRDefault="008E44E4" w:rsidP="008E44E4">
      <w:pPr>
        <w:tabs>
          <w:tab w:val="left" w:pos="720"/>
        </w:tabs>
        <w:spacing w:after="0" w:line="240" w:lineRule="auto"/>
        <w:ind w:left="720" w:hanging="360"/>
        <w:jc w:val="both"/>
        <w:rPr>
          <w:rFonts w:cs="Times New Roman"/>
          <w:sz w:val="20"/>
          <w:szCs w:val="20"/>
          <w:lang w:val="en-US"/>
        </w:rPr>
      </w:pPr>
      <w:r w:rsidRPr="00A31FC5">
        <w:rPr>
          <w:rFonts w:cs="Times New Roman"/>
          <w:sz w:val="20"/>
          <w:szCs w:val="20"/>
          <w:lang w:val="en-US"/>
        </w:rPr>
        <w:t>(a)  Provide the additional evidence requested by the Bank;</w:t>
      </w:r>
    </w:p>
    <w:p w:rsidR="008E44E4" w:rsidRPr="00A31FC5" w:rsidRDefault="008E44E4" w:rsidP="008E44E4">
      <w:pPr>
        <w:spacing w:after="0" w:line="240" w:lineRule="auto"/>
        <w:ind w:left="720" w:hanging="360"/>
        <w:jc w:val="both"/>
        <w:rPr>
          <w:rFonts w:cs="Times New Roman"/>
          <w:sz w:val="20"/>
          <w:szCs w:val="20"/>
          <w:lang w:val="en-US"/>
        </w:rPr>
      </w:pPr>
      <w:r w:rsidRPr="00A31FC5">
        <w:rPr>
          <w:rFonts w:cs="Times New Roman"/>
          <w:sz w:val="20"/>
          <w:szCs w:val="20"/>
          <w:lang w:val="en-US"/>
        </w:rPr>
        <w:t>(b)  Deposit an equivalent amount into the Designated Account;</w:t>
      </w:r>
    </w:p>
    <w:p w:rsidR="008E44E4" w:rsidRPr="00A31FC5" w:rsidRDefault="008E44E4" w:rsidP="008E44E4">
      <w:pPr>
        <w:spacing w:after="0" w:line="240" w:lineRule="auto"/>
        <w:ind w:left="720" w:hanging="360"/>
        <w:jc w:val="both"/>
        <w:rPr>
          <w:rFonts w:cs="Times New Roman"/>
          <w:sz w:val="20"/>
          <w:szCs w:val="20"/>
          <w:lang w:val="en-US"/>
        </w:rPr>
      </w:pPr>
      <w:r w:rsidRPr="00A31FC5">
        <w:rPr>
          <w:rFonts w:cs="Times New Roman"/>
          <w:sz w:val="20"/>
          <w:szCs w:val="20"/>
          <w:lang w:val="en-US"/>
        </w:rPr>
        <w:t>(c)  Refund an equivalent amount to the Bank; or</w:t>
      </w:r>
    </w:p>
    <w:p w:rsidR="008E44E4" w:rsidRPr="00A31FC5" w:rsidRDefault="008E44E4" w:rsidP="008E44E4">
      <w:pPr>
        <w:spacing w:after="0" w:line="240" w:lineRule="auto"/>
        <w:ind w:left="720" w:hanging="360"/>
        <w:jc w:val="both"/>
        <w:rPr>
          <w:rFonts w:cs="Times New Roman"/>
          <w:sz w:val="20"/>
          <w:szCs w:val="20"/>
          <w:lang w:val="en-US"/>
        </w:rPr>
      </w:pPr>
      <w:r w:rsidRPr="00A31FC5">
        <w:rPr>
          <w:rFonts w:cs="Times New Roman"/>
          <w:sz w:val="20"/>
          <w:szCs w:val="20"/>
          <w:lang w:val="en-US"/>
        </w:rPr>
        <w:t>(d)  Exceptionally, provide substitute documentation evidencing other eligible expenditures.</w:t>
      </w:r>
    </w:p>
    <w:p w:rsidR="008E44E4" w:rsidRPr="00A31FC5" w:rsidRDefault="008E44E4" w:rsidP="008E44E4">
      <w:pPr>
        <w:spacing w:after="0" w:line="240" w:lineRule="auto"/>
        <w:ind w:left="720" w:hanging="360"/>
        <w:jc w:val="both"/>
        <w:rPr>
          <w:rFonts w:cs="Times New Roman"/>
          <w:color w:val="1F497D"/>
          <w:sz w:val="20"/>
          <w:szCs w:val="20"/>
          <w:lang w:val="en-US"/>
        </w:rPr>
      </w:pPr>
    </w:p>
    <w:p w:rsidR="008E44E4" w:rsidRPr="00A31FC5" w:rsidRDefault="008E44E4" w:rsidP="008E44E4">
      <w:pPr>
        <w:autoSpaceDE w:val="0"/>
        <w:autoSpaceDN w:val="0"/>
        <w:adjustRightInd w:val="0"/>
        <w:spacing w:after="0" w:line="240" w:lineRule="auto"/>
        <w:jc w:val="both"/>
        <w:rPr>
          <w:rFonts w:cs="Times New Roman"/>
          <w:b/>
          <w:color w:val="000000"/>
          <w:sz w:val="20"/>
          <w:szCs w:val="20"/>
          <w:lang w:val="en-CA"/>
        </w:rPr>
      </w:pPr>
    </w:p>
    <w:p w:rsidR="008E44E4" w:rsidRPr="00A31FC5" w:rsidRDefault="008E44E4" w:rsidP="002E3A02">
      <w:pPr>
        <w:pStyle w:val="ListParagraph"/>
        <w:numPr>
          <w:ilvl w:val="0"/>
          <w:numId w:val="24"/>
        </w:numPr>
        <w:spacing w:after="240" w:line="259" w:lineRule="auto"/>
        <w:jc w:val="both"/>
        <w:rPr>
          <w:rFonts w:asciiTheme="minorHAnsi" w:hAnsiTheme="minorHAnsi"/>
          <w:b/>
          <w:color w:val="0070C0"/>
          <w:sz w:val="20"/>
          <w:szCs w:val="20"/>
          <w:lang w:val="en-US"/>
        </w:rPr>
      </w:pPr>
      <w:r w:rsidRPr="00A31FC5">
        <w:rPr>
          <w:rFonts w:asciiTheme="minorHAnsi" w:hAnsiTheme="minorHAnsi"/>
          <w:b/>
          <w:color w:val="0070C0"/>
          <w:sz w:val="20"/>
          <w:szCs w:val="20"/>
          <w:lang w:val="en-US"/>
        </w:rPr>
        <w:t>Specific Fiduciary Measures for the Democratic Republic of Congo within the framework of FONAREDD Terms and Conditions/Bidding Process</w:t>
      </w:r>
    </w:p>
    <w:p w:rsidR="008E44E4" w:rsidRPr="00A31FC5" w:rsidRDefault="008E44E4" w:rsidP="008E44E4">
      <w:pPr>
        <w:spacing w:after="240"/>
        <w:jc w:val="both"/>
        <w:rPr>
          <w:rFonts w:cs="Times New Roman"/>
          <w:sz w:val="20"/>
          <w:szCs w:val="20"/>
          <w:lang w:val="en-CA"/>
        </w:rPr>
      </w:pPr>
      <w:r w:rsidRPr="00A31FC5">
        <w:rPr>
          <w:rFonts w:cs="Times New Roman"/>
          <w:sz w:val="20"/>
          <w:szCs w:val="20"/>
          <w:lang w:val="en-CA"/>
        </w:rPr>
        <w:t>Since 2010, the government of the Democratic Republic of Congo has been committed to working closely with the World Bank to establish a mechanism for the systematic improvement of economic governance.  A joint mechanism for monitoring the progress on reform implementation has also been established. The objective of these reforms is to strengthen governance and transparency in the extractive industries (forestry, mining, and oil sectors) and to improve the business climate. Over the past two years, significant progress in the implementation of these measures has been observed. However, additional efforts must be made to achieve the widespread use of competition for the awarding of contracts. Thus, project implementation risks remain fairly high. Thus, in the context of the CAFI / FONAREDD Call for Proposals, the World Bank Group is proposing the following specific risk mitigation measures.</w:t>
      </w:r>
    </w:p>
    <w:p w:rsidR="008E44E4" w:rsidRPr="00A31FC5" w:rsidRDefault="00260D67" w:rsidP="008E44E4">
      <w:pPr>
        <w:spacing w:after="240"/>
        <w:jc w:val="center"/>
        <w:rPr>
          <w:rFonts w:cs="Times New Roman"/>
          <w:b/>
          <w:color w:val="0070C0"/>
          <w:sz w:val="20"/>
          <w:szCs w:val="20"/>
        </w:rPr>
      </w:pPr>
      <w:r>
        <w:rPr>
          <w:rFonts w:cs="Times New Roman"/>
          <w:b/>
          <w:noProof/>
          <w:color w:val="0070C0"/>
          <w:sz w:val="20"/>
          <w:szCs w:val="20"/>
        </w:rPr>
        <mc:AlternateContent>
          <mc:Choice Requires="wps">
            <w:drawing>
              <wp:anchor distT="0" distB="0" distL="114300" distR="114300" simplePos="0" relativeHeight="251671552" behindDoc="0" locked="0" layoutInCell="1" allowOverlap="1">
                <wp:simplePos x="0" y="0"/>
                <wp:positionH relativeFrom="column">
                  <wp:posOffset>4000500</wp:posOffset>
                </wp:positionH>
                <wp:positionV relativeFrom="paragraph">
                  <wp:posOffset>227330</wp:posOffset>
                </wp:positionV>
                <wp:extent cx="923925" cy="4667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466725"/>
                        </a:xfrm>
                        <a:prstGeom prst="rect">
                          <a:avLst/>
                        </a:prstGeom>
                        <a:noFill/>
                        <a:ln w="6350">
                          <a:noFill/>
                        </a:ln>
                        <a:effectLst/>
                      </wps:spPr>
                      <wps:txbx>
                        <w:txbxContent>
                          <w:p w:rsidR="0003745E" w:rsidRDefault="0003745E" w:rsidP="008E44E4">
                            <w:pPr>
                              <w:spacing w:after="0" w:line="240" w:lineRule="auto"/>
                              <w:jc w:val="center"/>
                              <w:rPr>
                                <w:sz w:val="18"/>
                              </w:rPr>
                            </w:pPr>
                            <w:r w:rsidRPr="00116532">
                              <w:rPr>
                                <w:sz w:val="18"/>
                              </w:rPr>
                              <w:t>Grant</w:t>
                            </w:r>
                          </w:p>
                          <w:p w:rsidR="0003745E" w:rsidRPr="00116532" w:rsidRDefault="0003745E" w:rsidP="008E44E4">
                            <w:pPr>
                              <w:spacing w:after="0" w:line="240" w:lineRule="auto"/>
                              <w:jc w:val="center"/>
                              <w:rPr>
                                <w:sz w:val="18"/>
                              </w:rPr>
                            </w:pPr>
                            <w:r>
                              <w:rPr>
                                <w:sz w:val="18"/>
                              </w:rPr>
                              <w:t>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15pt;margin-top:17.9pt;width:72.7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OAIAAHcEAAAOAAAAZHJzL2Uyb0RvYy54bWysVEuP2jAQvlfqf7B8LwEW2BIRVnRXVJXQ&#10;7kpQ7dk4Nolqe1zbkNBf37HDS9ueql6c8czneX0zmT20WpGDcL4GU9BBr0+JMBzK2uwK+n2z/PSZ&#10;Eh+YKZkCIwp6FJ4+zD9+mDU2F0OoQJXCEXRifN7YglYh2DzLPK+EZr4HVhg0SnCaBby6XVY61qB3&#10;rbJhvz/JGnCldcCF96h96ox0nvxLKXh4kdKLQFRBMbeQTpfObTyz+YzlO8dsVfNTGuwfstCsNhj0&#10;4uqJBUb2rv7Dla65Aw8y9DjoDKSsuUg1YDWD/rtq1hWzItWCzfH20ib//9zy58OrI3WJ3FFimEaK&#10;NqIN5Au0ZBC701ifI2htERZaVEdkrNTbFfAfHiHZDaZ74BEdMa10On6xToIPkYDjpekxCkfldHg3&#10;HY4p4WgaTSb3KEef18fW+fBVgCZRKKhDTlMC7LDyoYOeITGWgWWtFOpZrgxpCjq5G/fTg4sFnSsT&#10;ASJNyMlNrKJLPEqh3bboJIpbKI9YvYNuerzlyxpTWTEfXpnDccG6cAXCCx5SAYaEk0RJBe7X3/QR&#10;jyyilZIGx6+g/ueeOUGJ+maQ3+lgNIrzmi6j8f0QL+7Wsr21mL1+BJxw5BCzS2LEB3UWpQP9hpuy&#10;iFHRxAzH2AUNZ/ExdEuBm8bFYpFAOKGWhZVZW34mPTZ6074xZ09sBKTxGc6DyvJ3pHTYjpbFPoCs&#10;E2PXrp6mB6c7cX7axLg+t/eEuv4v5r8BAAD//wMAUEsDBBQABgAIAAAAIQCio2uC4QAAAAoBAAAP&#10;AAAAZHJzL2Rvd25yZXYueG1sTI/BTsMwEETvSPyDtUjcqE2jtCXEqapIFRKCQ0sv3Jx4m0TE6xC7&#10;beDrWU5wXO1o5r18PblenHEMnScN9zMFAqn2tqNGw+Fte7cCEaIha3pPqOELA6yL66vcZNZfaIfn&#10;fWwEl1DIjIY2xiGTMtQtOhNmfkDi39GPzkQ+x0ba0Vy43PVyrtRCOtMRL7RmwLLF+mN/chqey+2r&#10;2VVzt/ruy6eX42b4PLynWt/eTJtHEBGn+BeGX3xGh4KZKn8iG0SvYZEodokakpQVOLBcpimIipPq&#10;IQFZ5PK/QvEDAAD//wMAUEsBAi0AFAAGAAgAAAAhALaDOJL+AAAA4QEAABMAAAAAAAAAAAAAAAAA&#10;AAAAAFtDb250ZW50X1R5cGVzXS54bWxQSwECLQAUAAYACAAAACEAOP0h/9YAAACUAQAACwAAAAAA&#10;AAAAAAAAAAAvAQAAX3JlbHMvLnJlbHNQSwECLQAUAAYACAAAACEApPv6vDgCAAB3BAAADgAAAAAA&#10;AAAAAAAAAAAuAgAAZHJzL2Uyb0RvYy54bWxQSwECLQAUAAYACAAAACEAoqNrguEAAAAKAQAADwAA&#10;AAAAAAAAAAAAAACSBAAAZHJzL2Rvd25yZXYueG1sUEsFBgAAAAAEAAQA8wAAAKAFAAAAAA==&#10;" filled="f" stroked="f" strokeweight=".5pt">
                <v:textbox>
                  <w:txbxContent>
                    <w:p w:rsidR="0003745E" w:rsidRDefault="0003745E" w:rsidP="008E44E4">
                      <w:pPr>
                        <w:spacing w:after="0" w:line="240" w:lineRule="auto"/>
                        <w:jc w:val="center"/>
                        <w:rPr>
                          <w:sz w:val="18"/>
                        </w:rPr>
                      </w:pPr>
                      <w:r w:rsidRPr="00116532">
                        <w:rPr>
                          <w:sz w:val="18"/>
                        </w:rPr>
                        <w:t>Grant</w:t>
                      </w:r>
                    </w:p>
                    <w:p w:rsidR="0003745E" w:rsidRPr="00116532" w:rsidRDefault="0003745E" w:rsidP="008E44E4">
                      <w:pPr>
                        <w:spacing w:after="0" w:line="240" w:lineRule="auto"/>
                        <w:jc w:val="center"/>
                        <w:rPr>
                          <w:sz w:val="18"/>
                        </w:rPr>
                      </w:pPr>
                      <w:r>
                        <w:rPr>
                          <w:sz w:val="18"/>
                        </w:rPr>
                        <w:t>Agreement</w:t>
                      </w:r>
                    </w:p>
                  </w:txbxContent>
                </v:textbox>
              </v:shape>
            </w:pict>
          </mc:Fallback>
        </mc:AlternateContent>
      </w:r>
      <w:r w:rsidR="008E44E4" w:rsidRPr="00A31FC5">
        <w:rPr>
          <w:rFonts w:cs="Times New Roman"/>
          <w:b/>
          <w:noProof/>
          <w:color w:val="0070C0"/>
          <w:sz w:val="20"/>
          <w:szCs w:val="20"/>
        </w:rPr>
        <w:drawing>
          <wp:inline distT="0" distB="0" distL="0" distR="0">
            <wp:extent cx="5486400" cy="904875"/>
            <wp:effectExtent l="1905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8E44E4" w:rsidRPr="00A31FC5" w:rsidRDefault="008E44E4" w:rsidP="008E44E4">
      <w:pPr>
        <w:jc w:val="center"/>
        <w:rPr>
          <w:rFonts w:cs="Times New Roman"/>
          <w:b/>
          <w:color w:val="0070C0"/>
          <w:sz w:val="20"/>
          <w:szCs w:val="20"/>
          <w:lang w:val="en-US"/>
        </w:rPr>
      </w:pPr>
      <w:r w:rsidRPr="00A31FC5">
        <w:rPr>
          <w:rFonts w:cs="Times New Roman"/>
          <w:i/>
          <w:color w:val="000000"/>
          <w:sz w:val="20"/>
          <w:szCs w:val="20"/>
          <w:lang w:val="en-US"/>
        </w:rPr>
        <w:t>Figure V: Anticipated Flow of Funds through Eligible Organization</w:t>
      </w:r>
    </w:p>
    <w:p w:rsidR="008E44E4" w:rsidRPr="00A31FC5" w:rsidRDefault="008E44E4" w:rsidP="008E44E4">
      <w:pPr>
        <w:jc w:val="center"/>
        <w:rPr>
          <w:rFonts w:cs="Times New Roman"/>
          <w:b/>
          <w:color w:val="0070C0"/>
          <w:sz w:val="20"/>
          <w:szCs w:val="20"/>
          <w:lang w:val="en-US"/>
        </w:rPr>
      </w:pPr>
    </w:p>
    <w:p w:rsidR="008E44E4" w:rsidRPr="00A31FC5" w:rsidRDefault="008E44E4" w:rsidP="008E44E4">
      <w:pPr>
        <w:rPr>
          <w:rFonts w:cs="Times New Roman"/>
          <w:b/>
          <w:sz w:val="20"/>
          <w:szCs w:val="20"/>
          <w:lang w:val="en-US"/>
        </w:rPr>
      </w:pPr>
      <w:r w:rsidRPr="00A31FC5">
        <w:rPr>
          <w:rFonts w:cs="Times New Roman"/>
          <w:b/>
          <w:sz w:val="20"/>
          <w:szCs w:val="20"/>
          <w:lang w:val="en-US"/>
        </w:rPr>
        <w:t xml:space="preserve">6.1 </w:t>
      </w:r>
      <w:r w:rsidRPr="00A31FC5">
        <w:rPr>
          <w:rFonts w:cs="Times New Roman"/>
          <w:b/>
          <w:sz w:val="20"/>
          <w:szCs w:val="20"/>
          <w:lang w:val="en-US"/>
        </w:rPr>
        <w:tab/>
        <w:t>SORT</w:t>
      </w:r>
    </w:p>
    <w:p w:rsidR="008E44E4" w:rsidRPr="00A31FC5" w:rsidRDefault="008E44E4" w:rsidP="00A31FC5">
      <w:pPr>
        <w:jc w:val="both"/>
        <w:rPr>
          <w:rFonts w:cs="Times New Roman"/>
          <w:sz w:val="20"/>
          <w:szCs w:val="20"/>
          <w:lang w:val="en-US"/>
        </w:rPr>
      </w:pPr>
      <w:r w:rsidRPr="00A31FC5">
        <w:rPr>
          <w:rFonts w:cs="Times New Roman"/>
          <w:sz w:val="20"/>
          <w:szCs w:val="20"/>
          <w:lang w:val="en-US"/>
        </w:rPr>
        <w:t xml:space="preserve">In a High Risk Scenario, the World Bank Group will assess and ensure establishment of appropriate institutional arrangements, taking into account the institutional capacity of the prospective implementing agency/ies, their implementation and monitoring and evaluation arrangements. </w:t>
      </w:r>
    </w:p>
    <w:p w:rsidR="008E44E4" w:rsidRPr="00A31FC5" w:rsidRDefault="008E44E4" w:rsidP="008E44E4">
      <w:pPr>
        <w:rPr>
          <w:rFonts w:cs="Times New Roman"/>
          <w:b/>
          <w:sz w:val="20"/>
          <w:szCs w:val="20"/>
          <w:lang w:val="en-US"/>
        </w:rPr>
      </w:pPr>
      <w:r w:rsidRPr="00A31FC5">
        <w:rPr>
          <w:rFonts w:cs="Times New Roman"/>
          <w:b/>
          <w:sz w:val="20"/>
          <w:szCs w:val="20"/>
          <w:lang w:val="en-US"/>
        </w:rPr>
        <w:t xml:space="preserve">6.2 </w:t>
      </w:r>
      <w:r w:rsidRPr="00A31FC5">
        <w:rPr>
          <w:rFonts w:cs="Times New Roman"/>
          <w:b/>
          <w:sz w:val="20"/>
          <w:szCs w:val="20"/>
          <w:lang w:val="en-US"/>
        </w:rPr>
        <w:tab/>
        <w:t>Procurement</w:t>
      </w:r>
    </w:p>
    <w:p w:rsidR="008E44E4" w:rsidRPr="00A31FC5" w:rsidRDefault="008E44E4" w:rsidP="008E44E4">
      <w:pPr>
        <w:jc w:val="both"/>
        <w:rPr>
          <w:rFonts w:cs="Times New Roman"/>
          <w:sz w:val="20"/>
          <w:szCs w:val="20"/>
          <w:lang w:val="en-US"/>
        </w:rPr>
      </w:pPr>
      <w:r w:rsidRPr="00A31FC5">
        <w:rPr>
          <w:rFonts w:cs="Times New Roman"/>
          <w:sz w:val="20"/>
          <w:szCs w:val="20"/>
          <w:lang w:val="en-US"/>
        </w:rPr>
        <w:t>Given the large amount of CAFI funding anticipated and in order to ensure sound use of this funding for achievement of planned development results, The World Bank Group will ensure that the government of the DRC shall allocate a big portion of the proceeds</w:t>
      </w:r>
      <w:r w:rsidRPr="00A31FC5">
        <w:rPr>
          <w:rStyle w:val="FootnoteReference"/>
          <w:rFonts w:cs="Times New Roman"/>
          <w:sz w:val="20"/>
          <w:szCs w:val="20"/>
        </w:rPr>
        <w:footnoteReference w:id="62"/>
      </w:r>
      <w:r w:rsidRPr="00A31FC5">
        <w:rPr>
          <w:rFonts w:cs="Times New Roman"/>
          <w:sz w:val="20"/>
          <w:szCs w:val="20"/>
          <w:lang w:val="en-US"/>
        </w:rPr>
        <w:t xml:space="preserve"> to a third party delegated project management entity for project implementation</w:t>
      </w:r>
      <w:r w:rsidRPr="00A31FC5">
        <w:rPr>
          <w:rStyle w:val="FootnoteReference"/>
          <w:rFonts w:cs="Times New Roman"/>
          <w:sz w:val="20"/>
          <w:szCs w:val="20"/>
        </w:rPr>
        <w:footnoteReference w:id="63"/>
      </w:r>
      <w:r w:rsidRPr="00A31FC5">
        <w:rPr>
          <w:rFonts w:cs="Times New Roman"/>
          <w:sz w:val="20"/>
          <w:szCs w:val="20"/>
          <w:lang w:val="en-US"/>
        </w:rPr>
        <w:t xml:space="preserve">, on a stringent and competitive basis in accordance with World Bank Policies and Guidelines for Procurement, based on the highest market standards. This third party entity would itself be required to strictly apply World Bank standards, policies and procedures on procurement and financial management. </w:t>
      </w:r>
    </w:p>
    <w:p w:rsidR="008E44E4" w:rsidRPr="00A31FC5" w:rsidRDefault="008E44E4" w:rsidP="008E44E4">
      <w:pPr>
        <w:spacing w:after="120"/>
        <w:jc w:val="both"/>
        <w:rPr>
          <w:rFonts w:cs="Times New Roman"/>
          <w:color w:val="000000"/>
          <w:sz w:val="20"/>
          <w:szCs w:val="20"/>
          <w:lang w:val="en-US"/>
        </w:rPr>
      </w:pPr>
      <w:r w:rsidRPr="00A31FC5">
        <w:rPr>
          <w:rFonts w:cs="Times New Roman"/>
          <w:sz w:val="20"/>
          <w:szCs w:val="20"/>
          <w:lang w:val="en-US"/>
        </w:rPr>
        <w:t>For the remainder of the proceeds that are to be allocated to the government Implementing Agency and</w:t>
      </w:r>
      <w:r w:rsidRPr="00A31FC5">
        <w:rPr>
          <w:rFonts w:cs="Times New Roman"/>
          <w:color w:val="000000"/>
          <w:sz w:val="20"/>
          <w:szCs w:val="20"/>
          <w:lang w:val="en-US"/>
        </w:rPr>
        <w:t xml:space="preserve"> before providing comments or a ‘no objection’ to the Borrower's proposal, the Bank will seek comments and clearance </w:t>
      </w:r>
      <w:r w:rsidRPr="00A31FC5">
        <w:rPr>
          <w:rFonts w:cs="Times New Roman"/>
          <w:color w:val="000000"/>
          <w:sz w:val="20"/>
          <w:szCs w:val="20"/>
          <w:lang w:val="en-US"/>
        </w:rPr>
        <w:lastRenderedPageBreak/>
        <w:t>from different levels of procurement staff. For high procurement risk level and depending on the nature of the risks identified:</w:t>
      </w:r>
    </w:p>
    <w:p w:rsidR="008E44E4" w:rsidRPr="00A31FC5" w:rsidRDefault="008E44E4" w:rsidP="002E3A02">
      <w:pPr>
        <w:pStyle w:val="ListParagraph"/>
        <w:numPr>
          <w:ilvl w:val="0"/>
          <w:numId w:val="28"/>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 xml:space="preserve">the thresholds for procurement methods and prior review by the Bank will be adjusted for each type of procurement under the project, as illustrated in the table below; </w:t>
      </w:r>
    </w:p>
    <w:p w:rsidR="008E44E4" w:rsidRPr="00A31FC5" w:rsidRDefault="008E44E4" w:rsidP="002E3A02">
      <w:pPr>
        <w:pStyle w:val="ListParagraph"/>
        <w:numPr>
          <w:ilvl w:val="0"/>
          <w:numId w:val="28"/>
        </w:numPr>
        <w:autoSpaceDE w:val="0"/>
        <w:autoSpaceDN w:val="0"/>
        <w:adjustRightInd w:val="0"/>
        <w:contextualSpacing/>
        <w:rPr>
          <w:rFonts w:asciiTheme="minorHAnsi" w:hAnsiTheme="minorHAnsi"/>
          <w:color w:val="000000"/>
          <w:sz w:val="20"/>
          <w:szCs w:val="20"/>
          <w:lang w:val="en-US"/>
        </w:rPr>
      </w:pPr>
      <w:r w:rsidRPr="00A31FC5">
        <w:rPr>
          <w:rFonts w:asciiTheme="minorHAnsi" w:hAnsiTheme="minorHAnsi"/>
          <w:color w:val="000000"/>
          <w:sz w:val="20"/>
          <w:szCs w:val="20"/>
          <w:lang w:val="en-US"/>
        </w:rPr>
        <w:t xml:space="preserve">the frequency of the implementation support mission will be increased to twice per year; and </w:t>
      </w:r>
    </w:p>
    <w:p w:rsidR="008E44E4" w:rsidRPr="00A31FC5" w:rsidRDefault="008E44E4" w:rsidP="002E3A02">
      <w:pPr>
        <w:pStyle w:val="ListParagraph"/>
        <w:numPr>
          <w:ilvl w:val="0"/>
          <w:numId w:val="28"/>
        </w:numPr>
        <w:autoSpaceDE w:val="0"/>
        <w:autoSpaceDN w:val="0"/>
        <w:adjustRightInd w:val="0"/>
        <w:contextualSpacing/>
        <w:rPr>
          <w:rFonts w:asciiTheme="minorHAnsi" w:hAnsiTheme="minorHAnsi"/>
          <w:sz w:val="20"/>
          <w:szCs w:val="20"/>
          <w:lang w:val="en-US"/>
        </w:rPr>
      </w:pPr>
      <w:r w:rsidRPr="00A31FC5">
        <w:rPr>
          <w:rFonts w:asciiTheme="minorHAnsi" w:hAnsiTheme="minorHAnsi"/>
          <w:sz w:val="20"/>
          <w:szCs w:val="20"/>
          <w:lang w:val="en-US"/>
        </w:rPr>
        <w:t xml:space="preserve">post-review of procurement actions and the budget will be planned once per year. </w:t>
      </w:r>
    </w:p>
    <w:p w:rsidR="008E44E4" w:rsidRPr="00A31FC5" w:rsidRDefault="008E44E4" w:rsidP="008E44E4">
      <w:pPr>
        <w:pStyle w:val="ListParagraph"/>
        <w:jc w:val="both"/>
        <w:rPr>
          <w:rFonts w:asciiTheme="minorHAnsi" w:hAnsiTheme="minorHAnsi"/>
          <w:sz w:val="20"/>
          <w:szCs w:val="20"/>
          <w:lang w:val="en-US"/>
        </w:rPr>
      </w:pPr>
    </w:p>
    <w:p w:rsidR="008E44E4" w:rsidRPr="00A31FC5" w:rsidRDefault="008E44E4" w:rsidP="008E44E4">
      <w:pPr>
        <w:spacing w:after="0" w:line="240" w:lineRule="auto"/>
        <w:jc w:val="both"/>
        <w:rPr>
          <w:rFonts w:cs="Times New Roman"/>
          <w:sz w:val="20"/>
          <w:szCs w:val="20"/>
          <w:lang w:val="en-US"/>
        </w:rPr>
      </w:pPr>
    </w:p>
    <w:tbl>
      <w:tblPr>
        <w:tblpPr w:leftFromText="180" w:rightFromText="180" w:vertAnchor="text" w:horzAnchor="margin" w:tblpXSpec="center" w:tblpY="-13"/>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970"/>
        <w:gridCol w:w="2520"/>
        <w:gridCol w:w="2520"/>
      </w:tblGrid>
      <w:tr w:rsidR="008E44E4" w:rsidRPr="0003745E" w:rsidTr="001433AA">
        <w:tc>
          <w:tcPr>
            <w:tcW w:w="720" w:type="dxa"/>
          </w:tcPr>
          <w:p w:rsidR="008E44E4" w:rsidRPr="00A31FC5" w:rsidRDefault="008E44E4" w:rsidP="001433AA">
            <w:pPr>
              <w:rPr>
                <w:rFonts w:cs="Times New Roman"/>
                <w:b/>
                <w:sz w:val="20"/>
                <w:szCs w:val="20"/>
                <w:lang w:val="en-US"/>
              </w:rPr>
            </w:pPr>
          </w:p>
        </w:tc>
        <w:tc>
          <w:tcPr>
            <w:tcW w:w="2970" w:type="dxa"/>
            <w:shd w:val="clear" w:color="auto" w:fill="F2F2F2" w:themeFill="background1" w:themeFillShade="F2"/>
            <w:vAlign w:val="center"/>
          </w:tcPr>
          <w:p w:rsidR="008E44E4" w:rsidRPr="00A31FC5" w:rsidRDefault="008E44E4" w:rsidP="001433AA">
            <w:pPr>
              <w:rPr>
                <w:rFonts w:cs="Times New Roman"/>
                <w:b/>
                <w:sz w:val="20"/>
                <w:szCs w:val="20"/>
              </w:rPr>
            </w:pPr>
            <w:r w:rsidRPr="00A31FC5">
              <w:rPr>
                <w:rFonts w:cs="Times New Roman"/>
                <w:b/>
                <w:sz w:val="20"/>
                <w:szCs w:val="20"/>
              </w:rPr>
              <w:t>Type of Procurement</w:t>
            </w:r>
          </w:p>
        </w:tc>
        <w:tc>
          <w:tcPr>
            <w:tcW w:w="2520" w:type="dxa"/>
            <w:shd w:val="clear" w:color="auto" w:fill="F2F2F2" w:themeFill="background1" w:themeFillShade="F2"/>
            <w:vAlign w:val="center"/>
          </w:tcPr>
          <w:p w:rsidR="008E44E4" w:rsidRPr="00A31FC5" w:rsidRDefault="008E44E4" w:rsidP="001433AA">
            <w:pPr>
              <w:jc w:val="center"/>
              <w:rPr>
                <w:rFonts w:cs="Times New Roman"/>
                <w:b/>
                <w:sz w:val="20"/>
                <w:szCs w:val="20"/>
                <w:lang w:val="en-US"/>
              </w:rPr>
            </w:pPr>
            <w:r w:rsidRPr="00A31FC5">
              <w:rPr>
                <w:rFonts w:cs="Times New Roman"/>
                <w:b/>
                <w:sz w:val="20"/>
                <w:szCs w:val="20"/>
                <w:lang w:val="en-US"/>
              </w:rPr>
              <w:t>Standard Estimated Contract Cost (in USD) for High Risk Implementing Agency</w:t>
            </w:r>
          </w:p>
        </w:tc>
        <w:tc>
          <w:tcPr>
            <w:tcW w:w="2520" w:type="dxa"/>
            <w:shd w:val="clear" w:color="auto" w:fill="F2F2F2" w:themeFill="background1" w:themeFillShade="F2"/>
            <w:vAlign w:val="center"/>
          </w:tcPr>
          <w:p w:rsidR="008E44E4" w:rsidRPr="00A31FC5" w:rsidRDefault="008E44E4" w:rsidP="001433AA">
            <w:pPr>
              <w:jc w:val="center"/>
              <w:rPr>
                <w:rFonts w:cs="Times New Roman"/>
                <w:b/>
                <w:sz w:val="20"/>
                <w:szCs w:val="20"/>
                <w:lang w:val="en-US"/>
              </w:rPr>
            </w:pPr>
            <w:r w:rsidRPr="00A31FC5">
              <w:rPr>
                <w:rFonts w:cs="Times New Roman"/>
                <w:b/>
                <w:sz w:val="20"/>
                <w:szCs w:val="20"/>
                <w:lang w:val="en-US"/>
              </w:rPr>
              <w:t>Estimated Contract Cost (in USD) for High Risk Implementing Agency specific to CAFI proposals</w:t>
            </w:r>
          </w:p>
        </w:tc>
      </w:tr>
      <w:tr w:rsidR="008E44E4" w:rsidRPr="00A31FC5" w:rsidTr="001433AA">
        <w:trPr>
          <w:trHeight w:val="587"/>
        </w:trPr>
        <w:tc>
          <w:tcPr>
            <w:tcW w:w="720" w:type="dxa"/>
          </w:tcPr>
          <w:p w:rsidR="008E44E4" w:rsidRPr="00A31FC5" w:rsidRDefault="008E44E4" w:rsidP="001433AA">
            <w:pPr>
              <w:rPr>
                <w:rFonts w:cs="Times New Roman"/>
                <w:b/>
                <w:sz w:val="20"/>
                <w:szCs w:val="20"/>
                <w:lang w:val="en-US"/>
              </w:rPr>
            </w:pPr>
          </w:p>
        </w:tc>
        <w:tc>
          <w:tcPr>
            <w:tcW w:w="2970" w:type="dxa"/>
            <w:vAlign w:val="center"/>
          </w:tcPr>
          <w:p w:rsidR="008E44E4" w:rsidRPr="00A31FC5" w:rsidRDefault="008E44E4" w:rsidP="001433AA">
            <w:pPr>
              <w:rPr>
                <w:rFonts w:cs="Times New Roman"/>
                <w:sz w:val="20"/>
                <w:szCs w:val="20"/>
                <w:lang w:val="en-US"/>
              </w:rPr>
            </w:pPr>
            <w:r w:rsidRPr="00A31FC5">
              <w:rPr>
                <w:rFonts w:cs="Times New Roman"/>
                <w:b/>
                <w:sz w:val="20"/>
                <w:szCs w:val="20"/>
                <w:lang w:val="en-US"/>
              </w:rPr>
              <w:t>Works, Turnkey and S&amp;I of Plant and Equipment</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5 million</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1 million</w:t>
            </w:r>
          </w:p>
        </w:tc>
      </w:tr>
      <w:tr w:rsidR="008E44E4" w:rsidRPr="00A31FC5" w:rsidTr="001433AA">
        <w:trPr>
          <w:trHeight w:val="605"/>
        </w:trPr>
        <w:tc>
          <w:tcPr>
            <w:tcW w:w="720" w:type="dxa"/>
          </w:tcPr>
          <w:p w:rsidR="008E44E4" w:rsidRPr="00A31FC5" w:rsidRDefault="008E44E4" w:rsidP="001433AA">
            <w:pPr>
              <w:rPr>
                <w:rFonts w:cs="Times New Roman"/>
                <w:b/>
                <w:sz w:val="20"/>
                <w:szCs w:val="20"/>
              </w:rPr>
            </w:pPr>
          </w:p>
        </w:tc>
        <w:tc>
          <w:tcPr>
            <w:tcW w:w="2970" w:type="dxa"/>
            <w:vAlign w:val="center"/>
          </w:tcPr>
          <w:p w:rsidR="008E44E4" w:rsidRPr="00A31FC5" w:rsidRDefault="008E44E4" w:rsidP="001433AA">
            <w:pPr>
              <w:rPr>
                <w:rFonts w:cs="Times New Roman"/>
                <w:sz w:val="20"/>
                <w:szCs w:val="20"/>
              </w:rPr>
            </w:pPr>
            <w:r w:rsidRPr="00A31FC5">
              <w:rPr>
                <w:rFonts w:cs="Times New Roman"/>
                <w:b/>
                <w:sz w:val="20"/>
                <w:szCs w:val="20"/>
              </w:rPr>
              <w:t>Goods</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0.5 million</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0.1 million</w:t>
            </w:r>
          </w:p>
        </w:tc>
      </w:tr>
      <w:tr w:rsidR="008E44E4" w:rsidRPr="00A31FC5" w:rsidTr="001433AA">
        <w:trPr>
          <w:trHeight w:val="623"/>
        </w:trPr>
        <w:tc>
          <w:tcPr>
            <w:tcW w:w="720" w:type="dxa"/>
          </w:tcPr>
          <w:p w:rsidR="008E44E4" w:rsidRPr="00A31FC5" w:rsidRDefault="008E44E4" w:rsidP="001433AA">
            <w:pPr>
              <w:rPr>
                <w:rFonts w:cs="Times New Roman"/>
                <w:b/>
                <w:sz w:val="20"/>
                <w:szCs w:val="20"/>
              </w:rPr>
            </w:pPr>
          </w:p>
        </w:tc>
        <w:tc>
          <w:tcPr>
            <w:tcW w:w="2970" w:type="dxa"/>
            <w:vAlign w:val="center"/>
          </w:tcPr>
          <w:p w:rsidR="008E44E4" w:rsidRPr="00A31FC5" w:rsidRDefault="008E44E4" w:rsidP="001433AA">
            <w:pPr>
              <w:rPr>
                <w:rFonts w:cs="Times New Roman"/>
                <w:sz w:val="20"/>
                <w:szCs w:val="20"/>
                <w:lang w:val="en-US"/>
              </w:rPr>
            </w:pPr>
            <w:r w:rsidRPr="00A31FC5">
              <w:rPr>
                <w:rFonts w:cs="Times New Roman"/>
                <w:b/>
                <w:sz w:val="20"/>
                <w:szCs w:val="20"/>
                <w:lang w:val="en-US"/>
              </w:rPr>
              <w:t>IT Systems and Non-Consultant Services</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0.5 million</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0.1 million</w:t>
            </w:r>
          </w:p>
        </w:tc>
      </w:tr>
      <w:tr w:rsidR="008E44E4" w:rsidRPr="00A31FC5" w:rsidTr="001433AA">
        <w:trPr>
          <w:trHeight w:val="632"/>
        </w:trPr>
        <w:tc>
          <w:tcPr>
            <w:tcW w:w="720" w:type="dxa"/>
            <w:vMerge w:val="restart"/>
            <w:textDirection w:val="btLr"/>
          </w:tcPr>
          <w:p w:rsidR="008E44E4" w:rsidRPr="00A31FC5" w:rsidRDefault="008E44E4" w:rsidP="001433AA">
            <w:pPr>
              <w:ind w:left="113" w:right="113"/>
              <w:jc w:val="center"/>
              <w:rPr>
                <w:rFonts w:cs="Times New Roman"/>
                <w:b/>
                <w:sz w:val="20"/>
                <w:szCs w:val="20"/>
              </w:rPr>
            </w:pPr>
            <w:r w:rsidRPr="00A31FC5">
              <w:rPr>
                <w:rFonts w:cs="Times New Roman"/>
                <w:b/>
                <w:sz w:val="20"/>
                <w:szCs w:val="20"/>
              </w:rPr>
              <w:t>Consulting Services</w:t>
            </w:r>
          </w:p>
        </w:tc>
        <w:tc>
          <w:tcPr>
            <w:tcW w:w="2970" w:type="dxa"/>
            <w:vAlign w:val="center"/>
          </w:tcPr>
          <w:p w:rsidR="008E44E4" w:rsidRPr="00A31FC5" w:rsidRDefault="008E44E4" w:rsidP="001433AA">
            <w:pPr>
              <w:rPr>
                <w:rFonts w:cs="Times New Roman"/>
                <w:sz w:val="20"/>
                <w:szCs w:val="20"/>
              </w:rPr>
            </w:pPr>
            <w:r w:rsidRPr="00A31FC5">
              <w:rPr>
                <w:rFonts w:cs="Times New Roman"/>
                <w:b/>
                <w:sz w:val="20"/>
                <w:szCs w:val="20"/>
              </w:rPr>
              <w:t>Consultants (firms)</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0.2 million</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0.1 million</w:t>
            </w:r>
          </w:p>
        </w:tc>
      </w:tr>
      <w:tr w:rsidR="008E44E4" w:rsidRPr="00A31FC5" w:rsidTr="001433AA">
        <w:trPr>
          <w:trHeight w:val="713"/>
        </w:trPr>
        <w:tc>
          <w:tcPr>
            <w:tcW w:w="720" w:type="dxa"/>
            <w:vMerge/>
          </w:tcPr>
          <w:p w:rsidR="008E44E4" w:rsidRPr="00A31FC5" w:rsidRDefault="008E44E4" w:rsidP="001433AA">
            <w:pPr>
              <w:rPr>
                <w:rFonts w:cs="Times New Roman"/>
                <w:b/>
                <w:sz w:val="20"/>
                <w:szCs w:val="20"/>
              </w:rPr>
            </w:pPr>
          </w:p>
        </w:tc>
        <w:tc>
          <w:tcPr>
            <w:tcW w:w="2970" w:type="dxa"/>
            <w:vAlign w:val="center"/>
          </w:tcPr>
          <w:p w:rsidR="008E44E4" w:rsidRPr="00A31FC5" w:rsidRDefault="008E44E4" w:rsidP="001433AA">
            <w:pPr>
              <w:rPr>
                <w:rFonts w:cs="Times New Roman"/>
                <w:sz w:val="20"/>
                <w:szCs w:val="20"/>
              </w:rPr>
            </w:pPr>
            <w:r w:rsidRPr="00A31FC5">
              <w:rPr>
                <w:rFonts w:cs="Times New Roman"/>
                <w:b/>
                <w:sz w:val="20"/>
                <w:szCs w:val="20"/>
              </w:rPr>
              <w:t>Individual Consultants</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0.1 million</w:t>
            </w:r>
          </w:p>
        </w:tc>
        <w:tc>
          <w:tcPr>
            <w:tcW w:w="2520" w:type="dxa"/>
            <w:vAlign w:val="center"/>
          </w:tcPr>
          <w:p w:rsidR="008E44E4" w:rsidRPr="00A31FC5" w:rsidRDefault="008E44E4" w:rsidP="001433AA">
            <w:pPr>
              <w:jc w:val="center"/>
              <w:rPr>
                <w:rFonts w:cs="Times New Roman"/>
                <w:sz w:val="20"/>
                <w:szCs w:val="20"/>
              </w:rPr>
            </w:pPr>
            <w:r w:rsidRPr="00A31FC5">
              <w:rPr>
                <w:rFonts w:cs="Times New Roman"/>
                <w:sz w:val="20"/>
                <w:szCs w:val="20"/>
              </w:rPr>
              <w:t>0.05 million</w:t>
            </w:r>
          </w:p>
        </w:tc>
      </w:tr>
    </w:tbl>
    <w:p w:rsidR="008E44E4" w:rsidRPr="00A31FC5" w:rsidRDefault="008E44E4" w:rsidP="008E44E4">
      <w:pPr>
        <w:rPr>
          <w:rFonts w:cs="Times New Roman"/>
          <w:b/>
          <w:sz w:val="20"/>
          <w:szCs w:val="20"/>
        </w:rPr>
      </w:pPr>
    </w:p>
    <w:p w:rsidR="008E44E4" w:rsidRPr="00A31FC5" w:rsidRDefault="008E44E4" w:rsidP="008E44E4">
      <w:pPr>
        <w:rPr>
          <w:rFonts w:cs="Times New Roman"/>
          <w:b/>
          <w:sz w:val="20"/>
          <w:szCs w:val="20"/>
          <w:lang w:val="en-US"/>
        </w:rPr>
      </w:pPr>
      <w:r w:rsidRPr="00A31FC5">
        <w:rPr>
          <w:rFonts w:cs="Times New Roman"/>
          <w:b/>
          <w:sz w:val="20"/>
          <w:szCs w:val="20"/>
          <w:lang w:val="en-US"/>
        </w:rPr>
        <w:t xml:space="preserve">6.3 </w:t>
      </w:r>
      <w:r w:rsidRPr="00A31FC5">
        <w:rPr>
          <w:rFonts w:cs="Times New Roman"/>
          <w:b/>
          <w:sz w:val="20"/>
          <w:szCs w:val="20"/>
          <w:lang w:val="en-US"/>
        </w:rPr>
        <w:tab/>
        <w:t>Financial Management</w:t>
      </w:r>
    </w:p>
    <w:p w:rsidR="008E44E4" w:rsidRPr="00A31FC5" w:rsidRDefault="008E44E4" w:rsidP="008E44E4">
      <w:pPr>
        <w:spacing w:after="240"/>
        <w:jc w:val="both"/>
        <w:rPr>
          <w:rFonts w:cs="Times New Roman"/>
          <w:color w:val="000000"/>
          <w:sz w:val="20"/>
          <w:szCs w:val="20"/>
          <w:lang w:val="en-US"/>
        </w:rPr>
      </w:pPr>
      <w:r w:rsidRPr="00A31FC5">
        <w:rPr>
          <w:rFonts w:cs="Times New Roman"/>
          <w:color w:val="000000"/>
          <w:sz w:val="20"/>
          <w:szCs w:val="20"/>
          <w:lang w:val="en-US"/>
        </w:rPr>
        <w:t>The following additional specific FM risk measures will be put in place to ensure sound use of loan proceeds during Project Implementation. The table below illustrates additional planned measures, in contrast to the standard measures already in place.</w:t>
      </w:r>
    </w:p>
    <w:tbl>
      <w:tblPr>
        <w:tblW w:w="945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750"/>
        <w:gridCol w:w="2610"/>
        <w:gridCol w:w="2430"/>
      </w:tblGrid>
      <w:tr w:rsidR="008E44E4" w:rsidRPr="00A31FC5" w:rsidTr="001433AA">
        <w:trPr>
          <w:trHeight w:val="484"/>
        </w:trPr>
        <w:tc>
          <w:tcPr>
            <w:tcW w:w="1660" w:type="dxa"/>
            <w:shd w:val="clear" w:color="auto" w:fill="FFFFFF" w:themeFill="background1"/>
          </w:tcPr>
          <w:p w:rsidR="008E44E4" w:rsidRPr="00A31FC5" w:rsidRDefault="008E44E4" w:rsidP="001433AA">
            <w:pPr>
              <w:rPr>
                <w:rFonts w:cs="Times New Roman"/>
                <w:sz w:val="20"/>
                <w:szCs w:val="20"/>
                <w:lang w:val="en-CA"/>
              </w:rPr>
            </w:pPr>
          </w:p>
        </w:tc>
        <w:tc>
          <w:tcPr>
            <w:tcW w:w="2750" w:type="dxa"/>
            <w:shd w:val="clear" w:color="auto" w:fill="F2F2F2" w:themeFill="background1" w:themeFillShade="F2"/>
            <w:vAlign w:val="center"/>
          </w:tcPr>
          <w:p w:rsidR="008E44E4" w:rsidRPr="00A31FC5" w:rsidRDefault="008E44E4" w:rsidP="001433AA">
            <w:pPr>
              <w:jc w:val="center"/>
              <w:rPr>
                <w:rFonts w:cs="Times New Roman"/>
                <w:b/>
                <w:sz w:val="20"/>
                <w:szCs w:val="20"/>
                <w:lang w:val="en-CA"/>
              </w:rPr>
            </w:pPr>
            <w:r w:rsidRPr="00A31FC5">
              <w:rPr>
                <w:rFonts w:cs="Times New Roman"/>
                <w:b/>
                <w:sz w:val="20"/>
                <w:szCs w:val="20"/>
                <w:lang w:val="en-CA"/>
              </w:rPr>
              <w:t>Generic measures</w:t>
            </w:r>
          </w:p>
        </w:tc>
        <w:tc>
          <w:tcPr>
            <w:tcW w:w="2610" w:type="dxa"/>
            <w:shd w:val="clear" w:color="auto" w:fill="F2F2F2" w:themeFill="background1" w:themeFillShade="F2"/>
            <w:vAlign w:val="center"/>
          </w:tcPr>
          <w:p w:rsidR="008E44E4" w:rsidRPr="00A31FC5" w:rsidRDefault="008E44E4" w:rsidP="001433AA">
            <w:pPr>
              <w:jc w:val="center"/>
              <w:rPr>
                <w:rFonts w:cs="Times New Roman"/>
                <w:b/>
                <w:sz w:val="20"/>
                <w:szCs w:val="20"/>
                <w:lang w:val="en-CA"/>
              </w:rPr>
            </w:pPr>
            <w:r w:rsidRPr="00A31FC5">
              <w:rPr>
                <w:rFonts w:cs="Times New Roman"/>
                <w:b/>
                <w:sz w:val="20"/>
                <w:szCs w:val="20"/>
                <w:lang w:val="en-CA"/>
              </w:rPr>
              <w:t>Specific measures</w:t>
            </w:r>
          </w:p>
        </w:tc>
        <w:tc>
          <w:tcPr>
            <w:tcW w:w="2430" w:type="dxa"/>
            <w:shd w:val="clear" w:color="auto" w:fill="F2F2F2" w:themeFill="background1" w:themeFillShade="F2"/>
            <w:vAlign w:val="center"/>
          </w:tcPr>
          <w:p w:rsidR="008E44E4" w:rsidRPr="00A31FC5" w:rsidRDefault="008E44E4" w:rsidP="001433AA">
            <w:pPr>
              <w:jc w:val="center"/>
              <w:rPr>
                <w:rFonts w:cs="Times New Roman"/>
                <w:b/>
                <w:sz w:val="20"/>
                <w:szCs w:val="20"/>
                <w:lang w:val="en-CA"/>
              </w:rPr>
            </w:pPr>
            <w:r w:rsidRPr="00A31FC5">
              <w:rPr>
                <w:rFonts w:cs="Times New Roman"/>
                <w:b/>
                <w:sz w:val="20"/>
                <w:szCs w:val="20"/>
                <w:lang w:val="en-CA"/>
              </w:rPr>
              <w:t>Additional Project Financial Control</w:t>
            </w:r>
          </w:p>
        </w:tc>
      </w:tr>
      <w:tr w:rsidR="008E44E4" w:rsidRPr="0003745E" w:rsidTr="00EE593D">
        <w:trPr>
          <w:trHeight w:val="1172"/>
        </w:trPr>
        <w:tc>
          <w:tcPr>
            <w:tcW w:w="1660" w:type="dxa"/>
            <w:vMerge w:val="restart"/>
            <w:shd w:val="clear" w:color="auto" w:fill="F2F2F2" w:themeFill="background1" w:themeFillShade="F2"/>
            <w:vAlign w:val="center"/>
          </w:tcPr>
          <w:p w:rsidR="008E44E4" w:rsidRPr="00A31FC5" w:rsidRDefault="008E44E4" w:rsidP="001433AA">
            <w:pPr>
              <w:rPr>
                <w:rFonts w:cs="Times New Roman"/>
                <w:b/>
                <w:sz w:val="20"/>
                <w:szCs w:val="20"/>
                <w:lang w:val="en-CA"/>
              </w:rPr>
            </w:pPr>
            <w:r w:rsidRPr="00A31FC5">
              <w:rPr>
                <w:rFonts w:cs="Times New Roman"/>
                <w:b/>
                <w:sz w:val="20"/>
                <w:szCs w:val="20"/>
                <w:lang w:val="en-CA"/>
              </w:rPr>
              <w:t>Project field supervision visit</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Frequency ranges from 3-12 months, based on level of determined risk of project.</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Frequency range will be reduced to a maximum of 6 months.</w:t>
            </w:r>
          </w:p>
        </w:tc>
        <w:tc>
          <w:tcPr>
            <w:tcW w:w="2430" w:type="dxa"/>
            <w:vMerge w:val="restart"/>
            <w:shd w:val="clear" w:color="auto" w:fill="FFFFFF" w:themeFill="background1"/>
            <w:vAlign w:val="center"/>
          </w:tcPr>
          <w:p w:rsidR="008E44E4" w:rsidRPr="00A31FC5" w:rsidRDefault="008E44E4" w:rsidP="001433AA">
            <w:pPr>
              <w:spacing w:after="120"/>
              <w:rPr>
                <w:rFonts w:cs="Times New Roman"/>
                <w:sz w:val="20"/>
                <w:szCs w:val="20"/>
                <w:lang w:val="en-CA"/>
              </w:rPr>
            </w:pPr>
            <w:r w:rsidRPr="00A31FC5">
              <w:rPr>
                <w:rFonts w:cs="Times New Roman"/>
                <w:sz w:val="20"/>
                <w:szCs w:val="20"/>
                <w:lang w:val="en-CA"/>
              </w:rPr>
              <w:t>In addition, as part of the Bank Executed funds, the Bank will externally source a financial controller (FM Consultant) for permanent monitoring and control of all FM aspects, including:</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(i)  Join project field supervision visit;</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 xml:space="preserve">(ii)  Planning and </w:t>
            </w:r>
            <w:r w:rsidRPr="00A31FC5">
              <w:rPr>
                <w:rFonts w:cs="Times New Roman"/>
                <w:sz w:val="20"/>
                <w:szCs w:val="20"/>
                <w:lang w:val="en-CA"/>
              </w:rPr>
              <w:lastRenderedPageBreak/>
              <w:t>budgeting;</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(iii)  Accounting;</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 xml:space="preserve">(iv)  Internal control with a focus on fraud and corruption risk; </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(v)  Funds flow/disbursement;</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(vi)  Financial reporting;</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(vii)  Auditing arrangements;</w:t>
            </w:r>
          </w:p>
          <w:p w:rsidR="008E44E4" w:rsidRPr="00A31FC5" w:rsidRDefault="008E44E4" w:rsidP="001433AA">
            <w:pPr>
              <w:spacing w:after="120"/>
              <w:rPr>
                <w:rFonts w:cs="Times New Roman"/>
                <w:sz w:val="20"/>
                <w:szCs w:val="20"/>
                <w:lang w:val="en-CA"/>
              </w:rPr>
            </w:pPr>
            <w:r w:rsidRPr="00A31FC5">
              <w:rPr>
                <w:rFonts w:cs="Times New Roman"/>
                <w:sz w:val="20"/>
                <w:szCs w:val="20"/>
                <w:lang w:val="en-CA"/>
              </w:rPr>
              <w:t>(viii) Update of the work-program of the current Internal Audit Unit to reflect the new project specificities.</w:t>
            </w:r>
          </w:p>
          <w:p w:rsidR="008E44E4" w:rsidRPr="00A31FC5" w:rsidRDefault="008E44E4" w:rsidP="001433AA">
            <w:pPr>
              <w:spacing w:after="120"/>
              <w:rPr>
                <w:rFonts w:cs="Times New Roman"/>
                <w:sz w:val="20"/>
                <w:szCs w:val="20"/>
                <w:lang w:val="en-CA"/>
              </w:rPr>
            </w:pPr>
          </w:p>
          <w:p w:rsidR="008E44E4" w:rsidRPr="00A31FC5" w:rsidRDefault="008E44E4" w:rsidP="001433AA">
            <w:pPr>
              <w:rPr>
                <w:rFonts w:cs="Times New Roman"/>
                <w:sz w:val="20"/>
                <w:szCs w:val="20"/>
                <w:lang w:val="en-CA"/>
              </w:rPr>
            </w:pPr>
          </w:p>
        </w:tc>
      </w:tr>
      <w:tr w:rsidR="008E44E4" w:rsidRPr="0003745E" w:rsidTr="00EE593D">
        <w:trPr>
          <w:trHeight w:val="1775"/>
        </w:trPr>
        <w:tc>
          <w:tcPr>
            <w:tcW w:w="1660" w:type="dxa"/>
            <w:vMerge/>
            <w:shd w:val="clear" w:color="auto" w:fill="F2F2F2" w:themeFill="background1" w:themeFillShade="F2"/>
          </w:tcPr>
          <w:p w:rsidR="008E44E4" w:rsidRPr="00A31FC5" w:rsidRDefault="008E44E4" w:rsidP="001433AA">
            <w:pPr>
              <w:rPr>
                <w:rFonts w:cs="Times New Roman"/>
                <w:b/>
                <w:sz w:val="20"/>
                <w:szCs w:val="20"/>
                <w:lang w:val="en-CA"/>
              </w:rPr>
            </w:pP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During field supervision (SPN) visits, transaction testing is optional (based on level of determined risk of project), and is usually done on a test basis.</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Transaction testing will be mandatory, and cover all transaction occurrences for period under review.</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r w:rsidR="008E44E4" w:rsidRPr="0003745E" w:rsidTr="00EE593D">
        <w:trPr>
          <w:trHeight w:val="1127"/>
        </w:trPr>
        <w:tc>
          <w:tcPr>
            <w:tcW w:w="1660" w:type="dxa"/>
            <w:shd w:val="clear" w:color="auto" w:fill="F2F2F2" w:themeFill="background1" w:themeFillShade="F2"/>
          </w:tcPr>
          <w:p w:rsidR="008E44E4" w:rsidRPr="00A31FC5" w:rsidRDefault="008E44E4" w:rsidP="001433AA">
            <w:pPr>
              <w:rPr>
                <w:rFonts w:cs="Times New Roman"/>
                <w:b/>
                <w:sz w:val="20"/>
                <w:szCs w:val="20"/>
                <w:lang w:val="en-CA"/>
              </w:rPr>
            </w:pPr>
            <w:r w:rsidRPr="00A31FC5">
              <w:rPr>
                <w:rFonts w:cs="Times New Roman"/>
                <w:b/>
                <w:sz w:val="20"/>
                <w:szCs w:val="20"/>
                <w:lang w:val="en-CA"/>
              </w:rPr>
              <w:lastRenderedPageBreak/>
              <w:t>Planning and Budgeting</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Budget planning and execution documented and illustrated in a quarterly monitoring sheet.</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In addition, all variances will be commented and justified in a quarterly schedule.</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r w:rsidR="008E44E4" w:rsidRPr="00A31FC5" w:rsidTr="00EE593D">
        <w:trPr>
          <w:trHeight w:val="2252"/>
        </w:trPr>
        <w:tc>
          <w:tcPr>
            <w:tcW w:w="1660" w:type="dxa"/>
            <w:shd w:val="clear" w:color="auto" w:fill="F2F2F2" w:themeFill="background1" w:themeFillShade="F2"/>
          </w:tcPr>
          <w:p w:rsidR="008E44E4" w:rsidRPr="00A31FC5" w:rsidRDefault="008E44E4" w:rsidP="001433AA">
            <w:pPr>
              <w:rPr>
                <w:rFonts w:cs="Times New Roman"/>
                <w:b/>
                <w:sz w:val="20"/>
                <w:szCs w:val="20"/>
                <w:lang w:val="en-CA"/>
              </w:rPr>
            </w:pPr>
            <w:r w:rsidRPr="00A31FC5">
              <w:rPr>
                <w:rFonts w:cs="Times New Roman"/>
                <w:b/>
                <w:sz w:val="20"/>
                <w:szCs w:val="20"/>
                <w:lang w:val="en-CA"/>
              </w:rPr>
              <w:t>Accounting</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Review of accounting and book keeping arrangements, involving adequacy of Bank reconciliation statements;</w:t>
            </w:r>
          </w:p>
          <w:p w:rsidR="008E44E4" w:rsidRPr="00A31FC5" w:rsidRDefault="008E44E4" w:rsidP="001433AA">
            <w:pPr>
              <w:rPr>
                <w:rFonts w:cs="Times New Roman"/>
                <w:sz w:val="20"/>
                <w:szCs w:val="20"/>
                <w:lang w:val="en-CA"/>
              </w:rPr>
            </w:pPr>
          </w:p>
          <w:p w:rsidR="008E44E4" w:rsidRPr="00A31FC5" w:rsidRDefault="008E44E4" w:rsidP="001433AA">
            <w:pPr>
              <w:rPr>
                <w:rFonts w:cs="Times New Roman"/>
                <w:sz w:val="20"/>
                <w:szCs w:val="20"/>
                <w:lang w:val="en-CA"/>
              </w:rPr>
            </w:pPr>
            <w:r w:rsidRPr="00A31FC5">
              <w:rPr>
                <w:rFonts w:cs="Times New Roman"/>
                <w:sz w:val="20"/>
                <w:szCs w:val="20"/>
                <w:lang w:val="en-CA"/>
              </w:rPr>
              <w:t>Inventory Reconciliation.</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Regular procedures will apply.</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r w:rsidR="008E44E4" w:rsidRPr="0003745E" w:rsidTr="00EE593D">
        <w:trPr>
          <w:trHeight w:val="1613"/>
        </w:trPr>
        <w:tc>
          <w:tcPr>
            <w:tcW w:w="1660" w:type="dxa"/>
            <w:shd w:val="clear" w:color="auto" w:fill="F2F2F2" w:themeFill="background1" w:themeFillShade="F2"/>
          </w:tcPr>
          <w:p w:rsidR="008E44E4" w:rsidRPr="00A31FC5" w:rsidRDefault="008E44E4" w:rsidP="001433AA">
            <w:pPr>
              <w:rPr>
                <w:rFonts w:cs="Times New Roman"/>
                <w:b/>
                <w:sz w:val="20"/>
                <w:szCs w:val="20"/>
                <w:lang w:val="en-CA"/>
              </w:rPr>
            </w:pPr>
            <w:r w:rsidRPr="00A31FC5">
              <w:rPr>
                <w:rFonts w:cs="Times New Roman"/>
                <w:b/>
                <w:sz w:val="20"/>
                <w:szCs w:val="20"/>
                <w:lang w:val="en-CA"/>
              </w:rPr>
              <w:t>Internal control</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Review of the adequacy of:</w:t>
            </w:r>
          </w:p>
          <w:p w:rsidR="008E44E4" w:rsidRPr="00A31FC5" w:rsidRDefault="008E44E4" w:rsidP="002E3A02">
            <w:pPr>
              <w:pStyle w:val="ListParagraph"/>
              <w:numPr>
                <w:ilvl w:val="0"/>
                <w:numId w:val="27"/>
              </w:numPr>
              <w:contextualSpacing/>
              <w:rPr>
                <w:rFonts w:asciiTheme="minorHAnsi" w:hAnsiTheme="minorHAnsi"/>
                <w:sz w:val="20"/>
                <w:szCs w:val="20"/>
                <w:lang w:val="en-CA"/>
              </w:rPr>
            </w:pPr>
            <w:r w:rsidRPr="00A31FC5">
              <w:rPr>
                <w:rFonts w:asciiTheme="minorHAnsi" w:hAnsiTheme="minorHAnsi"/>
                <w:sz w:val="20"/>
                <w:szCs w:val="20"/>
                <w:lang w:val="en-CA"/>
              </w:rPr>
              <w:t>Manual of procedures;</w:t>
            </w:r>
          </w:p>
          <w:p w:rsidR="008E44E4" w:rsidRPr="00A31FC5" w:rsidRDefault="008E44E4" w:rsidP="002E3A02">
            <w:pPr>
              <w:pStyle w:val="ListParagraph"/>
              <w:numPr>
                <w:ilvl w:val="0"/>
                <w:numId w:val="27"/>
              </w:numPr>
              <w:contextualSpacing/>
              <w:rPr>
                <w:rFonts w:asciiTheme="minorHAnsi" w:hAnsiTheme="minorHAnsi"/>
                <w:sz w:val="20"/>
                <w:szCs w:val="20"/>
                <w:lang w:val="en-CA"/>
              </w:rPr>
            </w:pPr>
            <w:r w:rsidRPr="00A31FC5">
              <w:rPr>
                <w:rFonts w:asciiTheme="minorHAnsi" w:hAnsiTheme="minorHAnsi"/>
                <w:sz w:val="20"/>
                <w:szCs w:val="20"/>
                <w:lang w:val="en-CA"/>
              </w:rPr>
              <w:t>Internal audit function.</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All the preceding and the content and structure of the Manual of procedures will be based on existing manual tailored to project specificities.</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r w:rsidR="008E44E4" w:rsidRPr="00A31FC5" w:rsidTr="00EE593D">
        <w:trPr>
          <w:trHeight w:val="457"/>
        </w:trPr>
        <w:tc>
          <w:tcPr>
            <w:tcW w:w="1660" w:type="dxa"/>
            <w:shd w:val="clear" w:color="auto" w:fill="F2F2F2" w:themeFill="background1" w:themeFillShade="F2"/>
          </w:tcPr>
          <w:p w:rsidR="008E44E4" w:rsidRPr="00A31FC5" w:rsidRDefault="008E44E4" w:rsidP="001433AA">
            <w:pPr>
              <w:rPr>
                <w:rFonts w:cs="Times New Roman"/>
                <w:b/>
                <w:sz w:val="20"/>
                <w:szCs w:val="20"/>
                <w:lang w:val="en-CA"/>
              </w:rPr>
            </w:pPr>
            <w:r w:rsidRPr="00A31FC5">
              <w:rPr>
                <w:rFonts w:cs="Times New Roman"/>
                <w:b/>
                <w:sz w:val="20"/>
                <w:szCs w:val="20"/>
                <w:lang w:val="en-CA"/>
              </w:rPr>
              <w:t>Funds flow</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Organize frequent controls for each involved actor in order to help to prevent and mitigate the risk of diversion of funds;</w:t>
            </w:r>
          </w:p>
          <w:p w:rsidR="008E44E4" w:rsidRPr="00A31FC5" w:rsidRDefault="008E44E4" w:rsidP="001433AA">
            <w:pPr>
              <w:spacing w:before="240"/>
              <w:rPr>
                <w:rFonts w:cs="Times New Roman"/>
                <w:sz w:val="20"/>
                <w:szCs w:val="20"/>
                <w:lang w:val="en-CA"/>
              </w:rPr>
            </w:pPr>
            <w:r w:rsidRPr="00A31FC5">
              <w:rPr>
                <w:rFonts w:cs="Times New Roman"/>
                <w:sz w:val="20"/>
                <w:szCs w:val="20"/>
                <w:lang w:val="en-CA"/>
              </w:rPr>
              <w:t xml:space="preserve">Payment requests will be approved by the Coordinator (B signatory) and the financial management specialist (A signatory) prior to disbursement of funds. </w:t>
            </w:r>
          </w:p>
          <w:p w:rsidR="008E44E4" w:rsidRPr="00A31FC5" w:rsidRDefault="008E44E4" w:rsidP="001433AA">
            <w:pPr>
              <w:rPr>
                <w:rFonts w:cs="Times New Roman"/>
                <w:sz w:val="20"/>
                <w:szCs w:val="20"/>
                <w:lang w:val="en-CA"/>
              </w:rPr>
            </w:pP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Regular procedures will apply.</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r w:rsidR="008E44E4" w:rsidRPr="0003745E" w:rsidTr="00EE593D">
        <w:trPr>
          <w:trHeight w:val="1883"/>
        </w:trPr>
        <w:tc>
          <w:tcPr>
            <w:tcW w:w="1660" w:type="dxa"/>
            <w:shd w:val="clear" w:color="auto" w:fill="F2F2F2" w:themeFill="background1" w:themeFillShade="F2"/>
          </w:tcPr>
          <w:p w:rsidR="008E44E4" w:rsidRPr="00A31FC5" w:rsidRDefault="008E44E4" w:rsidP="001433AA">
            <w:pPr>
              <w:rPr>
                <w:rFonts w:cs="Times New Roman"/>
                <w:b/>
                <w:sz w:val="20"/>
                <w:szCs w:val="20"/>
                <w:lang w:val="en-CA"/>
              </w:rPr>
            </w:pPr>
            <w:r w:rsidRPr="00A31FC5">
              <w:rPr>
                <w:rFonts w:cs="Times New Roman"/>
                <w:b/>
                <w:sz w:val="20"/>
                <w:szCs w:val="20"/>
                <w:lang w:val="en-CA"/>
              </w:rPr>
              <w:t>Financial reporting</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Review of quarterly Interim Financial Reports (IFR) and their compliance with FA and Bank stipulations and guidelines.</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In addition, quarterly financials in OHADA reporting format as well as accompanying schedules and analyses will be produced on a quarterly basis.</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r w:rsidR="008E44E4" w:rsidRPr="0003745E" w:rsidTr="00EE593D">
        <w:trPr>
          <w:trHeight w:val="2513"/>
        </w:trPr>
        <w:tc>
          <w:tcPr>
            <w:tcW w:w="1660" w:type="dxa"/>
            <w:shd w:val="clear" w:color="auto" w:fill="F2F2F2" w:themeFill="background1" w:themeFillShade="F2"/>
          </w:tcPr>
          <w:p w:rsidR="008E44E4" w:rsidRPr="00A31FC5" w:rsidRDefault="008E44E4" w:rsidP="001433AA">
            <w:pPr>
              <w:rPr>
                <w:rFonts w:cs="Times New Roman"/>
                <w:b/>
                <w:sz w:val="20"/>
                <w:szCs w:val="20"/>
                <w:lang w:val="en-CA"/>
              </w:rPr>
            </w:pPr>
            <w:r w:rsidRPr="00A31FC5">
              <w:rPr>
                <w:rFonts w:cs="Times New Roman"/>
                <w:b/>
                <w:sz w:val="20"/>
                <w:szCs w:val="20"/>
                <w:lang w:val="en-CA"/>
              </w:rPr>
              <w:t xml:space="preserve">Auditing arrangements </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Recruitment of independent external auditor will be based on agreed Terms of Reference developed in line with International Accounting Standards Review of annual audited financial statements and related audit reports.</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In addition, the auditor selection criteria will be enhanced to ensure a superior quality assurance review policy is in place; and candidates will be assessed on Bank external audit evaluation guidelines.</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r w:rsidR="008E44E4" w:rsidRPr="0003745E" w:rsidTr="00EE593D">
        <w:trPr>
          <w:trHeight w:val="1073"/>
        </w:trPr>
        <w:tc>
          <w:tcPr>
            <w:tcW w:w="1660" w:type="dxa"/>
            <w:shd w:val="clear" w:color="auto" w:fill="F2F2F2" w:themeFill="background1" w:themeFillShade="F2"/>
          </w:tcPr>
          <w:p w:rsidR="008E44E4" w:rsidRPr="00A31FC5" w:rsidRDefault="008E44E4" w:rsidP="001433AA">
            <w:pPr>
              <w:rPr>
                <w:rFonts w:cs="Times New Roman"/>
                <w:sz w:val="20"/>
                <w:szCs w:val="20"/>
                <w:lang w:val="en-CA"/>
              </w:rPr>
            </w:pPr>
            <w:r w:rsidRPr="00A31FC5">
              <w:rPr>
                <w:rFonts w:cs="Times New Roman"/>
                <w:b/>
                <w:sz w:val="20"/>
                <w:szCs w:val="20"/>
                <w:lang w:val="en-CA"/>
              </w:rPr>
              <w:lastRenderedPageBreak/>
              <w:t>In-depth reviews</w:t>
            </w:r>
          </w:p>
        </w:tc>
        <w:tc>
          <w:tcPr>
            <w:tcW w:w="275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Performed on an optional basis (based on level of determined risk of project); non-recurrent.</w:t>
            </w:r>
          </w:p>
        </w:tc>
        <w:tc>
          <w:tcPr>
            <w:tcW w:w="2610" w:type="dxa"/>
            <w:shd w:val="clear" w:color="auto" w:fill="FFFFFF" w:themeFill="background1"/>
          </w:tcPr>
          <w:p w:rsidR="008E44E4" w:rsidRPr="00A31FC5" w:rsidRDefault="008E44E4" w:rsidP="001433AA">
            <w:pPr>
              <w:rPr>
                <w:rFonts w:cs="Times New Roman"/>
                <w:sz w:val="20"/>
                <w:szCs w:val="20"/>
                <w:lang w:val="en-CA"/>
              </w:rPr>
            </w:pPr>
            <w:r w:rsidRPr="00A31FC5">
              <w:rPr>
                <w:rFonts w:cs="Times New Roman"/>
                <w:sz w:val="20"/>
                <w:szCs w:val="20"/>
                <w:lang w:val="en-CA"/>
              </w:rPr>
              <w:t>Performed on an annual and impromptu basis.</w:t>
            </w:r>
          </w:p>
        </w:tc>
        <w:tc>
          <w:tcPr>
            <w:tcW w:w="2430" w:type="dxa"/>
            <w:vMerge/>
            <w:shd w:val="clear" w:color="auto" w:fill="FFFFFF" w:themeFill="background1"/>
          </w:tcPr>
          <w:p w:rsidR="008E44E4" w:rsidRPr="00A31FC5" w:rsidRDefault="008E44E4" w:rsidP="001433AA">
            <w:pPr>
              <w:rPr>
                <w:rFonts w:cs="Times New Roman"/>
                <w:sz w:val="20"/>
                <w:szCs w:val="20"/>
                <w:lang w:val="en-CA"/>
              </w:rPr>
            </w:pPr>
          </w:p>
        </w:tc>
      </w:tr>
    </w:tbl>
    <w:p w:rsidR="008E44E4" w:rsidRPr="00A31FC5" w:rsidRDefault="008E44E4" w:rsidP="008E44E4">
      <w:pPr>
        <w:autoSpaceDE w:val="0"/>
        <w:autoSpaceDN w:val="0"/>
        <w:rPr>
          <w:color w:val="231F20"/>
          <w:sz w:val="20"/>
          <w:szCs w:val="20"/>
          <w:lang w:val="en-US"/>
        </w:rPr>
      </w:pPr>
    </w:p>
    <w:p w:rsidR="008E44E4" w:rsidRPr="00A31FC5" w:rsidRDefault="008E44E4" w:rsidP="008E44E4">
      <w:pPr>
        <w:spacing w:after="120" w:line="240" w:lineRule="auto"/>
        <w:jc w:val="both"/>
        <w:rPr>
          <w:rFonts w:cs="Times New Roman"/>
          <w:sz w:val="20"/>
          <w:szCs w:val="20"/>
          <w:lang w:val="en-US"/>
        </w:rPr>
      </w:pPr>
      <w:r w:rsidRPr="00A31FC5">
        <w:rPr>
          <w:rFonts w:cs="Times New Roman"/>
          <w:color w:val="000000"/>
          <w:sz w:val="20"/>
          <w:szCs w:val="20"/>
          <w:lang w:val="en-US"/>
        </w:rPr>
        <w:t xml:space="preserve">If the Bank determines that an ineligible expenditure is financed from a Designated Account, it will require a refund in accordance with the provisions outlined in the </w:t>
      </w:r>
      <w:r w:rsidRPr="00A31FC5">
        <w:rPr>
          <w:rFonts w:cs="Times New Roman"/>
          <w:sz w:val="20"/>
          <w:szCs w:val="20"/>
          <w:lang w:val="en-CA"/>
        </w:rPr>
        <w:t>Disbursement Handbook.</w:t>
      </w:r>
      <w:r w:rsidRPr="00A31FC5">
        <w:rPr>
          <w:rFonts w:cs="Times New Roman"/>
          <w:color w:val="000000"/>
          <w:sz w:val="20"/>
          <w:szCs w:val="20"/>
          <w:lang w:val="en-US"/>
        </w:rPr>
        <w:t xml:space="preserve"> This provision applies equally to any amounts transferred from a designated account. As an additional risk measure specific to High Risk Implementing Agencies, should the Bank determine that a payment out of the Designated Account was not justified, it will decline the exceptional action, respectively (d) accepting substitute documentation evidencing other eligible expenditures.</w:t>
      </w:r>
    </w:p>
    <w:p w:rsidR="00CC54EA" w:rsidRDefault="00CC54EA">
      <w:pPr>
        <w:rPr>
          <w:lang w:val="en-US"/>
        </w:rPr>
      </w:pPr>
    </w:p>
    <w:p w:rsidR="00EF6F07" w:rsidRPr="00A31FC5" w:rsidRDefault="00EF6F07" w:rsidP="00EF6F07">
      <w:pPr>
        <w:spacing w:after="240"/>
        <w:rPr>
          <w:rFonts w:cs="Times New Roman"/>
          <w:sz w:val="20"/>
          <w:szCs w:val="20"/>
          <w:lang w:val="en-CA"/>
        </w:rPr>
      </w:pPr>
      <w:r w:rsidRPr="00A31FC5">
        <w:rPr>
          <w:rFonts w:cs="Times New Roman"/>
          <w:sz w:val="20"/>
          <w:szCs w:val="20"/>
          <w:lang w:val="en-CA"/>
        </w:rPr>
        <w:t xml:space="preserve">Annexe I – Guidance note on Systematic Operations Risk-Rating Tool: </w:t>
      </w:r>
      <w:hyperlink r:id="rId51" w:history="1">
        <w:r w:rsidRPr="00A31FC5">
          <w:rPr>
            <w:rStyle w:val="Hyperlink"/>
            <w:rFonts w:cs="Times New Roman"/>
            <w:sz w:val="20"/>
            <w:szCs w:val="20"/>
            <w:lang w:val="en-CA"/>
          </w:rPr>
          <w:t>http://www.worldbank.org/content/dam/Worldbank/document/SORT_Guidance_Note_11_7_14.pdf</w:t>
        </w:r>
      </w:hyperlink>
      <w:r w:rsidRPr="00A31FC5">
        <w:rPr>
          <w:rFonts w:cs="Times New Roman"/>
          <w:sz w:val="20"/>
          <w:szCs w:val="20"/>
          <w:lang w:val="en-CA"/>
        </w:rPr>
        <w:t xml:space="preserve"> </w:t>
      </w:r>
    </w:p>
    <w:p w:rsidR="00EF6F07" w:rsidRPr="00A31FC5" w:rsidRDefault="00EF6F07" w:rsidP="00EF6F07">
      <w:pPr>
        <w:spacing w:after="240"/>
        <w:rPr>
          <w:rFonts w:cs="Times New Roman"/>
          <w:sz w:val="20"/>
          <w:szCs w:val="20"/>
          <w:lang w:val="en-CA"/>
        </w:rPr>
      </w:pPr>
      <w:r w:rsidRPr="00A31FC5">
        <w:rPr>
          <w:rFonts w:cs="Times New Roman"/>
          <w:sz w:val="20"/>
          <w:szCs w:val="20"/>
          <w:lang w:val="en-CA"/>
        </w:rPr>
        <w:t xml:space="preserve">Annexe II: Users Guide – Procurement Risk Assessment &amp; Management System: </w:t>
      </w:r>
      <w:hyperlink r:id="rId52" w:history="1">
        <w:r w:rsidRPr="00A31FC5">
          <w:rPr>
            <w:rStyle w:val="Hyperlink"/>
            <w:rFonts w:cs="Times New Roman"/>
            <w:sz w:val="20"/>
            <w:szCs w:val="20"/>
            <w:lang w:val="en-CA"/>
          </w:rPr>
          <w:t>http://intresources.worldbank.org/INTPROCUREMENT/Resources/P-RAMS_UsersGuideFinal_(update_Sep_2013).pdf</w:t>
        </w:r>
      </w:hyperlink>
      <w:r w:rsidRPr="00A31FC5">
        <w:rPr>
          <w:rFonts w:cs="Times New Roman"/>
          <w:sz w:val="20"/>
          <w:szCs w:val="20"/>
          <w:lang w:val="en-CA"/>
        </w:rPr>
        <w:t xml:space="preserve"> </w:t>
      </w:r>
    </w:p>
    <w:p w:rsidR="00EF6F07" w:rsidRPr="00A31FC5" w:rsidRDefault="00EF6F07" w:rsidP="00EF6F07">
      <w:pPr>
        <w:spacing w:after="240"/>
        <w:rPr>
          <w:rFonts w:cs="Times New Roman"/>
          <w:sz w:val="20"/>
          <w:szCs w:val="20"/>
          <w:lang w:val="en-CA"/>
        </w:rPr>
      </w:pPr>
      <w:r w:rsidRPr="00A31FC5">
        <w:rPr>
          <w:rFonts w:cs="Times New Roman"/>
          <w:sz w:val="20"/>
          <w:szCs w:val="20"/>
          <w:lang w:val="en-CA"/>
        </w:rPr>
        <w:t xml:space="preserve">Annexe III – Guidelines for Procurement of Goods, Works and Non-Consulting Services: </w:t>
      </w:r>
      <w:hyperlink r:id="rId53" w:history="1">
        <w:r w:rsidRPr="00A31FC5">
          <w:rPr>
            <w:rStyle w:val="Hyperlink"/>
            <w:rFonts w:cs="Times New Roman"/>
            <w:sz w:val="20"/>
            <w:szCs w:val="20"/>
            <w:lang w:val="en-CA"/>
          </w:rPr>
          <w:t>http://siteresources.worldbank.org/INTPROCUREMENT/Resources/Procurement_GLs_English_Final_Jan2011_revised_July1-2014.pdf</w:t>
        </w:r>
      </w:hyperlink>
      <w:r w:rsidRPr="00A31FC5">
        <w:rPr>
          <w:rFonts w:cs="Times New Roman"/>
          <w:sz w:val="20"/>
          <w:szCs w:val="20"/>
          <w:lang w:val="en-CA"/>
        </w:rPr>
        <w:t xml:space="preserve"> </w:t>
      </w:r>
    </w:p>
    <w:p w:rsidR="00EF6F07" w:rsidRPr="00A31FC5" w:rsidRDefault="00EF6F07" w:rsidP="00EF6F07">
      <w:pPr>
        <w:spacing w:after="240"/>
        <w:rPr>
          <w:rFonts w:cs="Times New Roman"/>
          <w:sz w:val="20"/>
          <w:szCs w:val="20"/>
          <w:lang w:val="en-CA"/>
        </w:rPr>
      </w:pPr>
      <w:r w:rsidRPr="00A31FC5">
        <w:rPr>
          <w:rFonts w:cs="Times New Roman"/>
          <w:sz w:val="20"/>
          <w:szCs w:val="20"/>
          <w:lang w:val="en-CA"/>
        </w:rPr>
        <w:t xml:space="preserve">Annexe IV – Guidelines: Selection and Employment of Consultants: </w:t>
      </w:r>
      <w:hyperlink r:id="rId54" w:history="1">
        <w:r w:rsidRPr="00A31FC5">
          <w:rPr>
            <w:rStyle w:val="Hyperlink"/>
            <w:rFonts w:cs="Times New Roman"/>
            <w:sz w:val="20"/>
            <w:szCs w:val="20"/>
            <w:lang w:val="en-CA"/>
          </w:rPr>
          <w:t>http://siteresources.worldbank.org/INTPROCUREMENT/Resources/278019-1308067833011/Consultant_GLs_English_Final_Jan2011.pdf</w:t>
        </w:r>
      </w:hyperlink>
      <w:r w:rsidRPr="00A31FC5">
        <w:rPr>
          <w:rFonts w:cs="Times New Roman"/>
          <w:sz w:val="20"/>
          <w:szCs w:val="20"/>
          <w:lang w:val="en-CA"/>
        </w:rPr>
        <w:t xml:space="preserve"> </w:t>
      </w:r>
    </w:p>
    <w:p w:rsidR="00EF6F07" w:rsidRPr="00A31FC5" w:rsidRDefault="00EF6F07" w:rsidP="00EF6F07">
      <w:pPr>
        <w:spacing w:after="240"/>
        <w:rPr>
          <w:rFonts w:cs="Times New Roman"/>
          <w:sz w:val="20"/>
          <w:szCs w:val="20"/>
          <w:lang w:val="en-CA"/>
        </w:rPr>
      </w:pPr>
      <w:r w:rsidRPr="00A31FC5">
        <w:rPr>
          <w:rFonts w:cs="Times New Roman"/>
          <w:sz w:val="20"/>
          <w:szCs w:val="20"/>
          <w:lang w:val="en-CA"/>
        </w:rPr>
        <w:t xml:space="preserve">Annexe V – Investment Project Financing Operational Policy10.00: </w:t>
      </w:r>
      <w:hyperlink r:id="rId55" w:history="1">
        <w:r w:rsidRPr="00A31FC5">
          <w:rPr>
            <w:rStyle w:val="Hyperlink"/>
            <w:rFonts w:cs="Times New Roman"/>
            <w:sz w:val="20"/>
            <w:szCs w:val="20"/>
            <w:lang w:val="en-CA"/>
          </w:rPr>
          <w:t>http://siteresources.worldbank.org/OPSMANUAL/112526-1124459412562/23585578/OP10.00_July1_2014.pdf</w:t>
        </w:r>
      </w:hyperlink>
    </w:p>
    <w:p w:rsidR="00EF6F07" w:rsidRPr="00A31FC5" w:rsidRDefault="00EF6F07" w:rsidP="00EF6F07">
      <w:pPr>
        <w:spacing w:after="240"/>
        <w:rPr>
          <w:rFonts w:cs="Times New Roman"/>
          <w:sz w:val="20"/>
          <w:szCs w:val="20"/>
          <w:lang w:val="en-CA"/>
        </w:rPr>
      </w:pPr>
      <w:r w:rsidRPr="00A31FC5">
        <w:rPr>
          <w:rFonts w:cs="Times New Roman"/>
          <w:sz w:val="20"/>
          <w:szCs w:val="20"/>
          <w:lang w:val="en-CA"/>
        </w:rPr>
        <w:t xml:space="preserve">Annexe VI – Procurement Operational Policy 11.00: </w:t>
      </w:r>
      <w:hyperlink r:id="rId56" w:history="1">
        <w:r w:rsidRPr="00A31FC5">
          <w:rPr>
            <w:rStyle w:val="Hyperlink"/>
            <w:rFonts w:cs="Times New Roman"/>
            <w:sz w:val="20"/>
            <w:szCs w:val="20"/>
            <w:lang w:val="en-CA"/>
          </w:rPr>
          <w:t>http://siteresources.worldbank.org/OPSMANUAL/112526-1124459412562/23586218/OP11.00_Final_July_2014.pdf</w:t>
        </w:r>
      </w:hyperlink>
      <w:r w:rsidRPr="00A31FC5">
        <w:rPr>
          <w:rFonts w:cs="Times New Roman"/>
          <w:sz w:val="20"/>
          <w:szCs w:val="20"/>
          <w:lang w:val="en-CA"/>
        </w:rPr>
        <w:t xml:space="preserve"> </w:t>
      </w:r>
    </w:p>
    <w:p w:rsidR="00EF6F07" w:rsidRPr="00A31FC5" w:rsidRDefault="00EF6F07" w:rsidP="00EF6F07">
      <w:pPr>
        <w:spacing w:after="240"/>
        <w:rPr>
          <w:rFonts w:cs="Times New Roman"/>
          <w:sz w:val="20"/>
          <w:szCs w:val="20"/>
          <w:lang w:val="en-CA"/>
        </w:rPr>
      </w:pPr>
      <w:r w:rsidRPr="00A31FC5">
        <w:rPr>
          <w:rFonts w:cs="Times New Roman"/>
          <w:sz w:val="20"/>
          <w:szCs w:val="20"/>
          <w:lang w:val="en-CA"/>
        </w:rPr>
        <w:t xml:space="preserve">Annexe VII – Disbursement Handbook: </w:t>
      </w:r>
      <w:hyperlink r:id="rId57" w:history="1">
        <w:r w:rsidRPr="00A31FC5">
          <w:rPr>
            <w:rStyle w:val="Hyperlink"/>
            <w:rFonts w:cs="Times New Roman"/>
            <w:sz w:val="20"/>
            <w:szCs w:val="20"/>
            <w:lang w:val="en-CA"/>
          </w:rPr>
          <w:t>http://intresources.worldbank.org/CTR/Resources/264273-1334555366246/8581715-1340600368291/Disb_Handbook_English.pdf</w:t>
        </w:r>
      </w:hyperlink>
      <w:r w:rsidRPr="00A31FC5">
        <w:rPr>
          <w:rFonts w:cs="Times New Roman"/>
          <w:sz w:val="20"/>
          <w:szCs w:val="20"/>
          <w:lang w:val="en-CA"/>
        </w:rPr>
        <w:t xml:space="preserve"> </w:t>
      </w:r>
    </w:p>
    <w:p w:rsidR="00CC54EA" w:rsidRPr="00EF6F07" w:rsidRDefault="00CC54EA">
      <w:pPr>
        <w:rPr>
          <w:lang w:val="en-CA"/>
        </w:rPr>
        <w:sectPr w:rsidR="00CC54EA" w:rsidRPr="00EF6F07" w:rsidSect="000257C1">
          <w:footerReference w:type="default" r:id="rId58"/>
          <w:pgSz w:w="11906" w:h="16838"/>
          <w:pgMar w:top="1417" w:right="1417" w:bottom="1350" w:left="1080" w:header="708" w:footer="708" w:gutter="0"/>
          <w:cols w:space="708"/>
          <w:docGrid w:linePitch="360"/>
        </w:sectPr>
      </w:pPr>
    </w:p>
    <w:p w:rsidR="00C27A13" w:rsidRDefault="00CC54EA" w:rsidP="00EF6F07">
      <w:pPr>
        <w:rPr>
          <w:b/>
          <w:color w:val="2E74B5" w:themeColor="accent1" w:themeShade="BF"/>
          <w:sz w:val="16"/>
          <w:szCs w:val="16"/>
        </w:rPr>
      </w:pPr>
      <w:r w:rsidRPr="00302B2C">
        <w:rPr>
          <w:b/>
          <w:color w:val="2E74B5" w:themeColor="accent1" w:themeShade="BF"/>
        </w:rPr>
        <w:lastRenderedPageBreak/>
        <w:t>Annexe</w:t>
      </w:r>
      <w:r w:rsidR="00302B2C" w:rsidRPr="00302B2C">
        <w:rPr>
          <w:b/>
          <w:color w:val="2E74B5" w:themeColor="accent1" w:themeShade="BF"/>
        </w:rPr>
        <w:t xml:space="preserve"> 7</w:t>
      </w:r>
      <w:r w:rsidR="002F11D0">
        <w:rPr>
          <w:b/>
          <w:color w:val="2E74B5" w:themeColor="accent1" w:themeShade="BF"/>
        </w:rPr>
        <w:t xml:space="preserve"> – Budget détaillé</w:t>
      </w:r>
      <w:r w:rsidR="00787198">
        <w:rPr>
          <w:b/>
          <w:color w:val="2E74B5" w:themeColor="accent1" w:themeShade="BF"/>
        </w:rPr>
        <w:t xml:space="preserve"> (hors coûts directs et indirects de la Banque mondiale)</w:t>
      </w:r>
      <w:r w:rsidRPr="00302B2C">
        <w:rPr>
          <w:b/>
          <w:color w:val="2E74B5" w:themeColor="accent1" w:themeShade="BF"/>
        </w:rPr>
        <w:t>:</w:t>
      </w:r>
      <w:r w:rsidR="000413D4" w:rsidDel="000413D4">
        <w:rPr>
          <w:b/>
          <w:color w:val="2E74B5" w:themeColor="accent1" w:themeShade="BF"/>
        </w:rPr>
        <w:t xml:space="preserve"> </w:t>
      </w:r>
    </w:p>
    <w:tbl>
      <w:tblPr>
        <w:tblW w:w="15820" w:type="dxa"/>
        <w:tblLook w:val="04A0" w:firstRow="1" w:lastRow="0" w:firstColumn="1" w:lastColumn="0" w:noHBand="0" w:noVBand="1"/>
      </w:tblPr>
      <w:tblGrid>
        <w:gridCol w:w="499"/>
        <w:gridCol w:w="499"/>
        <w:gridCol w:w="6380"/>
        <w:gridCol w:w="1160"/>
        <w:gridCol w:w="998"/>
        <w:gridCol w:w="1138"/>
        <w:gridCol w:w="953"/>
        <w:gridCol w:w="1237"/>
        <w:gridCol w:w="980"/>
        <w:gridCol w:w="1297"/>
        <w:gridCol w:w="679"/>
      </w:tblGrid>
      <w:tr w:rsidR="00C27A13" w:rsidRPr="00C27A13" w:rsidTr="00C27A13">
        <w:trPr>
          <w:trHeight w:val="744"/>
        </w:trPr>
        <w:tc>
          <w:tcPr>
            <w:tcW w:w="7440" w:type="dxa"/>
            <w:gridSpan w:val="3"/>
            <w:tcBorders>
              <w:top w:val="nil"/>
              <w:left w:val="nil"/>
              <w:bottom w:val="nil"/>
              <w:right w:val="nil"/>
            </w:tcBorders>
            <w:shd w:val="clear" w:color="000000" w:fill="8DB4E2"/>
            <w:vAlign w:val="center"/>
            <w:hideMark/>
          </w:tcPr>
          <w:p w:rsidR="00C27A13" w:rsidRPr="00ED144B" w:rsidRDefault="00787198" w:rsidP="00C27A13">
            <w:pPr>
              <w:spacing w:after="0" w:line="240" w:lineRule="auto"/>
              <w:rPr>
                <w:rFonts w:ascii="Calibri" w:eastAsia="Times New Roman" w:hAnsi="Calibri" w:cs="Times New Roman"/>
                <w:b/>
                <w:bCs/>
                <w:color w:val="000000"/>
                <w:sz w:val="28"/>
                <w:szCs w:val="28"/>
                <w:lang w:eastAsia="en-US"/>
              </w:rPr>
            </w:pPr>
            <w:r>
              <w:rPr>
                <w:rFonts w:ascii="Calibri" w:eastAsia="Times New Roman" w:hAnsi="Calibri" w:cs="Times New Roman"/>
                <w:b/>
                <w:bCs/>
                <w:color w:val="000000"/>
                <w:sz w:val="28"/>
                <w:szCs w:val="28"/>
                <w:lang w:eastAsia="en-US"/>
              </w:rPr>
              <w:t>Budget PIREDD Mai-</w:t>
            </w:r>
            <w:r w:rsidR="00C27A13" w:rsidRPr="00ED144B">
              <w:rPr>
                <w:rFonts w:ascii="Calibri" w:eastAsia="Times New Roman" w:hAnsi="Calibri" w:cs="Times New Roman"/>
                <w:b/>
                <w:bCs/>
                <w:color w:val="000000"/>
                <w:sz w:val="28"/>
                <w:szCs w:val="28"/>
                <w:lang w:eastAsia="en-US"/>
              </w:rPr>
              <w:t xml:space="preserve">Ndombe sur 5 </w:t>
            </w:r>
            <w:r w:rsidR="00393274" w:rsidRPr="00787198">
              <w:rPr>
                <w:rFonts w:ascii="Calibri" w:eastAsia="Times New Roman" w:hAnsi="Calibri" w:cs="Times New Roman"/>
                <w:b/>
                <w:bCs/>
                <w:color w:val="000000"/>
                <w:sz w:val="28"/>
                <w:szCs w:val="28"/>
                <w:lang w:eastAsia="en-US"/>
              </w:rPr>
              <w:t>an</w:t>
            </w:r>
            <w:r w:rsidR="00393274">
              <w:rPr>
                <w:rFonts w:ascii="Calibri" w:eastAsia="Times New Roman" w:hAnsi="Calibri" w:cs="Times New Roman"/>
                <w:b/>
                <w:bCs/>
                <w:color w:val="000000"/>
                <w:sz w:val="28"/>
                <w:szCs w:val="28"/>
                <w:lang w:eastAsia="en-US"/>
              </w:rPr>
              <w:t>née</w:t>
            </w:r>
            <w:r w:rsidR="00393274" w:rsidRPr="00787198">
              <w:rPr>
                <w:rFonts w:ascii="Calibri" w:eastAsia="Times New Roman" w:hAnsi="Calibri" w:cs="Times New Roman"/>
                <w:b/>
                <w:bCs/>
                <w:color w:val="000000"/>
                <w:sz w:val="28"/>
                <w:szCs w:val="28"/>
                <w:lang w:eastAsia="en-US"/>
              </w:rPr>
              <w:t xml:space="preserve">s </w:t>
            </w:r>
            <w:r w:rsidR="00C27A13" w:rsidRPr="00ED144B">
              <w:rPr>
                <w:rFonts w:ascii="Calibri" w:eastAsia="Times New Roman" w:hAnsi="Calibri" w:cs="Times New Roman"/>
                <w:b/>
                <w:bCs/>
                <w:color w:val="000000"/>
                <w:sz w:val="28"/>
                <w:szCs w:val="28"/>
                <w:lang w:eastAsia="en-US"/>
              </w:rPr>
              <w:br/>
              <w:t>(2017 -2021)</w:t>
            </w:r>
          </w:p>
        </w:tc>
        <w:tc>
          <w:tcPr>
            <w:tcW w:w="3300" w:type="dxa"/>
            <w:gridSpan w:val="3"/>
            <w:tcBorders>
              <w:top w:val="nil"/>
              <w:left w:val="nil"/>
              <w:bottom w:val="nil"/>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28"/>
                <w:szCs w:val="28"/>
                <w:lang w:eastAsia="en-US"/>
              </w:rPr>
            </w:pPr>
            <w:r w:rsidRPr="00ED144B">
              <w:rPr>
                <w:rFonts w:ascii="Calibri" w:eastAsia="Times New Roman" w:hAnsi="Calibri" w:cs="Times New Roman"/>
                <w:b/>
                <w:bCs/>
                <w:color w:val="000000"/>
                <w:sz w:val="28"/>
                <w:szCs w:val="28"/>
                <w:lang w:eastAsia="en-US"/>
              </w:rPr>
              <w:t xml:space="preserve">27,247,383  </w:t>
            </w:r>
            <w:r w:rsidR="00393274">
              <w:rPr>
                <w:rFonts w:ascii="Calibri" w:eastAsia="Times New Roman" w:hAnsi="Calibri" w:cs="Times New Roman"/>
                <w:b/>
                <w:bCs/>
                <w:color w:val="000000"/>
                <w:sz w:val="28"/>
                <w:szCs w:val="28"/>
                <w:lang w:eastAsia="en-US"/>
              </w:rPr>
              <w:t>$</w:t>
            </w:r>
          </w:p>
        </w:tc>
        <w:tc>
          <w:tcPr>
            <w:tcW w:w="880" w:type="dxa"/>
            <w:tcBorders>
              <w:top w:val="nil"/>
              <w:left w:val="nil"/>
              <w:bottom w:val="nil"/>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FFFFFF"/>
                <w:sz w:val="18"/>
                <w:szCs w:val="18"/>
                <w:lang w:eastAsia="en-US"/>
              </w:rPr>
            </w:pPr>
            <w:r w:rsidRPr="00ED144B">
              <w:rPr>
                <w:rFonts w:ascii="Calibri" w:eastAsia="Times New Roman" w:hAnsi="Calibri" w:cs="Times New Roman"/>
                <w:b/>
                <w:bCs/>
                <w:color w:val="FFFFFF"/>
                <w:sz w:val="18"/>
                <w:szCs w:val="18"/>
                <w:lang w:eastAsia="en-US"/>
              </w:rPr>
              <w:t> </w:t>
            </w:r>
          </w:p>
        </w:tc>
        <w:tc>
          <w:tcPr>
            <w:tcW w:w="1240" w:type="dxa"/>
            <w:tcBorders>
              <w:top w:val="nil"/>
              <w:left w:val="nil"/>
              <w:bottom w:val="nil"/>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FFFFFF"/>
                <w:sz w:val="18"/>
                <w:szCs w:val="18"/>
                <w:lang w:eastAsia="en-US"/>
              </w:rPr>
            </w:pPr>
            <w:r w:rsidRPr="00ED144B">
              <w:rPr>
                <w:rFonts w:ascii="Calibri" w:eastAsia="Times New Roman" w:hAnsi="Calibri" w:cs="Times New Roman"/>
                <w:b/>
                <w:bCs/>
                <w:color w:val="FFFFFF"/>
                <w:sz w:val="18"/>
                <w:szCs w:val="18"/>
                <w:lang w:eastAsia="en-US"/>
              </w:rPr>
              <w:t> </w:t>
            </w:r>
          </w:p>
        </w:tc>
        <w:tc>
          <w:tcPr>
            <w:tcW w:w="980" w:type="dxa"/>
            <w:tcBorders>
              <w:top w:val="nil"/>
              <w:left w:val="nil"/>
              <w:bottom w:val="nil"/>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FFFFFF"/>
                <w:sz w:val="18"/>
                <w:szCs w:val="18"/>
                <w:lang w:eastAsia="en-US"/>
              </w:rPr>
            </w:pPr>
            <w:r w:rsidRPr="00ED144B">
              <w:rPr>
                <w:rFonts w:ascii="Calibri" w:eastAsia="Times New Roman" w:hAnsi="Calibri" w:cs="Times New Roman"/>
                <w:b/>
                <w:bCs/>
                <w:color w:val="FFFFFF"/>
                <w:sz w:val="18"/>
                <w:szCs w:val="18"/>
                <w:lang w:eastAsia="en-US"/>
              </w:rPr>
              <w:t> </w:t>
            </w:r>
          </w:p>
        </w:tc>
        <w:tc>
          <w:tcPr>
            <w:tcW w:w="1300" w:type="dxa"/>
            <w:tcBorders>
              <w:top w:val="nil"/>
              <w:left w:val="nil"/>
              <w:bottom w:val="nil"/>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FFFFFF"/>
                <w:sz w:val="18"/>
                <w:szCs w:val="18"/>
                <w:lang w:eastAsia="en-US"/>
              </w:rPr>
            </w:pPr>
            <w:r w:rsidRPr="00ED144B">
              <w:rPr>
                <w:rFonts w:ascii="Calibri" w:eastAsia="Times New Roman" w:hAnsi="Calibri" w:cs="Times New Roman"/>
                <w:b/>
                <w:bCs/>
                <w:color w:val="FFFFFF"/>
                <w:sz w:val="18"/>
                <w:szCs w:val="18"/>
                <w:lang w:eastAsia="en-US"/>
              </w:rPr>
              <w:t> </w:t>
            </w:r>
          </w:p>
        </w:tc>
        <w:tc>
          <w:tcPr>
            <w:tcW w:w="680" w:type="dxa"/>
            <w:tcBorders>
              <w:top w:val="nil"/>
              <w:left w:val="nil"/>
              <w:bottom w:val="nil"/>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FFFFFF"/>
                <w:sz w:val="18"/>
                <w:szCs w:val="18"/>
                <w:lang w:eastAsia="en-US"/>
              </w:rPr>
            </w:pPr>
            <w:r w:rsidRPr="00ED144B">
              <w:rPr>
                <w:rFonts w:ascii="Calibri" w:eastAsia="Times New Roman" w:hAnsi="Calibri" w:cs="Times New Roman"/>
                <w:b/>
                <w:bCs/>
                <w:color w:val="FFFFFF"/>
                <w:sz w:val="18"/>
                <w:szCs w:val="18"/>
                <w:lang w:eastAsia="en-US"/>
              </w:rPr>
              <w:t> </w:t>
            </w:r>
          </w:p>
        </w:tc>
      </w:tr>
      <w:tr w:rsidR="00C27A13" w:rsidRPr="00C27A13" w:rsidTr="00C27A13">
        <w:trPr>
          <w:trHeight w:val="300"/>
        </w:trPr>
        <w:tc>
          <w:tcPr>
            <w:tcW w:w="50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FFFFFF"/>
                <w:sz w:val="18"/>
                <w:szCs w:val="18"/>
                <w:lang w:eastAsia="en-US"/>
              </w:rPr>
            </w:pPr>
          </w:p>
        </w:tc>
        <w:tc>
          <w:tcPr>
            <w:tcW w:w="50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644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116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rPr>
                <w:rFonts w:ascii="Times New Roman" w:eastAsia="Times New Roman" w:hAnsi="Times New Roman" w:cs="Times New Roman"/>
                <w:sz w:val="18"/>
                <w:szCs w:val="18"/>
                <w:lang w:eastAsia="en-US"/>
              </w:rPr>
            </w:pPr>
          </w:p>
        </w:tc>
        <w:tc>
          <w:tcPr>
            <w:tcW w:w="100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114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88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124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98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130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c>
          <w:tcPr>
            <w:tcW w:w="68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Times New Roman" w:eastAsia="Times New Roman" w:hAnsi="Times New Roman" w:cs="Times New Roman"/>
                <w:sz w:val="18"/>
                <w:szCs w:val="18"/>
                <w:lang w:eastAsia="en-US"/>
              </w:rPr>
            </w:pPr>
          </w:p>
        </w:tc>
      </w:tr>
      <w:tr w:rsidR="00C27A13" w:rsidRPr="00C27A13" w:rsidTr="00C27A13">
        <w:trPr>
          <w:trHeight w:val="480"/>
        </w:trPr>
        <w:tc>
          <w:tcPr>
            <w:tcW w:w="5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Objet</w:t>
            </w:r>
          </w:p>
        </w:tc>
        <w:tc>
          <w:tcPr>
            <w:tcW w:w="116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Unité</w:t>
            </w:r>
          </w:p>
        </w:tc>
        <w:tc>
          <w:tcPr>
            <w:tcW w:w="100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Prix unité</w:t>
            </w:r>
          </w:p>
        </w:tc>
        <w:tc>
          <w:tcPr>
            <w:tcW w:w="114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Nombre ou superficies</w:t>
            </w:r>
          </w:p>
        </w:tc>
        <w:tc>
          <w:tcPr>
            <w:tcW w:w="88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Quantités /durée</w:t>
            </w:r>
          </w:p>
        </w:tc>
        <w:tc>
          <w:tcPr>
            <w:tcW w:w="124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Mise en œuvre ALE</w:t>
            </w:r>
          </w:p>
        </w:tc>
        <w:tc>
          <w:tcPr>
            <w:tcW w:w="98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Gestion PIF</w:t>
            </w:r>
          </w:p>
        </w:tc>
        <w:tc>
          <w:tcPr>
            <w:tcW w:w="130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Totaux</w:t>
            </w:r>
          </w:p>
        </w:tc>
        <w:tc>
          <w:tcPr>
            <w:tcW w:w="680" w:type="dxa"/>
            <w:tcBorders>
              <w:top w:val="single" w:sz="4" w:space="0" w:color="auto"/>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bookmarkStart w:id="83" w:name="RANGE!A4:K148"/>
            <w:r w:rsidRPr="00ED144B">
              <w:rPr>
                <w:rFonts w:ascii="Calibri" w:eastAsia="Times New Roman" w:hAnsi="Calibri" w:cs="Times New Roman"/>
                <w:b/>
                <w:bCs/>
                <w:color w:val="000000"/>
                <w:sz w:val="18"/>
                <w:szCs w:val="18"/>
                <w:lang w:eastAsia="en-US"/>
              </w:rPr>
              <w:t>I</w:t>
            </w:r>
            <w:bookmarkEnd w:id="83"/>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Ressources humaines </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D82B88"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C27A13" w:rsidRPr="00ED144B">
              <w:rPr>
                <w:rFonts w:ascii="Calibri" w:eastAsia="Times New Roman" w:hAnsi="Calibri" w:cs="Times New Roman"/>
                <w:b/>
                <w:bCs/>
                <w:color w:val="000000"/>
                <w:sz w:val="18"/>
                <w:szCs w:val="18"/>
                <w:lang w:eastAsia="en-US"/>
              </w:rPr>
              <w:t xml:space="preserve">ersonnel opérationnel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chef de projet expatrié basé à Nioki</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adjoint chef de projet basé à Nioki, responsable sauvegardes environnementales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de l'innovation agricole et du parc de tracteur</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filières cultures pérennes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du développement infrastructures et équipements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suivi évaluation dont MRV</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Aménagement du Territoire et carto, MRV et PSE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chef de base territoire (Inongo, Kiri, Kutu, Oshwe)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330,000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animateur d'appui à la structuration du </w:t>
            </w:r>
            <w:r w:rsidR="00C26653">
              <w:rPr>
                <w:rFonts w:ascii="Calibri" w:eastAsia="Times New Roman" w:hAnsi="Calibri" w:cs="Times New Roman"/>
                <w:color w:val="000000"/>
                <w:sz w:val="18"/>
                <w:szCs w:val="18"/>
                <w:lang w:eastAsia="en-US"/>
              </w:rPr>
              <w:t>milieu, secrétaire exécutif CART</w:t>
            </w:r>
            <w:r w:rsidRPr="00ED144B">
              <w:rPr>
                <w:rFonts w:ascii="Calibri" w:eastAsia="Times New Roman" w:hAnsi="Calibri" w:cs="Times New Roman"/>
                <w:color w:val="000000"/>
                <w:sz w:val="18"/>
                <w:szCs w:val="18"/>
                <w:lang w:eastAsia="en-US"/>
              </w:rPr>
              <w:t>s de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ingénieur TP</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agro-forestier de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responsables pêche de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responsables de territoire MRV, PSE, Suivi évaluation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2,990,000  </w:t>
            </w:r>
          </w:p>
        </w:tc>
        <w:tc>
          <w:tcPr>
            <w:tcW w:w="98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D82B88"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C27A13" w:rsidRPr="00ED144B">
              <w:rPr>
                <w:rFonts w:ascii="Calibri" w:eastAsia="Times New Roman" w:hAnsi="Calibri" w:cs="Times New Roman"/>
                <w:b/>
                <w:bCs/>
                <w:color w:val="000000"/>
                <w:sz w:val="18"/>
                <w:szCs w:val="18"/>
                <w:lang w:eastAsia="en-US"/>
              </w:rPr>
              <w:t xml:space="preserve">ersonnel d'appui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logisticien </w:t>
            </w:r>
            <w:r w:rsidR="00AD79C3" w:rsidRPr="00C27A13">
              <w:rPr>
                <w:rFonts w:ascii="Calibri" w:eastAsia="Times New Roman" w:hAnsi="Calibri" w:cs="Times New Roman"/>
                <w:color w:val="000000"/>
                <w:sz w:val="18"/>
                <w:szCs w:val="18"/>
                <w:lang w:eastAsia="en-US"/>
              </w:rPr>
              <w:t>Kinshasa</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logisticiens comptables de base territoriale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comptable Nioki</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comptable itinérant terrain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aide comptable Nioki</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aide comptable Kinshasa</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chauffeurs mécaniciens voitures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110,000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pilote du canot rapide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55,000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chauffeurs tracteurs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110,000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personnel de ménage des bases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6653" w:rsidP="00C27A13">
            <w:pPr>
              <w:spacing w:after="0" w:line="240" w:lineRule="auto"/>
              <w:rPr>
                <w:rFonts w:ascii="Calibri" w:eastAsia="Times New Roman" w:hAnsi="Calibri" w:cs="Times New Roman"/>
                <w:color w:val="000000"/>
                <w:sz w:val="18"/>
                <w:szCs w:val="18"/>
                <w:lang w:eastAsia="en-US"/>
              </w:rPr>
            </w:pPr>
            <w:r>
              <w:rPr>
                <w:rFonts w:ascii="Calibri" w:eastAsia="Times New Roman" w:hAnsi="Calibri" w:cs="Times New Roman"/>
                <w:color w:val="000000"/>
                <w:sz w:val="18"/>
                <w:szCs w:val="18"/>
                <w:lang w:eastAsia="en-US"/>
              </w:rPr>
              <w:t>gardiens K</w:t>
            </w:r>
            <w:r w:rsidR="00C27A13" w:rsidRPr="00ED144B">
              <w:rPr>
                <w:rFonts w:ascii="Calibri" w:eastAsia="Times New Roman" w:hAnsi="Calibri" w:cs="Times New Roman"/>
                <w:color w:val="000000"/>
                <w:sz w:val="18"/>
                <w:szCs w:val="18"/>
                <w:lang w:eastAsia="en-US"/>
              </w:rPr>
              <w:t>inshasa</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gardiens de base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110,000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1,057,000  </w:t>
            </w:r>
          </w:p>
        </w:tc>
        <w:tc>
          <w:tcPr>
            <w:tcW w:w="98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D82B88"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C26653">
              <w:rPr>
                <w:rFonts w:ascii="Calibri" w:eastAsia="Times New Roman" w:hAnsi="Calibri" w:cs="Times New Roman"/>
                <w:b/>
                <w:bCs/>
                <w:color w:val="000000"/>
                <w:sz w:val="18"/>
                <w:szCs w:val="18"/>
                <w:lang w:eastAsia="en-US"/>
              </w:rPr>
              <w:t>erdiem</w:t>
            </w:r>
            <w:r w:rsidR="00C27A13" w:rsidRPr="00ED144B">
              <w:rPr>
                <w:rFonts w:ascii="Calibri" w:eastAsia="Times New Roman" w:hAnsi="Calibri" w:cs="Times New Roman"/>
                <w:b/>
                <w:bCs/>
                <w:color w:val="000000"/>
                <w:sz w:val="18"/>
                <w:szCs w:val="18"/>
                <w:lang w:eastAsia="en-US"/>
              </w:rPr>
              <w:t xml:space="preserve"> et primes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perdiem du personnel d'encadrement  12 jours par mois sur 60 mois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720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201,600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prime mensuelle de déplacement du personnel de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132,000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perdiem du comptable itinérant 15 jours par mois sur 55 mois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825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33,000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perdiem des chauffeurs et pilotes 18 jours par mois sur 55 mois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990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198,000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BFBFBF"/>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564,600  </w:t>
            </w:r>
          </w:p>
        </w:tc>
        <w:tc>
          <w:tcPr>
            <w:tcW w:w="980" w:type="dxa"/>
            <w:tcBorders>
              <w:top w:val="nil"/>
              <w:left w:val="single" w:sz="4" w:space="0" w:color="auto"/>
              <w:bottom w:val="single" w:sz="4" w:space="0" w:color="auto"/>
              <w:right w:val="nil"/>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BFBFB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RESSOUCES HUMAINES</w:t>
            </w:r>
          </w:p>
        </w:tc>
        <w:tc>
          <w:tcPr>
            <w:tcW w:w="116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4,611,600  </w:t>
            </w:r>
          </w:p>
        </w:tc>
        <w:tc>
          <w:tcPr>
            <w:tcW w:w="98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4,611,600  </w:t>
            </w:r>
          </w:p>
        </w:tc>
        <w:tc>
          <w:tcPr>
            <w:tcW w:w="68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17%</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II</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T</w:t>
            </w:r>
            <w:r w:rsidR="00C27A13" w:rsidRPr="00ED144B">
              <w:rPr>
                <w:rFonts w:ascii="Calibri" w:eastAsia="Times New Roman" w:hAnsi="Calibri" w:cs="Times New Roman"/>
                <w:b/>
                <w:bCs/>
                <w:color w:val="000000"/>
                <w:sz w:val="18"/>
                <w:szCs w:val="18"/>
                <w:lang w:eastAsia="en-US"/>
              </w:rPr>
              <w:t xml:space="preserve">ransport aérien </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internationaux : 2 par an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A/R</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6653" w:rsidP="00C27A13">
            <w:pPr>
              <w:spacing w:after="0" w:line="240" w:lineRule="auto"/>
              <w:rPr>
                <w:rFonts w:ascii="Calibri" w:eastAsia="Times New Roman" w:hAnsi="Calibri" w:cs="Times New Roman"/>
                <w:color w:val="000000"/>
                <w:sz w:val="18"/>
                <w:szCs w:val="18"/>
                <w:lang w:eastAsia="en-US"/>
              </w:rPr>
            </w:pPr>
            <w:r>
              <w:rPr>
                <w:rFonts w:ascii="Calibri" w:eastAsia="Times New Roman" w:hAnsi="Calibri" w:cs="Times New Roman"/>
                <w:color w:val="000000"/>
                <w:sz w:val="18"/>
                <w:szCs w:val="18"/>
                <w:lang w:eastAsia="en-US"/>
              </w:rPr>
              <w:t xml:space="preserve">nationaux : </w:t>
            </w:r>
            <w:r w:rsidR="00C27A13" w:rsidRPr="00ED144B">
              <w:rPr>
                <w:rFonts w:ascii="Calibri" w:eastAsia="Times New Roman" w:hAnsi="Calibri" w:cs="Times New Roman"/>
                <w:color w:val="000000"/>
                <w:sz w:val="18"/>
                <w:szCs w:val="18"/>
                <w:lang w:eastAsia="en-US"/>
              </w:rPr>
              <w:t>2 par mois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A/R</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6653" w:rsidP="00C27A13">
            <w:pPr>
              <w:spacing w:after="0" w:line="240" w:lineRule="auto"/>
              <w:rPr>
                <w:rFonts w:ascii="Calibri" w:eastAsia="Times New Roman" w:hAnsi="Calibri" w:cs="Times New Roman"/>
                <w:color w:val="000000"/>
                <w:sz w:val="18"/>
                <w:szCs w:val="18"/>
                <w:lang w:eastAsia="en-US"/>
              </w:rPr>
            </w:pPr>
            <w:r w:rsidRPr="00C27A13">
              <w:rPr>
                <w:rFonts w:ascii="Calibri" w:eastAsia="Times New Roman" w:hAnsi="Calibri" w:cs="Times New Roman"/>
                <w:color w:val="000000"/>
                <w:sz w:val="18"/>
                <w:szCs w:val="18"/>
                <w:lang w:eastAsia="en-US"/>
              </w:rPr>
              <w:t>fret</w:t>
            </w:r>
            <w:r w:rsidR="00C27A13" w:rsidRPr="00ED144B">
              <w:rPr>
                <w:rFonts w:ascii="Calibri" w:eastAsia="Times New Roman" w:hAnsi="Calibri" w:cs="Times New Roman"/>
                <w:color w:val="000000"/>
                <w:sz w:val="18"/>
                <w:szCs w:val="18"/>
                <w:lang w:eastAsia="en-US"/>
              </w:rPr>
              <w:t xml:space="preserve"> national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 / an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TRANSPORT AERIEN</w:t>
            </w:r>
          </w:p>
        </w:tc>
        <w:tc>
          <w:tcPr>
            <w:tcW w:w="116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190,000  </w:t>
            </w:r>
          </w:p>
        </w:tc>
        <w:tc>
          <w:tcPr>
            <w:tcW w:w="98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190,000  </w:t>
            </w:r>
          </w:p>
        </w:tc>
        <w:tc>
          <w:tcPr>
            <w:tcW w:w="68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III</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E</w:t>
            </w:r>
            <w:r w:rsidR="00C27A13" w:rsidRPr="00ED144B">
              <w:rPr>
                <w:rFonts w:ascii="Calibri" w:eastAsia="Times New Roman" w:hAnsi="Calibri" w:cs="Times New Roman"/>
                <w:b/>
                <w:bCs/>
                <w:color w:val="000000"/>
                <w:sz w:val="18"/>
                <w:szCs w:val="18"/>
                <w:lang w:eastAsia="en-US"/>
              </w:rPr>
              <w:t xml:space="preserve">quipements </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2 voitures de brousse (chef de projet, adjoint)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130,000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motos tous terrains (tous personnels de b</w:t>
            </w:r>
            <w:r w:rsidR="00C26653">
              <w:rPr>
                <w:rFonts w:ascii="Calibri" w:eastAsia="Times New Roman" w:hAnsi="Calibri" w:cs="Times New Roman"/>
                <w:color w:val="000000"/>
                <w:sz w:val="18"/>
                <w:szCs w:val="18"/>
                <w:lang w:eastAsia="en-US"/>
              </w:rPr>
              <w:t>ase plus secrétaire adjoint CARTs, plus divers contrats ONGs</w:t>
            </w:r>
            <w:r w:rsidRPr="00ED144B">
              <w:rPr>
                <w:rFonts w:ascii="Calibri" w:eastAsia="Times New Roman" w:hAnsi="Calibri" w:cs="Times New Roman"/>
                <w:color w:val="000000"/>
                <w:sz w:val="18"/>
                <w:szCs w:val="18"/>
                <w:lang w:eastAsia="en-US"/>
              </w:rPr>
              <w: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  </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vélos pour les agents des services techniques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130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10,400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canots rapides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tracteurs de 80 CV avec remorque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5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d'ordinateurs et imprimantes (bases et personnel d'encadrement)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meubles et équipements de bureaux</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GPS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et installation d'équipements internet VSAT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construction des bureaux du projet pour Inongo, Kiri et Oswhe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225,000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EQUIPEMENTS</w:t>
            </w:r>
          </w:p>
        </w:tc>
        <w:tc>
          <w:tcPr>
            <w:tcW w:w="116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268,230  </w:t>
            </w:r>
          </w:p>
        </w:tc>
        <w:tc>
          <w:tcPr>
            <w:tcW w:w="114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994,900  </w:t>
            </w:r>
          </w:p>
        </w:tc>
        <w:tc>
          <w:tcPr>
            <w:tcW w:w="98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994,900  </w:t>
            </w:r>
          </w:p>
        </w:tc>
        <w:tc>
          <w:tcPr>
            <w:tcW w:w="68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4%</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IV</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F</w:t>
            </w:r>
            <w:r w:rsidR="00C27A13" w:rsidRPr="00ED144B">
              <w:rPr>
                <w:rFonts w:ascii="Calibri" w:eastAsia="Times New Roman" w:hAnsi="Calibri" w:cs="Times New Roman"/>
                <w:b/>
                <w:bCs/>
                <w:color w:val="000000"/>
                <w:sz w:val="18"/>
                <w:szCs w:val="18"/>
                <w:lang w:eastAsia="en-US"/>
              </w:rPr>
              <w:t>onctionnement projet</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Kinshasa</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Nioki</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territoire Kutu</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voitures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tracteurs</w:t>
            </w:r>
          </w:p>
        </w:tc>
        <w:tc>
          <w:tcPr>
            <w:tcW w:w="116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moto</w:t>
            </w:r>
          </w:p>
        </w:tc>
        <w:tc>
          <w:tcPr>
            <w:tcW w:w="116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330,000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des canots rapides</w:t>
            </w:r>
          </w:p>
        </w:tc>
        <w:tc>
          <w:tcPr>
            <w:tcW w:w="116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88,000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bureau </w:t>
            </w:r>
          </w:p>
        </w:tc>
        <w:tc>
          <w:tcPr>
            <w:tcW w:w="116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communication téléphoniques</w:t>
            </w:r>
          </w:p>
        </w:tc>
        <w:tc>
          <w:tcPr>
            <w:tcW w:w="116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internet (Kinshasa, 4 bases territoires, base Nioki)</w:t>
            </w:r>
          </w:p>
        </w:tc>
        <w:tc>
          <w:tcPr>
            <w:tcW w:w="116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FONCTIONNEMENT DE PROJET</w:t>
            </w:r>
          </w:p>
        </w:tc>
        <w:tc>
          <w:tcPr>
            <w:tcW w:w="116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1,276,000  </w:t>
            </w:r>
          </w:p>
        </w:tc>
        <w:tc>
          <w:tcPr>
            <w:tcW w:w="98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1,276,000  </w:t>
            </w:r>
          </w:p>
        </w:tc>
        <w:tc>
          <w:tcPr>
            <w:tcW w:w="68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5%</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Activités</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Gouvernance des ressources naturelles du District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des plans de secteur ou groupement (dans les cas de grands groupements)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secteur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1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des plans de territoire actualisés tous les deux ans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du plan de district actualisé tous les deux ans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district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réunion des CARTs de groupements 1/4 mois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réunions des CARTs de territoire 1/4 mois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formations des juges de paix et des agents du cadastre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Réunions de large information au </w:t>
            </w:r>
            <w:r w:rsidR="00C26653" w:rsidRPr="00C27A13">
              <w:rPr>
                <w:rFonts w:ascii="Calibri" w:eastAsia="Times New Roman" w:hAnsi="Calibri" w:cs="Times New Roman"/>
                <w:color w:val="000000"/>
                <w:sz w:val="18"/>
                <w:szCs w:val="18"/>
                <w:lang w:eastAsia="en-US"/>
              </w:rPr>
              <w:t>chef-lieu</w:t>
            </w:r>
            <w:r w:rsidRPr="00ED144B">
              <w:rPr>
                <w:rFonts w:ascii="Calibri" w:eastAsia="Times New Roman" w:hAnsi="Calibri" w:cs="Times New Roman"/>
                <w:color w:val="000000"/>
                <w:sz w:val="18"/>
                <w:szCs w:val="18"/>
                <w:lang w:eastAsia="en-US"/>
              </w:rPr>
              <w:t xml:space="preserve"> provincial (une par an)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 atelier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avec les radios communautaires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annuels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5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sz w:val="18"/>
                <w:szCs w:val="18"/>
                <w:lang w:eastAsia="en-US"/>
              </w:rPr>
            </w:pPr>
            <w:r>
              <w:rPr>
                <w:rFonts w:ascii="Calibri" w:eastAsia="Times New Roman" w:hAnsi="Calibri" w:cs="Times New Roman"/>
                <w:b/>
                <w:bCs/>
                <w:sz w:val="18"/>
                <w:szCs w:val="18"/>
                <w:lang w:eastAsia="en-US"/>
              </w:rPr>
              <w:t>S</w:t>
            </w:r>
            <w:r w:rsidR="00C27A13" w:rsidRPr="00ED144B">
              <w:rPr>
                <w:rFonts w:ascii="Calibri" w:eastAsia="Times New Roman" w:hAnsi="Calibri" w:cs="Times New Roman"/>
                <w:b/>
                <w:bCs/>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124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xml:space="preserve">325,000  </w:t>
            </w:r>
          </w:p>
        </w:tc>
        <w:tc>
          <w:tcPr>
            <w:tcW w:w="98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13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Renforcement des capacités des services techniques décentralisés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motivation des agents de contrôle forestier, 5 par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agent/mois</w:t>
            </w:r>
          </w:p>
        </w:tc>
        <w:tc>
          <w:tcPr>
            <w:tcW w:w="10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  </w:t>
            </w:r>
          </w:p>
        </w:tc>
        <w:tc>
          <w:tcPr>
            <w:tcW w:w="11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88,000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 des agents de contrôle forestier</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12,500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appui logistique au Conseil Provincial des Forêts   (1 par an)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Agriculture </w:t>
            </w:r>
            <w:r w:rsidR="00C26653" w:rsidRPr="00C27A13">
              <w:rPr>
                <w:rFonts w:ascii="Calibri" w:eastAsia="Times New Roman" w:hAnsi="Calibri" w:cs="Times New Roman"/>
                <w:color w:val="000000"/>
                <w:sz w:val="18"/>
                <w:szCs w:val="18"/>
                <w:lang w:eastAsia="en-US"/>
              </w:rPr>
              <w:t>: motivation</w:t>
            </w:r>
            <w:r w:rsidRPr="00ED144B">
              <w:rPr>
                <w:rFonts w:ascii="Calibri" w:eastAsia="Times New Roman" w:hAnsi="Calibri" w:cs="Times New Roman"/>
                <w:color w:val="000000"/>
                <w:sz w:val="18"/>
                <w:szCs w:val="18"/>
                <w:lang w:eastAsia="en-US"/>
              </w:rPr>
              <w:t xml:space="preserve"> des agents sélectionnés pour réalisation des activités de vulgarisation. 5 agents par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agent/mois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88,000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Affaires foncières motivation  des agents sélectionnés pour réalisation des objectifs fonciers des plans. 1 agent par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Intérieur : motivation des AT et chefs de secteur pour la réalisation et le suivi évaluation des contrats de PDD</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suivi évaluation par les directions provinciales des ST décentralisés (Coordination environnement, inspection provinciale agriculture…)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37,500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d'équipements divers pour les services techniques (papèterie, matériel de bureau, vélos...)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45,000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w:t>
            </w:r>
            <w:r w:rsidR="00C26653" w:rsidRPr="00C27A13">
              <w:rPr>
                <w:rFonts w:ascii="Calibri" w:eastAsia="Times New Roman" w:hAnsi="Calibri" w:cs="Times New Roman"/>
                <w:color w:val="000000"/>
                <w:sz w:val="18"/>
                <w:szCs w:val="18"/>
                <w:lang w:eastAsia="en-US"/>
              </w:rPr>
              <w:t>moteurs hors-bords</w:t>
            </w:r>
            <w:r w:rsidR="00AD79C3">
              <w:rPr>
                <w:rFonts w:ascii="Calibri" w:eastAsia="Times New Roman" w:hAnsi="Calibri" w:cs="Times New Roman"/>
                <w:color w:val="000000"/>
                <w:sz w:val="18"/>
                <w:szCs w:val="18"/>
                <w:lang w:eastAsia="en-US"/>
              </w:rPr>
              <w:t xml:space="preserve"> pour</w:t>
            </w:r>
            <w:r w:rsidRPr="00ED144B">
              <w:rPr>
                <w:rFonts w:ascii="Calibri" w:eastAsia="Times New Roman" w:hAnsi="Calibri" w:cs="Times New Roman"/>
                <w:color w:val="000000"/>
                <w:sz w:val="18"/>
                <w:szCs w:val="18"/>
                <w:lang w:eastAsia="en-US"/>
              </w:rPr>
              <w:t xml:space="preserve"> pirogues du Minagri pour suivi des contrats de pêche (15 CV) 2 par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annuel </w:t>
            </w:r>
            <w:r w:rsidR="00C26653" w:rsidRPr="00C27A13">
              <w:rPr>
                <w:rFonts w:ascii="Calibri" w:eastAsia="Times New Roman" w:hAnsi="Calibri" w:cs="Times New Roman"/>
                <w:color w:val="000000"/>
                <w:sz w:val="18"/>
                <w:szCs w:val="18"/>
                <w:lang w:eastAsia="en-US"/>
              </w:rPr>
              <w:t>des hors-bords</w:t>
            </w:r>
            <w:r w:rsidRPr="00ED144B">
              <w:rPr>
                <w:rFonts w:ascii="Calibri" w:eastAsia="Times New Roman" w:hAnsi="Calibri" w:cs="Times New Roman"/>
                <w:color w:val="000000"/>
                <w:sz w:val="18"/>
                <w:szCs w:val="18"/>
                <w:lang w:eastAsia="en-US"/>
              </w:rPr>
              <w:t xml:space="preserve"> (2 tournées par an)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5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sz w:val="18"/>
                <w:szCs w:val="18"/>
                <w:lang w:eastAsia="en-US"/>
              </w:rPr>
            </w:pPr>
            <w:r>
              <w:rPr>
                <w:rFonts w:ascii="Calibri" w:eastAsia="Times New Roman" w:hAnsi="Calibri" w:cs="Times New Roman"/>
                <w:b/>
                <w:bCs/>
                <w:sz w:val="18"/>
                <w:szCs w:val="18"/>
                <w:lang w:eastAsia="en-US"/>
              </w:rPr>
              <w:t>S</w:t>
            </w:r>
            <w:r w:rsidR="00C27A13" w:rsidRPr="00ED144B">
              <w:rPr>
                <w:rFonts w:ascii="Calibri" w:eastAsia="Times New Roman" w:hAnsi="Calibri" w:cs="Times New Roman"/>
                <w:b/>
                <w:bCs/>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385,400  </w:t>
            </w:r>
          </w:p>
        </w:tc>
        <w:tc>
          <w:tcPr>
            <w:tcW w:w="9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Réalisation des investissements structurants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auto" w:fill="auto"/>
            <w:vAlign w:val="center"/>
            <w:hideMark/>
          </w:tcPr>
          <w:p w:rsidR="00C27A13" w:rsidRPr="0000702F" w:rsidRDefault="00C27A13" w:rsidP="00C27A13">
            <w:pPr>
              <w:spacing w:after="0" w:line="240" w:lineRule="auto"/>
              <w:rPr>
                <w:rFonts w:ascii="Calibri" w:eastAsia="Times New Roman" w:hAnsi="Calibri" w:cs="Times New Roman"/>
                <w:color w:val="FF0000"/>
                <w:sz w:val="18"/>
                <w:szCs w:val="18"/>
                <w:lang w:eastAsia="en-US"/>
              </w:rPr>
            </w:pPr>
            <w:r w:rsidRPr="0000702F">
              <w:rPr>
                <w:rFonts w:ascii="Calibri" w:eastAsia="Times New Roman" w:hAnsi="Calibri" w:cs="Times New Roman"/>
                <w:color w:val="FF0000"/>
                <w:sz w:val="18"/>
                <w:szCs w:val="18"/>
                <w:lang w:eastAsia="en-US"/>
              </w:rPr>
              <w:t>District du Mai-Ndombe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00702F" w:rsidRDefault="00C27A13" w:rsidP="00C27A13">
            <w:pPr>
              <w:spacing w:after="0" w:line="240" w:lineRule="auto"/>
              <w:rPr>
                <w:rFonts w:ascii="Calibri" w:eastAsia="Times New Roman" w:hAnsi="Calibri" w:cs="Times New Roman"/>
                <w:color w:val="FF0000"/>
                <w:sz w:val="18"/>
                <w:szCs w:val="18"/>
                <w:lang w:eastAsia="en-US"/>
              </w:rPr>
            </w:pPr>
            <w:r w:rsidRPr="0000702F">
              <w:rPr>
                <w:rFonts w:ascii="Calibri" w:eastAsia="Times New Roman" w:hAnsi="Calibri" w:cs="Times New Roman"/>
                <w:color w:val="FF0000"/>
                <w:sz w:val="18"/>
                <w:szCs w:val="18"/>
                <w:lang w:eastAsia="en-US"/>
              </w:rPr>
              <w:t>entretien des routes à 400 dollars par an soit 33 dollars/km/</w:t>
            </w:r>
            <w:r w:rsidR="00AD79C3" w:rsidRPr="0000702F">
              <w:rPr>
                <w:rFonts w:ascii="Calibri" w:eastAsia="Times New Roman" w:hAnsi="Calibri" w:cs="Times New Roman"/>
                <w:color w:val="FF0000"/>
                <w:sz w:val="18"/>
                <w:szCs w:val="18"/>
                <w:lang w:eastAsia="en-US"/>
              </w:rPr>
              <w:t>mois,</w:t>
            </w:r>
            <w:r w:rsidRPr="0000702F">
              <w:rPr>
                <w:rFonts w:ascii="Calibri" w:eastAsia="Times New Roman" w:hAnsi="Calibri" w:cs="Times New Roman"/>
                <w:color w:val="FF0000"/>
                <w:sz w:val="18"/>
                <w:szCs w:val="18"/>
                <w:lang w:eastAsia="en-US"/>
              </w:rPr>
              <w:t xml:space="preserve"> 500 km de points chauds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km/an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00702F" w:rsidRDefault="00C27A13" w:rsidP="00C27A13">
            <w:pPr>
              <w:spacing w:after="0" w:line="240" w:lineRule="auto"/>
              <w:rPr>
                <w:rFonts w:ascii="Calibri" w:eastAsia="Times New Roman" w:hAnsi="Calibri" w:cs="Times New Roman"/>
                <w:color w:val="FF0000"/>
                <w:sz w:val="18"/>
                <w:szCs w:val="18"/>
                <w:lang w:eastAsia="en-US"/>
              </w:rPr>
            </w:pPr>
            <w:r w:rsidRPr="0000702F">
              <w:rPr>
                <w:rFonts w:ascii="Calibri" w:eastAsia="Times New Roman" w:hAnsi="Calibri" w:cs="Times New Roman"/>
                <w:color w:val="FF0000"/>
                <w:sz w:val="18"/>
                <w:szCs w:val="18"/>
                <w:lang w:eastAsia="en-US"/>
              </w:rPr>
              <w:t xml:space="preserve">construction de ponts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1,000,000  </w:t>
            </w:r>
          </w:p>
        </w:tc>
        <w:tc>
          <w:tcPr>
            <w:tcW w:w="9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4131AC" w:rsidRDefault="00C27A13" w:rsidP="00C27A13">
            <w:pPr>
              <w:spacing w:after="0" w:line="240" w:lineRule="auto"/>
              <w:rPr>
                <w:rFonts w:ascii="Calibri" w:eastAsia="Times New Roman" w:hAnsi="Calibri" w:cs="Times New Roman"/>
                <w:color w:val="FF0000"/>
                <w:sz w:val="18"/>
                <w:szCs w:val="18"/>
                <w:lang w:eastAsia="en-US"/>
              </w:rPr>
            </w:pPr>
            <w:r w:rsidRPr="004131AC">
              <w:rPr>
                <w:rFonts w:ascii="Calibri" w:eastAsia="Times New Roman" w:hAnsi="Calibri" w:cs="Times New Roman"/>
                <w:color w:val="FF0000"/>
                <w:sz w:val="18"/>
                <w:szCs w:val="18"/>
                <w:lang w:eastAsia="en-US"/>
              </w:rPr>
              <w:t xml:space="preserve">équipements de transformation des produits agricoles </w:t>
            </w:r>
            <w:r w:rsidR="00AD79C3" w:rsidRPr="004131AC">
              <w:rPr>
                <w:rFonts w:ascii="Calibri" w:eastAsia="Times New Roman" w:hAnsi="Calibri" w:cs="Times New Roman"/>
                <w:color w:val="FF0000"/>
                <w:sz w:val="18"/>
                <w:szCs w:val="18"/>
                <w:lang w:eastAsia="en-US"/>
              </w:rPr>
              <w:t>(4</w:t>
            </w:r>
            <w:r w:rsidRPr="004131AC">
              <w:rPr>
                <w:rFonts w:ascii="Calibri" w:eastAsia="Times New Roman" w:hAnsi="Calibri" w:cs="Times New Roman"/>
                <w:color w:val="FF0000"/>
                <w:sz w:val="18"/>
                <w:szCs w:val="18"/>
                <w:lang w:eastAsia="en-US"/>
              </w:rPr>
              <w:t xml:space="preserve"> par territoire)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160,000  </w:t>
            </w:r>
          </w:p>
        </w:tc>
        <w:tc>
          <w:tcPr>
            <w:tcW w:w="98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District des Plateaux</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40"/>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4</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entretien des routes à 500 dollars par an soit 33 dollars/km/</w:t>
            </w:r>
            <w:r w:rsidR="00AD79C3" w:rsidRPr="00C27A13">
              <w:rPr>
                <w:rFonts w:ascii="Calibri" w:eastAsia="Times New Roman" w:hAnsi="Calibri" w:cs="Times New Roman"/>
                <w:color w:val="000000"/>
                <w:sz w:val="18"/>
                <w:szCs w:val="18"/>
                <w:lang w:eastAsia="en-US"/>
              </w:rPr>
              <w:t>mois,</w:t>
            </w:r>
            <w:r w:rsidRPr="00ED144B">
              <w:rPr>
                <w:rFonts w:ascii="Calibri" w:eastAsia="Times New Roman" w:hAnsi="Calibri" w:cs="Times New Roman"/>
                <w:color w:val="000000"/>
                <w:sz w:val="18"/>
                <w:szCs w:val="18"/>
                <w:lang w:eastAsia="en-US"/>
              </w:rPr>
              <w:t xml:space="preserve"> 200 km de points chauds</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km/an</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200</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320,000  </w:t>
            </w:r>
          </w:p>
        </w:tc>
        <w:tc>
          <w:tcPr>
            <w:tcW w:w="9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40"/>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5</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construction de ponts dont redressement de Ngamboko entre Yumbi et Bolobo</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508,788  </w:t>
            </w:r>
          </w:p>
        </w:tc>
        <w:tc>
          <w:tcPr>
            <w:tcW w:w="11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508,788  </w:t>
            </w:r>
          </w:p>
        </w:tc>
        <w:tc>
          <w:tcPr>
            <w:tcW w:w="9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6</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bac de Lediba</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114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9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nil"/>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3,288,788  </w:t>
            </w:r>
          </w:p>
        </w:tc>
        <w:tc>
          <w:tcPr>
            <w:tcW w:w="980" w:type="dxa"/>
            <w:tcBorders>
              <w:top w:val="single" w:sz="4" w:space="0" w:color="auto"/>
              <w:left w:val="nil"/>
              <w:bottom w:val="nil"/>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single" w:sz="4" w:space="0" w:color="auto"/>
              <w:left w:val="nil"/>
              <w:bottom w:val="nil"/>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single" w:sz="4" w:space="0" w:color="auto"/>
              <w:left w:val="nil"/>
              <w:bottom w:val="nil"/>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D</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Aide aux CLD à planifier la meilleure gestion des Ressources naturelles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280DCF" w:rsidRDefault="00C27A13" w:rsidP="00C27A13">
            <w:pPr>
              <w:spacing w:after="0" w:line="240" w:lineRule="auto"/>
              <w:rPr>
                <w:rFonts w:ascii="Calibri" w:eastAsia="Times New Roman" w:hAnsi="Calibri" w:cs="Times New Roman"/>
                <w:color w:val="FF0000"/>
                <w:sz w:val="18"/>
                <w:szCs w:val="18"/>
                <w:lang w:eastAsia="en-US"/>
              </w:rPr>
            </w:pPr>
            <w:r w:rsidRPr="00280DCF">
              <w:rPr>
                <w:rFonts w:ascii="Calibri" w:eastAsia="Times New Roman" w:hAnsi="Calibri" w:cs="Times New Roman"/>
                <w:color w:val="FF0000"/>
                <w:sz w:val="18"/>
                <w:szCs w:val="18"/>
                <w:lang w:eastAsia="en-US"/>
              </w:rPr>
              <w:t>contrats avec ONG pour création ou renforcement des CLD et réalisation des PDD</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10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9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280DCF" w:rsidRDefault="00C27A13" w:rsidP="00C27A13">
            <w:pPr>
              <w:spacing w:after="0" w:line="240" w:lineRule="auto"/>
              <w:rPr>
                <w:rFonts w:ascii="Calibri" w:eastAsia="Times New Roman" w:hAnsi="Calibri" w:cs="Times New Roman"/>
                <w:color w:val="FF0000"/>
                <w:sz w:val="18"/>
                <w:szCs w:val="18"/>
                <w:lang w:eastAsia="en-US"/>
              </w:rPr>
            </w:pPr>
            <w:r w:rsidRPr="00280DCF">
              <w:rPr>
                <w:rFonts w:ascii="Calibri" w:eastAsia="Times New Roman" w:hAnsi="Calibri" w:cs="Times New Roman"/>
                <w:color w:val="FF0000"/>
                <w:sz w:val="18"/>
                <w:szCs w:val="18"/>
                <w:lang w:eastAsia="en-US"/>
              </w:rPr>
              <w:t>frais d'atelier de programmatio</w:t>
            </w:r>
            <w:r w:rsidR="00EA7F75" w:rsidRPr="00280DCF">
              <w:rPr>
                <w:rFonts w:ascii="Calibri" w:eastAsia="Times New Roman" w:hAnsi="Calibri" w:cs="Times New Roman"/>
                <w:color w:val="FF0000"/>
                <w:sz w:val="18"/>
                <w:szCs w:val="18"/>
                <w:lang w:eastAsia="en-US"/>
              </w:rPr>
              <w:t>n et de suivi évaluation des PSG</w:t>
            </w:r>
            <w:r w:rsidRPr="00280DCF">
              <w:rPr>
                <w:rFonts w:ascii="Calibri" w:eastAsia="Times New Roman" w:hAnsi="Calibri" w:cs="Times New Roman"/>
                <w:color w:val="FF0000"/>
                <w:sz w:val="18"/>
                <w:szCs w:val="18"/>
                <w:lang w:eastAsia="en-US"/>
              </w:rPr>
              <w:t xml:space="preserve"> de CLD</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CLD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280DCF" w:rsidRDefault="00C27A13" w:rsidP="00C27A13">
            <w:pPr>
              <w:spacing w:after="0" w:line="240" w:lineRule="auto"/>
              <w:rPr>
                <w:rFonts w:ascii="Calibri" w:eastAsia="Times New Roman" w:hAnsi="Calibri" w:cs="Times New Roman"/>
                <w:color w:val="FF0000"/>
                <w:sz w:val="18"/>
                <w:szCs w:val="18"/>
                <w:lang w:eastAsia="en-US"/>
              </w:rPr>
            </w:pPr>
            <w:r w:rsidRPr="00280DCF">
              <w:rPr>
                <w:rFonts w:ascii="Calibri" w:eastAsia="Times New Roman" w:hAnsi="Calibri" w:cs="Times New Roman"/>
                <w:color w:val="FF0000"/>
                <w:sz w:val="18"/>
                <w:szCs w:val="18"/>
                <w:lang w:eastAsia="en-US"/>
              </w:rPr>
              <w:t xml:space="preserve">enregistrement des statuts, des plans, des contrats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institution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So</w:t>
            </w:r>
            <w:r w:rsidR="00C27A13" w:rsidRPr="00ED144B">
              <w:rPr>
                <w:rFonts w:ascii="Calibri" w:eastAsia="Times New Roman" w:hAnsi="Calibri" w:cs="Times New Roman"/>
                <w:b/>
                <w:bCs/>
                <w:color w:val="000000"/>
                <w:sz w:val="18"/>
                <w:szCs w:val="18"/>
                <w:lang w:eastAsia="en-US"/>
              </w:rPr>
              <w:t xml:space="preserve">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1,230,000  </w:t>
            </w:r>
          </w:p>
        </w:tc>
        <w:tc>
          <w:tcPr>
            <w:tcW w:w="980" w:type="dxa"/>
            <w:tcBorders>
              <w:top w:val="nil"/>
              <w:left w:val="single" w:sz="4" w:space="0" w:color="auto"/>
              <w:bottom w:val="nil"/>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nil"/>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nil"/>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E</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r w:rsidR="00EA7F75">
              <w:rPr>
                <w:rFonts w:ascii="Calibri" w:eastAsia="Times New Roman" w:hAnsi="Calibri" w:cs="Times New Roman"/>
                <w:b/>
                <w:bCs/>
                <w:color w:val="000000"/>
                <w:sz w:val="18"/>
                <w:szCs w:val="18"/>
                <w:lang w:eastAsia="en-US"/>
              </w:rPr>
              <w:t>ppui aux investissements des PSG</w:t>
            </w:r>
            <w:r w:rsidRPr="00ED144B">
              <w:rPr>
                <w:rFonts w:ascii="Calibri" w:eastAsia="Times New Roman" w:hAnsi="Calibri" w:cs="Times New Roman"/>
                <w:b/>
                <w:bCs/>
                <w:color w:val="000000"/>
                <w:sz w:val="18"/>
                <w:szCs w:val="18"/>
                <w:lang w:eastAsia="en-US"/>
              </w:rPr>
              <w:t xml:space="preserve"> de CLD et à la recherche développement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ONG appui technique sectoriel 3 par territoire, 5 ans : pêche, agriculture, foret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single" w:sz="4" w:space="0" w:color="auto"/>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4131AC" w:rsidRDefault="00C27A13" w:rsidP="00C27A13">
            <w:pPr>
              <w:spacing w:after="0" w:line="240" w:lineRule="auto"/>
              <w:rPr>
                <w:rFonts w:ascii="Calibri" w:eastAsia="Times New Roman" w:hAnsi="Calibri" w:cs="Times New Roman"/>
                <w:color w:val="FF0000"/>
                <w:sz w:val="18"/>
                <w:szCs w:val="18"/>
                <w:lang w:eastAsia="en-US"/>
              </w:rPr>
            </w:pPr>
            <w:r w:rsidRPr="004131AC">
              <w:rPr>
                <w:rFonts w:ascii="Calibri" w:eastAsia="Times New Roman" w:hAnsi="Calibri" w:cs="Times New Roman"/>
                <w:color w:val="FF0000"/>
                <w:sz w:val="18"/>
                <w:szCs w:val="18"/>
                <w:lang w:eastAsia="en-US"/>
              </w:rPr>
              <w:t>équipement des pépinières agroforestières de CLD (</w:t>
            </w:r>
            <w:r w:rsidR="00C26653" w:rsidRPr="004131AC">
              <w:rPr>
                <w:rFonts w:ascii="Calibri" w:eastAsia="Times New Roman" w:hAnsi="Calibri" w:cs="Times New Roman"/>
                <w:color w:val="FF0000"/>
                <w:sz w:val="18"/>
                <w:szCs w:val="18"/>
                <w:lang w:eastAsia="en-US"/>
              </w:rPr>
              <w:t>râteaux</w:t>
            </w:r>
            <w:r w:rsidRPr="004131AC">
              <w:rPr>
                <w:rFonts w:ascii="Calibri" w:eastAsia="Times New Roman" w:hAnsi="Calibri" w:cs="Times New Roman"/>
                <w:color w:val="FF0000"/>
                <w:sz w:val="18"/>
                <w:szCs w:val="18"/>
                <w:lang w:eastAsia="en-US"/>
              </w:rPr>
              <w:t>, brouettes…) pour 600 pépinières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pépinière</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4131AC" w:rsidRDefault="00C27A13" w:rsidP="00C27A13">
            <w:pPr>
              <w:spacing w:after="0" w:line="240" w:lineRule="auto"/>
              <w:rPr>
                <w:rFonts w:ascii="Calibri" w:eastAsia="Times New Roman" w:hAnsi="Calibri" w:cs="Times New Roman"/>
                <w:color w:val="FF0000"/>
                <w:sz w:val="18"/>
                <w:szCs w:val="18"/>
                <w:lang w:eastAsia="en-US"/>
              </w:rPr>
            </w:pPr>
            <w:r w:rsidRPr="004131AC">
              <w:rPr>
                <w:rFonts w:ascii="Calibri" w:eastAsia="Times New Roman" w:hAnsi="Calibri" w:cs="Times New Roman"/>
                <w:color w:val="FF0000"/>
                <w:sz w:val="18"/>
                <w:szCs w:val="18"/>
                <w:lang w:eastAsia="en-US"/>
              </w:rPr>
              <w:t>achat de semences pour les pépinières agroforestières une pour deux villages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1,080,000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nil"/>
              <w:left w:val="nil"/>
              <w:bottom w:val="single" w:sz="4" w:space="0" w:color="auto"/>
              <w:right w:val="single" w:sz="4" w:space="0" w:color="auto"/>
            </w:tcBorders>
            <w:shd w:val="clear" w:color="auto" w:fill="auto"/>
            <w:vAlign w:val="center"/>
            <w:hideMark/>
          </w:tcPr>
          <w:p w:rsidR="00C27A13" w:rsidRPr="0021578D" w:rsidRDefault="00C27A13" w:rsidP="00C27A13">
            <w:pPr>
              <w:spacing w:after="0" w:line="240" w:lineRule="auto"/>
              <w:rPr>
                <w:rFonts w:ascii="Calibri" w:eastAsia="Times New Roman" w:hAnsi="Calibri" w:cs="Times New Roman"/>
                <w:color w:val="FF0000"/>
                <w:sz w:val="18"/>
                <w:szCs w:val="18"/>
                <w:lang w:eastAsia="en-US"/>
              </w:rPr>
            </w:pPr>
            <w:r w:rsidRPr="0021578D">
              <w:rPr>
                <w:rFonts w:ascii="Calibri" w:eastAsia="Times New Roman" w:hAnsi="Calibri" w:cs="Times New Roman"/>
                <w:color w:val="FF0000"/>
                <w:sz w:val="18"/>
                <w:szCs w:val="18"/>
                <w:lang w:eastAsia="en-US"/>
              </w:rPr>
              <w:t>création de parcs à bois manioc tous les CLD (y compris achat bouture) 1/2 ha par CLD</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132,000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21578D" w:rsidRDefault="00C27A13" w:rsidP="00C27A13">
            <w:pPr>
              <w:spacing w:after="0" w:line="240" w:lineRule="auto"/>
              <w:rPr>
                <w:rFonts w:ascii="Calibri" w:eastAsia="Times New Roman" w:hAnsi="Calibri" w:cs="Times New Roman"/>
                <w:color w:val="FF0000"/>
                <w:sz w:val="18"/>
                <w:szCs w:val="18"/>
                <w:lang w:eastAsia="en-US"/>
              </w:rPr>
            </w:pPr>
            <w:r w:rsidRPr="0021578D">
              <w:rPr>
                <w:rFonts w:ascii="Calibri" w:eastAsia="Times New Roman" w:hAnsi="Calibri" w:cs="Times New Roman"/>
                <w:color w:val="FF0000"/>
                <w:sz w:val="18"/>
                <w:szCs w:val="18"/>
                <w:lang w:eastAsia="en-US"/>
              </w:rPr>
              <w:t>achat de semences de maïs amélioré pour 1/2 ha de champ de multiplication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kg</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25</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45,000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440" w:type="dxa"/>
            <w:tcBorders>
              <w:top w:val="nil"/>
              <w:left w:val="nil"/>
              <w:bottom w:val="single" w:sz="4" w:space="0" w:color="auto"/>
              <w:right w:val="single" w:sz="4" w:space="0" w:color="auto"/>
            </w:tcBorders>
            <w:shd w:val="clear" w:color="auto" w:fill="auto"/>
            <w:vAlign w:val="center"/>
            <w:hideMark/>
          </w:tcPr>
          <w:p w:rsidR="00C27A13" w:rsidRPr="0000702F" w:rsidRDefault="00C27A13" w:rsidP="00C27A13">
            <w:pPr>
              <w:spacing w:after="0" w:line="240" w:lineRule="auto"/>
              <w:rPr>
                <w:rFonts w:ascii="Calibri" w:eastAsia="Times New Roman" w:hAnsi="Calibri" w:cs="Times New Roman"/>
                <w:color w:val="FF0000"/>
                <w:sz w:val="18"/>
                <w:szCs w:val="18"/>
                <w:lang w:eastAsia="en-US"/>
              </w:rPr>
            </w:pPr>
            <w:r w:rsidRPr="0000702F">
              <w:rPr>
                <w:rFonts w:ascii="Calibri" w:eastAsia="Times New Roman" w:hAnsi="Calibri" w:cs="Times New Roman"/>
                <w:color w:val="FF0000"/>
                <w:sz w:val="18"/>
                <w:szCs w:val="18"/>
                <w:lang w:eastAsia="en-US"/>
              </w:rPr>
              <w:t>mise en place de la cogestion de la pêche responsable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440" w:type="dxa"/>
            <w:tcBorders>
              <w:top w:val="nil"/>
              <w:left w:val="nil"/>
              <w:bottom w:val="single" w:sz="4" w:space="0" w:color="auto"/>
              <w:right w:val="single" w:sz="4" w:space="0" w:color="auto"/>
            </w:tcBorders>
            <w:shd w:val="clear" w:color="auto" w:fill="auto"/>
            <w:vAlign w:val="center"/>
            <w:hideMark/>
          </w:tcPr>
          <w:p w:rsidR="00C27A13" w:rsidRPr="0000702F" w:rsidRDefault="00C27A13" w:rsidP="00C27A13">
            <w:pPr>
              <w:spacing w:after="0" w:line="240" w:lineRule="auto"/>
              <w:rPr>
                <w:rFonts w:ascii="Calibri" w:eastAsia="Times New Roman" w:hAnsi="Calibri" w:cs="Times New Roman"/>
                <w:color w:val="FF0000"/>
                <w:sz w:val="18"/>
                <w:szCs w:val="18"/>
                <w:lang w:eastAsia="en-US"/>
              </w:rPr>
            </w:pPr>
            <w:r w:rsidRPr="0000702F">
              <w:rPr>
                <w:rFonts w:ascii="Calibri" w:eastAsia="Times New Roman" w:hAnsi="Calibri" w:cs="Times New Roman"/>
                <w:color w:val="FF0000"/>
                <w:sz w:val="18"/>
                <w:szCs w:val="18"/>
                <w:lang w:eastAsia="en-US"/>
              </w:rPr>
              <w:t>appuis aux organisations de pêcheurs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an</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55"/>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autres investissements programmés par les PDD</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11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2,857,000  </w:t>
            </w:r>
          </w:p>
        </w:tc>
        <w:tc>
          <w:tcPr>
            <w:tcW w:w="98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F</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Contrats pour paiement au Résultat</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nil"/>
              <w:right w:val="single" w:sz="4" w:space="0" w:color="auto"/>
            </w:tcBorders>
            <w:shd w:val="clear" w:color="auto" w:fill="auto"/>
            <w:vAlign w:val="center"/>
            <w:hideMark/>
          </w:tcPr>
          <w:p w:rsidR="00C27A13" w:rsidRPr="002D22C8" w:rsidRDefault="00C27A13" w:rsidP="00C27A13">
            <w:pPr>
              <w:spacing w:after="0" w:line="240" w:lineRule="auto"/>
              <w:rPr>
                <w:rFonts w:ascii="Calibri" w:eastAsia="Times New Roman" w:hAnsi="Calibri" w:cs="Times New Roman"/>
                <w:color w:val="FF0000"/>
                <w:sz w:val="18"/>
                <w:szCs w:val="18"/>
                <w:lang w:eastAsia="en-US"/>
              </w:rPr>
            </w:pPr>
            <w:r w:rsidRPr="002D22C8">
              <w:rPr>
                <w:rFonts w:ascii="Calibri" w:eastAsia="Times New Roman" w:hAnsi="Calibri" w:cs="Times New Roman"/>
                <w:color w:val="FF0000"/>
                <w:sz w:val="18"/>
                <w:szCs w:val="18"/>
                <w:lang w:eastAsia="en-US"/>
              </w:rPr>
              <w:t xml:space="preserve">Développement de l'agriculture en </w:t>
            </w:r>
            <w:r w:rsidR="00C26653" w:rsidRPr="002D22C8">
              <w:rPr>
                <w:rFonts w:ascii="Calibri" w:eastAsia="Times New Roman" w:hAnsi="Calibri" w:cs="Times New Roman"/>
                <w:color w:val="FF0000"/>
                <w:sz w:val="18"/>
                <w:szCs w:val="18"/>
                <w:lang w:eastAsia="en-US"/>
              </w:rPr>
              <w:t>savane</w:t>
            </w:r>
            <w:r w:rsidRPr="002D22C8">
              <w:rPr>
                <w:rFonts w:ascii="Calibri" w:eastAsia="Times New Roman" w:hAnsi="Calibri" w:cs="Times New Roman"/>
                <w:color w:val="FF0000"/>
                <w:sz w:val="18"/>
                <w:szCs w:val="18"/>
                <w:lang w:eastAsia="en-US"/>
              </w:rPr>
              <w:t xml:space="preserve"> (Modèle 1)</w:t>
            </w:r>
          </w:p>
        </w:tc>
        <w:tc>
          <w:tcPr>
            <w:tcW w:w="116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1000" w:type="dxa"/>
            <w:tcBorders>
              <w:top w:val="nil"/>
              <w:left w:val="nil"/>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  </w:t>
            </w:r>
          </w:p>
        </w:tc>
        <w:tc>
          <w:tcPr>
            <w:tcW w:w="1140" w:type="dxa"/>
            <w:tcBorders>
              <w:top w:val="nil"/>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20,000</w:t>
            </w:r>
          </w:p>
        </w:tc>
        <w:tc>
          <w:tcPr>
            <w:tcW w:w="880" w:type="dxa"/>
            <w:tcBorders>
              <w:top w:val="nil"/>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1,200,000  </w:t>
            </w:r>
          </w:p>
        </w:tc>
        <w:tc>
          <w:tcPr>
            <w:tcW w:w="980" w:type="dxa"/>
            <w:tcBorders>
              <w:top w:val="nil"/>
              <w:left w:val="single" w:sz="4" w:space="0" w:color="auto"/>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single" w:sz="4" w:space="0" w:color="auto"/>
              <w:left w:val="nil"/>
              <w:bottom w:val="nil"/>
              <w:right w:val="single" w:sz="4" w:space="0" w:color="auto"/>
            </w:tcBorders>
            <w:shd w:val="clear" w:color="auto" w:fill="auto"/>
            <w:vAlign w:val="center"/>
            <w:hideMark/>
          </w:tcPr>
          <w:p w:rsidR="00C27A13" w:rsidRPr="002D22C8" w:rsidRDefault="00C27A13" w:rsidP="00C27A13">
            <w:pPr>
              <w:spacing w:after="0" w:line="240" w:lineRule="auto"/>
              <w:rPr>
                <w:rFonts w:ascii="Calibri" w:eastAsia="Times New Roman" w:hAnsi="Calibri" w:cs="Times New Roman"/>
                <w:color w:val="FF0000"/>
                <w:sz w:val="18"/>
                <w:szCs w:val="18"/>
                <w:lang w:eastAsia="en-US"/>
              </w:rPr>
            </w:pPr>
            <w:r w:rsidRPr="002D22C8">
              <w:rPr>
                <w:rFonts w:ascii="Calibri" w:eastAsia="Times New Roman" w:hAnsi="Calibri" w:cs="Times New Roman"/>
                <w:color w:val="FF0000"/>
                <w:sz w:val="18"/>
                <w:szCs w:val="18"/>
                <w:lang w:eastAsia="en-US"/>
              </w:rPr>
              <w:t xml:space="preserve">Développement de l'agriculture en </w:t>
            </w:r>
            <w:r w:rsidR="00C26653" w:rsidRPr="002D22C8">
              <w:rPr>
                <w:rFonts w:ascii="Calibri" w:eastAsia="Times New Roman" w:hAnsi="Calibri" w:cs="Times New Roman"/>
                <w:color w:val="FF0000"/>
                <w:sz w:val="18"/>
                <w:szCs w:val="18"/>
                <w:lang w:eastAsia="en-US"/>
              </w:rPr>
              <w:t>savane</w:t>
            </w:r>
            <w:r w:rsidRPr="002D22C8">
              <w:rPr>
                <w:rFonts w:ascii="Calibri" w:eastAsia="Times New Roman" w:hAnsi="Calibri" w:cs="Times New Roman"/>
                <w:color w:val="FF0000"/>
                <w:sz w:val="18"/>
                <w:szCs w:val="18"/>
                <w:lang w:eastAsia="en-US"/>
              </w:rPr>
              <w:t xml:space="preserve"> (Modèle 2)</w:t>
            </w:r>
          </w:p>
        </w:tc>
        <w:tc>
          <w:tcPr>
            <w:tcW w:w="116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1000" w:type="dxa"/>
            <w:tcBorders>
              <w:top w:val="single" w:sz="4" w:space="0" w:color="auto"/>
              <w:left w:val="nil"/>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  </w:t>
            </w:r>
          </w:p>
        </w:tc>
        <w:tc>
          <w:tcPr>
            <w:tcW w:w="114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8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1,500,000  </w:t>
            </w:r>
          </w:p>
        </w:tc>
        <w:tc>
          <w:tcPr>
            <w:tcW w:w="980" w:type="dxa"/>
            <w:tcBorders>
              <w:top w:val="single" w:sz="4" w:space="0" w:color="auto"/>
              <w:left w:val="single" w:sz="4" w:space="0" w:color="auto"/>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single" w:sz="4" w:space="0" w:color="auto"/>
              <w:left w:val="nil"/>
              <w:bottom w:val="nil"/>
              <w:right w:val="single" w:sz="4" w:space="0" w:color="auto"/>
            </w:tcBorders>
            <w:shd w:val="clear" w:color="auto" w:fill="auto"/>
            <w:vAlign w:val="center"/>
            <w:hideMark/>
          </w:tcPr>
          <w:p w:rsidR="00C27A13" w:rsidRPr="002D22C8" w:rsidRDefault="00C27A13" w:rsidP="00C27A13">
            <w:pPr>
              <w:spacing w:after="0" w:line="240" w:lineRule="auto"/>
              <w:rPr>
                <w:rFonts w:ascii="Calibri" w:eastAsia="Times New Roman" w:hAnsi="Calibri" w:cs="Times New Roman"/>
                <w:color w:val="FF0000"/>
                <w:sz w:val="18"/>
                <w:szCs w:val="18"/>
                <w:lang w:eastAsia="en-US"/>
              </w:rPr>
            </w:pPr>
            <w:r w:rsidRPr="002D22C8">
              <w:rPr>
                <w:rFonts w:ascii="Calibri" w:eastAsia="Times New Roman" w:hAnsi="Calibri" w:cs="Times New Roman"/>
                <w:color w:val="FF0000"/>
                <w:sz w:val="18"/>
                <w:szCs w:val="18"/>
                <w:lang w:eastAsia="en-US"/>
              </w:rPr>
              <w:t xml:space="preserve">Développement de l'agriculture en </w:t>
            </w:r>
            <w:r w:rsidR="00C26653" w:rsidRPr="002D22C8">
              <w:rPr>
                <w:rFonts w:ascii="Calibri" w:eastAsia="Times New Roman" w:hAnsi="Calibri" w:cs="Times New Roman"/>
                <w:color w:val="FF0000"/>
                <w:sz w:val="18"/>
                <w:szCs w:val="18"/>
                <w:lang w:eastAsia="en-US"/>
              </w:rPr>
              <w:t>savane</w:t>
            </w:r>
            <w:r w:rsidRPr="002D22C8">
              <w:rPr>
                <w:rFonts w:ascii="Calibri" w:eastAsia="Times New Roman" w:hAnsi="Calibri" w:cs="Times New Roman"/>
                <w:color w:val="FF0000"/>
                <w:sz w:val="18"/>
                <w:szCs w:val="18"/>
                <w:lang w:eastAsia="en-US"/>
              </w:rPr>
              <w:t xml:space="preserve"> (Modèle 3)</w:t>
            </w:r>
          </w:p>
        </w:tc>
        <w:tc>
          <w:tcPr>
            <w:tcW w:w="116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1000" w:type="dxa"/>
            <w:tcBorders>
              <w:top w:val="single" w:sz="4" w:space="0" w:color="auto"/>
              <w:left w:val="nil"/>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230  </w:t>
            </w:r>
          </w:p>
        </w:tc>
        <w:tc>
          <w:tcPr>
            <w:tcW w:w="114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5,000</w:t>
            </w:r>
          </w:p>
        </w:tc>
        <w:tc>
          <w:tcPr>
            <w:tcW w:w="8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1,150,000  </w:t>
            </w:r>
          </w:p>
        </w:tc>
        <w:tc>
          <w:tcPr>
            <w:tcW w:w="980" w:type="dxa"/>
            <w:tcBorders>
              <w:top w:val="single" w:sz="4" w:space="0" w:color="auto"/>
              <w:left w:val="single" w:sz="4" w:space="0" w:color="auto"/>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48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single" w:sz="4" w:space="0" w:color="auto"/>
              <w:left w:val="nil"/>
              <w:bottom w:val="nil"/>
              <w:right w:val="single" w:sz="4" w:space="0" w:color="auto"/>
            </w:tcBorders>
            <w:shd w:val="clear" w:color="auto" w:fill="auto"/>
            <w:vAlign w:val="center"/>
            <w:hideMark/>
          </w:tcPr>
          <w:p w:rsidR="00C27A13" w:rsidRPr="002D22C8" w:rsidRDefault="00C27A13" w:rsidP="00C27A13">
            <w:pPr>
              <w:spacing w:after="0" w:line="240" w:lineRule="auto"/>
              <w:rPr>
                <w:rFonts w:ascii="Calibri" w:eastAsia="Times New Roman" w:hAnsi="Calibri" w:cs="Times New Roman"/>
                <w:color w:val="FF0000"/>
                <w:sz w:val="18"/>
                <w:szCs w:val="18"/>
                <w:lang w:eastAsia="en-US"/>
              </w:rPr>
            </w:pPr>
            <w:r w:rsidRPr="002D22C8">
              <w:rPr>
                <w:rFonts w:ascii="Calibri" w:eastAsia="Times New Roman" w:hAnsi="Calibri" w:cs="Times New Roman"/>
                <w:color w:val="FF0000"/>
                <w:sz w:val="18"/>
                <w:szCs w:val="18"/>
                <w:lang w:eastAsia="en-US"/>
              </w:rPr>
              <w:t>Développement des cultures pérennes en alternative aux cultures vivrières sur jachère brulis</w:t>
            </w:r>
          </w:p>
        </w:tc>
        <w:tc>
          <w:tcPr>
            <w:tcW w:w="116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1000" w:type="dxa"/>
            <w:tcBorders>
              <w:top w:val="single" w:sz="4" w:space="0" w:color="auto"/>
              <w:left w:val="nil"/>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260  </w:t>
            </w:r>
          </w:p>
        </w:tc>
        <w:tc>
          <w:tcPr>
            <w:tcW w:w="114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88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2,600,000  </w:t>
            </w:r>
          </w:p>
        </w:tc>
        <w:tc>
          <w:tcPr>
            <w:tcW w:w="980" w:type="dxa"/>
            <w:tcBorders>
              <w:top w:val="single" w:sz="4" w:space="0" w:color="auto"/>
              <w:left w:val="single" w:sz="4" w:space="0" w:color="auto"/>
              <w:bottom w:val="nil"/>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single" w:sz="4" w:space="0" w:color="auto"/>
              <w:left w:val="nil"/>
              <w:bottom w:val="nil"/>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440" w:type="dxa"/>
            <w:tcBorders>
              <w:top w:val="single" w:sz="4" w:space="0" w:color="auto"/>
              <w:left w:val="nil"/>
              <w:bottom w:val="single" w:sz="4" w:space="0" w:color="auto"/>
              <w:right w:val="single" w:sz="4" w:space="0" w:color="auto"/>
            </w:tcBorders>
            <w:shd w:val="clear" w:color="auto" w:fill="auto"/>
            <w:vAlign w:val="center"/>
            <w:hideMark/>
          </w:tcPr>
          <w:p w:rsidR="00C27A13" w:rsidRPr="00681A43" w:rsidRDefault="00C27A13" w:rsidP="00C27A13">
            <w:pPr>
              <w:spacing w:after="0" w:line="240" w:lineRule="auto"/>
              <w:rPr>
                <w:rFonts w:ascii="Calibri" w:eastAsia="Times New Roman" w:hAnsi="Calibri" w:cs="Times New Roman"/>
                <w:color w:val="FF0000"/>
                <w:sz w:val="18"/>
                <w:szCs w:val="18"/>
                <w:lang w:eastAsia="en-US"/>
              </w:rPr>
            </w:pPr>
            <w:r w:rsidRPr="00681A43">
              <w:rPr>
                <w:rFonts w:ascii="Calibri" w:eastAsia="Times New Roman" w:hAnsi="Calibri" w:cs="Times New Roman"/>
                <w:color w:val="FF0000"/>
                <w:sz w:val="18"/>
                <w:szCs w:val="18"/>
                <w:lang w:eastAsia="en-US"/>
              </w:rPr>
              <w:t xml:space="preserve">Mise en défens de </w:t>
            </w:r>
            <w:r w:rsidR="00C26653" w:rsidRPr="00681A43">
              <w:rPr>
                <w:rFonts w:ascii="Calibri" w:eastAsia="Times New Roman" w:hAnsi="Calibri" w:cs="Times New Roman"/>
                <w:color w:val="FF0000"/>
                <w:sz w:val="18"/>
                <w:szCs w:val="18"/>
                <w:lang w:eastAsia="en-US"/>
              </w:rPr>
              <w:t>forêts</w:t>
            </w:r>
            <w:r w:rsidRPr="00681A43">
              <w:rPr>
                <w:rFonts w:ascii="Calibri" w:eastAsia="Times New Roman" w:hAnsi="Calibri" w:cs="Times New Roman"/>
                <w:color w:val="FF0000"/>
                <w:sz w:val="18"/>
                <w:szCs w:val="18"/>
                <w:lang w:eastAsia="en-US"/>
              </w:rPr>
              <w:t xml:space="preserve"> </w:t>
            </w:r>
            <w:r w:rsidR="00C26653" w:rsidRPr="00681A43">
              <w:rPr>
                <w:rFonts w:ascii="Calibri" w:eastAsia="Times New Roman" w:hAnsi="Calibri" w:cs="Times New Roman"/>
                <w:color w:val="FF0000"/>
                <w:sz w:val="18"/>
                <w:szCs w:val="18"/>
                <w:lang w:eastAsia="en-US"/>
              </w:rPr>
              <w:t>à</w:t>
            </w:r>
            <w:r w:rsidRPr="00681A43">
              <w:rPr>
                <w:rFonts w:ascii="Calibri" w:eastAsia="Times New Roman" w:hAnsi="Calibri" w:cs="Times New Roman"/>
                <w:color w:val="FF0000"/>
                <w:sz w:val="18"/>
                <w:szCs w:val="18"/>
                <w:lang w:eastAsia="en-US"/>
              </w:rPr>
              <w:t xml:space="preserve"> haute valeur de conservation</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single" w:sz="4" w:space="0" w:color="auto"/>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6,750,000  </w:t>
            </w:r>
          </w:p>
        </w:tc>
        <w:tc>
          <w:tcPr>
            <w:tcW w:w="9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Soutien au </w:t>
            </w:r>
            <w:r w:rsidR="00C26653" w:rsidRPr="00C27A13">
              <w:rPr>
                <w:rFonts w:ascii="Calibri" w:eastAsia="Times New Roman" w:hAnsi="Calibri" w:cs="Times New Roman"/>
                <w:b/>
                <w:bCs/>
                <w:color w:val="000000"/>
                <w:sz w:val="18"/>
                <w:szCs w:val="18"/>
                <w:lang w:eastAsia="en-US"/>
              </w:rPr>
              <w:t>développement</w:t>
            </w:r>
            <w:r w:rsidRPr="00ED144B">
              <w:rPr>
                <w:rFonts w:ascii="Calibri" w:eastAsia="Times New Roman" w:hAnsi="Calibri" w:cs="Times New Roman"/>
                <w:b/>
                <w:bCs/>
                <w:color w:val="000000"/>
                <w:sz w:val="18"/>
                <w:szCs w:val="18"/>
                <w:lang w:eastAsia="en-US"/>
              </w:rPr>
              <w:t xml:space="preserve"> de </w:t>
            </w:r>
            <w:r w:rsidR="00C26653" w:rsidRPr="00C27A13">
              <w:rPr>
                <w:rFonts w:ascii="Calibri" w:eastAsia="Times New Roman" w:hAnsi="Calibri" w:cs="Times New Roman"/>
                <w:b/>
                <w:bCs/>
                <w:color w:val="000000"/>
                <w:sz w:val="18"/>
                <w:szCs w:val="18"/>
                <w:lang w:eastAsia="en-US"/>
              </w:rPr>
              <w:t>filières</w:t>
            </w:r>
            <w:r w:rsidRPr="00ED144B">
              <w:rPr>
                <w:rFonts w:ascii="Calibri" w:eastAsia="Times New Roman" w:hAnsi="Calibri" w:cs="Times New Roman"/>
                <w:b/>
                <w:bCs/>
                <w:color w:val="000000"/>
                <w:sz w:val="18"/>
                <w:szCs w:val="18"/>
                <w:lang w:eastAsia="en-US"/>
              </w:rPr>
              <w:t xml:space="preserve"> (café, cacao, hévéa, huile de palme)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F2F2F2"/>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4C288A" w:rsidRDefault="00C27A13" w:rsidP="00C27A13">
            <w:pPr>
              <w:spacing w:after="0" w:line="240" w:lineRule="auto"/>
              <w:rPr>
                <w:rFonts w:ascii="Calibri" w:eastAsia="Times New Roman" w:hAnsi="Calibri" w:cs="Times New Roman"/>
                <w:color w:val="FF0000"/>
                <w:sz w:val="18"/>
                <w:szCs w:val="18"/>
                <w:lang w:eastAsia="en-US"/>
              </w:rPr>
            </w:pPr>
            <w:r w:rsidRPr="004C288A">
              <w:rPr>
                <w:rFonts w:ascii="Calibri" w:eastAsia="Times New Roman" w:hAnsi="Calibri" w:cs="Times New Roman"/>
                <w:color w:val="FF0000"/>
                <w:sz w:val="18"/>
                <w:szCs w:val="18"/>
                <w:lang w:eastAsia="en-US"/>
              </w:rPr>
              <w:t xml:space="preserve">aval des filières dont appui aux commerçants et équipements </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xml:space="preserve">250,000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4C288A" w:rsidRDefault="00C27A13" w:rsidP="00C27A13">
            <w:pPr>
              <w:spacing w:after="0" w:line="240" w:lineRule="auto"/>
              <w:rPr>
                <w:rFonts w:ascii="Calibri" w:eastAsia="Times New Roman" w:hAnsi="Calibri" w:cs="Times New Roman"/>
                <w:color w:val="FF0000"/>
                <w:sz w:val="18"/>
                <w:szCs w:val="18"/>
                <w:lang w:eastAsia="en-US"/>
              </w:rPr>
            </w:pPr>
            <w:r w:rsidRPr="004C288A">
              <w:rPr>
                <w:rFonts w:ascii="Calibri" w:eastAsia="Times New Roman" w:hAnsi="Calibri" w:cs="Times New Roman"/>
                <w:color w:val="FF0000"/>
                <w:sz w:val="18"/>
                <w:szCs w:val="18"/>
                <w:lang w:eastAsia="en-US"/>
              </w:rPr>
              <w:t>Assistance technique à l'animation de filière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xml:space="preserve">250,000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500,000  </w:t>
            </w:r>
          </w:p>
        </w:tc>
        <w:tc>
          <w:tcPr>
            <w:tcW w:w="98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684"/>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H</w:t>
            </w:r>
          </w:p>
        </w:tc>
        <w:tc>
          <w:tcPr>
            <w:tcW w:w="6440" w:type="dxa"/>
            <w:tcBorders>
              <w:top w:val="nil"/>
              <w:left w:val="nil"/>
              <w:bottom w:val="single" w:sz="4" w:space="0" w:color="auto"/>
              <w:right w:val="single" w:sz="4" w:space="0" w:color="auto"/>
            </w:tcBorders>
            <w:shd w:val="clear" w:color="000000" w:fill="FFFFFF"/>
            <w:vAlign w:val="center"/>
            <w:hideMark/>
          </w:tcPr>
          <w:p w:rsidR="00C27A13" w:rsidRPr="00ED144B" w:rsidRDefault="00D82B88"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I</w:t>
            </w:r>
            <w:r w:rsidR="00C27A13" w:rsidRPr="00ED144B">
              <w:rPr>
                <w:rFonts w:ascii="Calibri" w:eastAsia="Times New Roman" w:hAnsi="Calibri" w:cs="Times New Roman"/>
                <w:b/>
                <w:bCs/>
                <w:color w:val="000000"/>
                <w:sz w:val="18"/>
                <w:szCs w:val="18"/>
                <w:lang w:eastAsia="en-US"/>
              </w:rPr>
              <w:t xml:space="preserve">nitiation au </w:t>
            </w:r>
            <w:r w:rsidR="00C26653" w:rsidRPr="00C27A13">
              <w:rPr>
                <w:rFonts w:ascii="Calibri" w:eastAsia="Times New Roman" w:hAnsi="Calibri" w:cs="Times New Roman"/>
                <w:b/>
                <w:bCs/>
                <w:color w:val="000000"/>
                <w:sz w:val="18"/>
                <w:szCs w:val="18"/>
                <w:lang w:eastAsia="en-US"/>
              </w:rPr>
              <w:t>planning</w:t>
            </w:r>
            <w:r w:rsidR="00C27A13" w:rsidRPr="00ED144B">
              <w:rPr>
                <w:rFonts w:ascii="Calibri" w:eastAsia="Times New Roman" w:hAnsi="Calibri" w:cs="Times New Roman"/>
                <w:b/>
                <w:bCs/>
                <w:color w:val="000000"/>
                <w:sz w:val="18"/>
                <w:szCs w:val="18"/>
                <w:lang w:eastAsia="en-US"/>
              </w:rPr>
              <w:t xml:space="preserve"> familial (contrats avec ONG locale) et à la prévention d'Ebola et du VIH SIDA</w:t>
            </w:r>
          </w:p>
        </w:tc>
        <w:tc>
          <w:tcPr>
            <w:tcW w:w="116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provision annuelle par territoire</w:t>
            </w:r>
          </w:p>
        </w:tc>
        <w:tc>
          <w:tcPr>
            <w:tcW w:w="1000" w:type="dxa"/>
            <w:tcBorders>
              <w:top w:val="nil"/>
              <w:left w:val="nil"/>
              <w:bottom w:val="single" w:sz="4" w:space="0" w:color="auto"/>
              <w:right w:val="nil"/>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400,000  </w:t>
            </w:r>
          </w:p>
        </w:tc>
        <w:tc>
          <w:tcPr>
            <w:tcW w:w="980" w:type="dxa"/>
            <w:tcBorders>
              <w:top w:val="nil"/>
              <w:left w:val="single" w:sz="4" w:space="0" w:color="auto"/>
              <w:bottom w:val="single" w:sz="4" w:space="0" w:color="auto"/>
              <w:right w:val="nil"/>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FFFFFF"/>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400,000  </w:t>
            </w:r>
          </w:p>
        </w:tc>
        <w:tc>
          <w:tcPr>
            <w:tcW w:w="98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Plan pour les Peuples Autochtones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2139F8" w:rsidRDefault="00C27A13" w:rsidP="00C27A13">
            <w:pPr>
              <w:spacing w:after="0" w:line="240" w:lineRule="auto"/>
              <w:rPr>
                <w:rFonts w:ascii="Calibri" w:eastAsia="Times New Roman" w:hAnsi="Calibri" w:cs="Times New Roman"/>
                <w:color w:val="FF0000"/>
                <w:sz w:val="18"/>
                <w:szCs w:val="18"/>
                <w:lang w:eastAsia="en-US"/>
              </w:rPr>
            </w:pPr>
            <w:r w:rsidRPr="002139F8">
              <w:rPr>
                <w:rFonts w:ascii="Calibri" w:eastAsia="Times New Roman" w:hAnsi="Calibri" w:cs="Times New Roman"/>
                <w:color w:val="FF0000"/>
                <w:sz w:val="18"/>
                <w:szCs w:val="18"/>
                <w:lang w:eastAsia="en-US"/>
              </w:rPr>
              <w:t xml:space="preserve">Consultation pour identifier les </w:t>
            </w:r>
            <w:r w:rsidR="00C26653" w:rsidRPr="002139F8">
              <w:rPr>
                <w:rFonts w:ascii="Calibri" w:eastAsia="Times New Roman" w:hAnsi="Calibri" w:cs="Times New Roman"/>
                <w:color w:val="FF0000"/>
                <w:sz w:val="18"/>
                <w:szCs w:val="18"/>
                <w:lang w:eastAsia="en-US"/>
              </w:rPr>
              <w:t>priorités</w:t>
            </w:r>
            <w:r w:rsidRPr="002139F8">
              <w:rPr>
                <w:rFonts w:ascii="Calibri" w:eastAsia="Times New Roman" w:hAnsi="Calibri" w:cs="Times New Roman"/>
                <w:color w:val="FF0000"/>
                <w:sz w:val="18"/>
                <w:szCs w:val="18"/>
                <w:lang w:eastAsia="en-US"/>
              </w:rPr>
              <w:t xml:space="preserve"> des PDPAs existants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2139F8" w:rsidRDefault="00C26653" w:rsidP="00C27A13">
            <w:pPr>
              <w:spacing w:after="0" w:line="240" w:lineRule="auto"/>
              <w:rPr>
                <w:rFonts w:ascii="Calibri" w:eastAsia="Times New Roman" w:hAnsi="Calibri" w:cs="Times New Roman"/>
                <w:color w:val="FF0000"/>
                <w:sz w:val="18"/>
                <w:szCs w:val="18"/>
                <w:lang w:eastAsia="en-US"/>
              </w:rPr>
            </w:pPr>
            <w:r w:rsidRPr="002139F8">
              <w:rPr>
                <w:rFonts w:ascii="Calibri" w:eastAsia="Times New Roman" w:hAnsi="Calibri" w:cs="Times New Roman"/>
                <w:color w:val="FF0000"/>
                <w:sz w:val="18"/>
                <w:szCs w:val="18"/>
                <w:lang w:eastAsia="en-US"/>
              </w:rPr>
              <w:t>Réalisation</w:t>
            </w:r>
            <w:r w:rsidR="00C27A13" w:rsidRPr="002139F8">
              <w:rPr>
                <w:rFonts w:ascii="Calibri" w:eastAsia="Times New Roman" w:hAnsi="Calibri" w:cs="Times New Roman"/>
                <w:color w:val="FF0000"/>
                <w:sz w:val="18"/>
                <w:szCs w:val="18"/>
                <w:lang w:eastAsia="en-US"/>
              </w:rPr>
              <w:t xml:space="preserve"> de micro-projets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700,000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700,000  </w:t>
            </w:r>
          </w:p>
        </w:tc>
        <w:tc>
          <w:tcPr>
            <w:tcW w:w="98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9D9D9"/>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780,000  </w:t>
            </w:r>
          </w:p>
        </w:tc>
        <w:tc>
          <w:tcPr>
            <w:tcW w:w="98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D9D9D9"/>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ACTIVITES</w:t>
            </w:r>
          </w:p>
        </w:tc>
        <w:tc>
          <w:tcPr>
            <w:tcW w:w="116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16,516,188  </w:t>
            </w:r>
          </w:p>
        </w:tc>
        <w:tc>
          <w:tcPr>
            <w:tcW w:w="98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16,516,188  </w:t>
            </w:r>
          </w:p>
        </w:tc>
        <w:tc>
          <w:tcPr>
            <w:tcW w:w="68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61%</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VI </w:t>
            </w:r>
          </w:p>
        </w:tc>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C27A13" w:rsidRPr="00ED144B">
              <w:rPr>
                <w:rFonts w:ascii="Calibri" w:eastAsia="Times New Roman" w:hAnsi="Calibri" w:cs="Times New Roman"/>
                <w:b/>
                <w:bCs/>
                <w:color w:val="000000"/>
                <w:sz w:val="18"/>
                <w:szCs w:val="18"/>
                <w:lang w:eastAsia="en-US"/>
              </w:rPr>
              <w:t xml:space="preserve">upervision et suivi évaluation </w:t>
            </w:r>
            <w:r w:rsidRPr="00C27A13">
              <w:rPr>
                <w:rFonts w:ascii="Calibri" w:eastAsia="Times New Roman" w:hAnsi="Calibri" w:cs="Times New Roman"/>
                <w:b/>
                <w:bCs/>
                <w:color w:val="000000"/>
                <w:sz w:val="18"/>
                <w:szCs w:val="18"/>
                <w:lang w:eastAsia="en-US"/>
              </w:rPr>
              <w:t>réalisée</w:t>
            </w:r>
            <w:r w:rsidR="00C27A13" w:rsidRPr="00ED144B">
              <w:rPr>
                <w:rFonts w:ascii="Calibri" w:eastAsia="Times New Roman" w:hAnsi="Calibri" w:cs="Times New Roman"/>
                <w:b/>
                <w:bCs/>
                <w:color w:val="000000"/>
                <w:sz w:val="18"/>
                <w:szCs w:val="18"/>
                <w:lang w:eastAsia="en-US"/>
              </w:rPr>
              <w:t xml:space="preserve"> par l'UC-PIF</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renforcement de  l'UC-PIF avec un expert en suivi évaluation</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240,000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1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renforcement de  l'UC-PIF avec un expert GIS et gestion de base de </w:t>
            </w:r>
            <w:r w:rsidR="00C26653" w:rsidRPr="00C27A13">
              <w:rPr>
                <w:rFonts w:ascii="Calibri" w:eastAsia="Times New Roman" w:hAnsi="Calibri" w:cs="Times New Roman"/>
                <w:color w:val="000000"/>
                <w:sz w:val="18"/>
                <w:szCs w:val="18"/>
                <w:lang w:eastAsia="en-US"/>
              </w:rPr>
              <w:t>données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240,000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51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 diem et frais de déplacement de l'équipe de suivi évaluation et GIS: une mission terrain tous les 4 mois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90,000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réunions du Comité de Pilotage du Projet tous les six mois</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suivi évaluation externe comptable des ALE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6 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150,000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formations, édition, etc. (Réserve)</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4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de l'UC-PIF au-delà de la date de clôture du PGPAF</w:t>
            </w:r>
          </w:p>
        </w:tc>
        <w:tc>
          <w:tcPr>
            <w:tcW w:w="116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100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88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18</w:t>
            </w:r>
          </w:p>
        </w:tc>
        <w:tc>
          <w:tcPr>
            <w:tcW w:w="1240" w:type="dxa"/>
            <w:tcBorders>
              <w:top w:val="nil"/>
              <w:left w:val="nil"/>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720,000  </w:t>
            </w:r>
          </w:p>
        </w:tc>
        <w:tc>
          <w:tcPr>
            <w:tcW w:w="1300" w:type="dxa"/>
            <w:tcBorders>
              <w:top w:val="nil"/>
              <w:left w:val="single" w:sz="4" w:space="0" w:color="auto"/>
              <w:bottom w:val="single" w:sz="4" w:space="0" w:color="auto"/>
              <w:right w:val="nil"/>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C27A13" w:rsidRPr="00C27A13" w:rsidTr="00C27A13">
        <w:trPr>
          <w:trHeight w:val="240"/>
        </w:trPr>
        <w:tc>
          <w:tcPr>
            <w:tcW w:w="50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50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SUPERVISION</w:t>
            </w:r>
          </w:p>
        </w:tc>
        <w:tc>
          <w:tcPr>
            <w:tcW w:w="116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40" w:type="dxa"/>
            <w:tcBorders>
              <w:top w:val="nil"/>
              <w:left w:val="nil"/>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1,720,000  </w:t>
            </w:r>
          </w:p>
        </w:tc>
        <w:tc>
          <w:tcPr>
            <w:tcW w:w="1300" w:type="dxa"/>
            <w:tcBorders>
              <w:top w:val="nil"/>
              <w:left w:val="single" w:sz="4" w:space="0" w:color="auto"/>
              <w:bottom w:val="single" w:sz="4" w:space="0" w:color="auto"/>
              <w:right w:val="nil"/>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1,720,000  </w:t>
            </w:r>
          </w:p>
        </w:tc>
        <w:tc>
          <w:tcPr>
            <w:tcW w:w="680" w:type="dxa"/>
            <w:tcBorders>
              <w:top w:val="nil"/>
              <w:left w:val="single" w:sz="4" w:space="0" w:color="auto"/>
              <w:bottom w:val="single" w:sz="4" w:space="0" w:color="auto"/>
              <w:right w:val="single" w:sz="4" w:space="0" w:color="auto"/>
            </w:tcBorders>
            <w:shd w:val="clear" w:color="000000" w:fill="DCE6F1"/>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6%</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VII</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6653"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T</w:t>
            </w:r>
            <w:r w:rsidR="00C27A13" w:rsidRPr="00ED144B">
              <w:rPr>
                <w:rFonts w:ascii="Calibri" w:eastAsia="Times New Roman" w:hAnsi="Calibri" w:cs="Times New Roman"/>
                <w:b/>
                <w:bCs/>
                <w:color w:val="000000"/>
                <w:sz w:val="18"/>
                <w:szCs w:val="18"/>
                <w:lang w:eastAsia="en-US"/>
              </w:rPr>
              <w:t xml:space="preserve">otal coûts éligibles </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23,588,688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1,720,000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25,308,688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93%</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lastRenderedPageBreak/>
              <w:t>VIII</w:t>
            </w:r>
          </w:p>
        </w:tc>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D82B88"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I</w:t>
            </w:r>
            <w:r w:rsidR="00C27A13" w:rsidRPr="00ED144B">
              <w:rPr>
                <w:rFonts w:ascii="Calibri" w:eastAsia="Times New Roman" w:hAnsi="Calibri" w:cs="Times New Roman"/>
                <w:b/>
                <w:bCs/>
                <w:color w:val="000000"/>
                <w:sz w:val="18"/>
                <w:szCs w:val="18"/>
                <w:lang w:eastAsia="en-US"/>
              </w:rPr>
              <w:t>mprévus sur total coûts éligibles 3%</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40" w:type="dxa"/>
            <w:tcBorders>
              <w:top w:val="nil"/>
              <w:left w:val="nil"/>
              <w:bottom w:val="nil"/>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759,261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759,261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3%</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IX</w:t>
            </w:r>
          </w:p>
        </w:tc>
        <w:tc>
          <w:tcPr>
            <w:tcW w:w="5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D82B88" w:rsidP="00C27A13">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F</w:t>
            </w:r>
            <w:r w:rsidR="00C27A13" w:rsidRPr="00ED144B">
              <w:rPr>
                <w:rFonts w:ascii="Calibri" w:eastAsia="Times New Roman" w:hAnsi="Calibri" w:cs="Times New Roman"/>
                <w:b/>
                <w:bCs/>
                <w:color w:val="000000"/>
                <w:sz w:val="18"/>
                <w:szCs w:val="18"/>
                <w:lang w:eastAsia="en-US"/>
              </w:rPr>
              <w:t>rais généraux  sur total coûts éligibles 5%</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40" w:type="dxa"/>
            <w:tcBorders>
              <w:top w:val="single" w:sz="4" w:space="0" w:color="auto"/>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1,179,434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1,179,434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4%</w:t>
            </w:r>
          </w:p>
        </w:tc>
      </w:tr>
      <w:tr w:rsidR="00C27A13" w:rsidRPr="00C27A13" w:rsidTr="00C27A13">
        <w:trPr>
          <w:trHeight w:val="240"/>
        </w:trPr>
        <w:tc>
          <w:tcPr>
            <w:tcW w:w="5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X</w:t>
            </w:r>
          </w:p>
        </w:tc>
        <w:tc>
          <w:tcPr>
            <w:tcW w:w="50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4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TOTAL</w:t>
            </w:r>
          </w:p>
        </w:tc>
        <w:tc>
          <w:tcPr>
            <w:tcW w:w="116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00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4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880" w:type="dxa"/>
            <w:tcBorders>
              <w:top w:val="nil"/>
              <w:left w:val="nil"/>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40" w:type="dxa"/>
            <w:tcBorders>
              <w:top w:val="nil"/>
              <w:left w:val="nil"/>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24,768,122  </w:t>
            </w:r>
          </w:p>
        </w:tc>
        <w:tc>
          <w:tcPr>
            <w:tcW w:w="98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2,479,261  </w:t>
            </w:r>
          </w:p>
        </w:tc>
        <w:tc>
          <w:tcPr>
            <w:tcW w:w="1300" w:type="dxa"/>
            <w:tcBorders>
              <w:top w:val="nil"/>
              <w:left w:val="single" w:sz="4" w:space="0" w:color="auto"/>
              <w:bottom w:val="single" w:sz="4" w:space="0" w:color="auto"/>
              <w:right w:val="nil"/>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27,247,383  </w:t>
            </w:r>
          </w:p>
        </w:tc>
        <w:tc>
          <w:tcPr>
            <w:tcW w:w="680" w:type="dxa"/>
            <w:tcBorders>
              <w:top w:val="nil"/>
              <w:left w:val="single" w:sz="4" w:space="0" w:color="auto"/>
              <w:bottom w:val="single" w:sz="4" w:space="0" w:color="auto"/>
              <w:right w:val="single" w:sz="4" w:space="0" w:color="auto"/>
            </w:tcBorders>
            <w:shd w:val="clear" w:color="000000" w:fill="8DB4E2"/>
            <w:vAlign w:val="center"/>
            <w:hideMark/>
          </w:tcPr>
          <w:p w:rsidR="00C27A13" w:rsidRPr="00ED144B" w:rsidRDefault="00C27A13" w:rsidP="00C27A13">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100%</w:t>
            </w:r>
          </w:p>
        </w:tc>
      </w:tr>
    </w:tbl>
    <w:p w:rsidR="00C27A13" w:rsidRDefault="00C27A13" w:rsidP="00EF6F07">
      <w:pPr>
        <w:rPr>
          <w:b/>
          <w:color w:val="2E74B5" w:themeColor="accent1" w:themeShade="BF"/>
          <w:sz w:val="16"/>
          <w:szCs w:val="16"/>
        </w:rPr>
      </w:pPr>
    </w:p>
    <w:tbl>
      <w:tblPr>
        <w:tblW w:w="15820" w:type="dxa"/>
        <w:tblLook w:val="04A0" w:firstRow="1" w:lastRow="0" w:firstColumn="1" w:lastColumn="0" w:noHBand="0" w:noVBand="1"/>
      </w:tblPr>
      <w:tblGrid>
        <w:gridCol w:w="499"/>
        <w:gridCol w:w="499"/>
        <w:gridCol w:w="6380"/>
        <w:gridCol w:w="1160"/>
        <w:gridCol w:w="998"/>
        <w:gridCol w:w="1138"/>
        <w:gridCol w:w="953"/>
        <w:gridCol w:w="1237"/>
        <w:gridCol w:w="980"/>
        <w:gridCol w:w="1297"/>
        <w:gridCol w:w="679"/>
      </w:tblGrid>
      <w:tr w:rsidR="00550DD9" w:rsidRPr="00550DD9" w:rsidTr="00ED144B">
        <w:trPr>
          <w:trHeight w:val="744"/>
        </w:trPr>
        <w:tc>
          <w:tcPr>
            <w:tcW w:w="7378" w:type="dxa"/>
            <w:gridSpan w:val="3"/>
            <w:tcBorders>
              <w:top w:val="nil"/>
              <w:left w:val="nil"/>
              <w:bottom w:val="nil"/>
              <w:right w:val="nil"/>
            </w:tcBorders>
            <w:shd w:val="clear" w:color="000000" w:fill="D8E4BC"/>
            <w:vAlign w:val="center"/>
            <w:hideMark/>
          </w:tcPr>
          <w:p w:rsidR="00550DD9" w:rsidRPr="00ED144B" w:rsidRDefault="00393274" w:rsidP="00550DD9">
            <w:pPr>
              <w:spacing w:after="0" w:line="240" w:lineRule="auto"/>
              <w:rPr>
                <w:rFonts w:ascii="Calibri" w:eastAsia="Times New Roman" w:hAnsi="Calibri" w:cs="Times New Roman"/>
                <w:b/>
                <w:bCs/>
                <w:color w:val="000000"/>
                <w:sz w:val="28"/>
                <w:szCs w:val="28"/>
                <w:lang w:eastAsia="en-US"/>
              </w:rPr>
            </w:pPr>
            <w:r>
              <w:rPr>
                <w:rFonts w:ascii="Calibri" w:eastAsia="Times New Roman" w:hAnsi="Calibri" w:cs="Times New Roman"/>
                <w:b/>
                <w:bCs/>
                <w:color w:val="000000"/>
                <w:sz w:val="28"/>
                <w:szCs w:val="28"/>
                <w:lang w:eastAsia="en-US"/>
              </w:rPr>
              <w:t>Budget PIREDD Mai-</w:t>
            </w:r>
            <w:r w:rsidR="00550DD9" w:rsidRPr="00ED144B">
              <w:rPr>
                <w:rFonts w:ascii="Calibri" w:eastAsia="Times New Roman" w:hAnsi="Calibri" w:cs="Times New Roman"/>
                <w:b/>
                <w:bCs/>
                <w:color w:val="000000"/>
                <w:sz w:val="28"/>
                <w:szCs w:val="28"/>
                <w:lang w:eastAsia="en-US"/>
              </w:rPr>
              <w:t xml:space="preserve">Ndombe sur les 3 premières </w:t>
            </w:r>
            <w:r w:rsidRPr="00393274">
              <w:rPr>
                <w:rFonts w:ascii="Calibri" w:eastAsia="Times New Roman" w:hAnsi="Calibri" w:cs="Times New Roman"/>
                <w:b/>
                <w:bCs/>
                <w:color w:val="000000"/>
                <w:sz w:val="28"/>
                <w:szCs w:val="28"/>
                <w:lang w:eastAsia="en-US"/>
              </w:rPr>
              <w:t xml:space="preserve">années </w:t>
            </w:r>
            <w:r w:rsidR="00550DD9" w:rsidRPr="00ED144B">
              <w:rPr>
                <w:rFonts w:ascii="Calibri" w:eastAsia="Times New Roman" w:hAnsi="Calibri" w:cs="Times New Roman"/>
                <w:b/>
                <w:bCs/>
                <w:color w:val="000000"/>
                <w:sz w:val="28"/>
                <w:szCs w:val="28"/>
                <w:lang w:eastAsia="en-US"/>
              </w:rPr>
              <w:br/>
              <w:t>(2017 -2019)</w:t>
            </w:r>
          </w:p>
        </w:tc>
        <w:tc>
          <w:tcPr>
            <w:tcW w:w="3296" w:type="dxa"/>
            <w:gridSpan w:val="3"/>
            <w:tcBorders>
              <w:top w:val="nil"/>
              <w:left w:val="nil"/>
              <w:bottom w:val="nil"/>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28"/>
                <w:szCs w:val="28"/>
                <w:lang w:eastAsia="en-US"/>
              </w:rPr>
            </w:pPr>
            <w:r w:rsidRPr="00ED144B">
              <w:rPr>
                <w:rFonts w:ascii="Calibri" w:eastAsia="Times New Roman" w:hAnsi="Calibri" w:cs="Times New Roman"/>
                <w:b/>
                <w:bCs/>
                <w:color w:val="000000"/>
                <w:sz w:val="28"/>
                <w:szCs w:val="28"/>
                <w:lang w:eastAsia="en-US"/>
              </w:rPr>
              <w:t xml:space="preserve">18,217,589  </w:t>
            </w:r>
            <w:r w:rsidR="00393274">
              <w:rPr>
                <w:rFonts w:ascii="Calibri" w:eastAsia="Times New Roman" w:hAnsi="Calibri" w:cs="Times New Roman"/>
                <w:b/>
                <w:bCs/>
                <w:color w:val="000000"/>
                <w:sz w:val="28"/>
                <w:szCs w:val="28"/>
                <w:lang w:eastAsia="en-US"/>
              </w:rPr>
              <w:t>$</w:t>
            </w:r>
          </w:p>
        </w:tc>
        <w:tc>
          <w:tcPr>
            <w:tcW w:w="953" w:type="dxa"/>
            <w:tcBorders>
              <w:top w:val="nil"/>
              <w:left w:val="nil"/>
              <w:bottom w:val="nil"/>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28"/>
                <w:szCs w:val="28"/>
                <w:lang w:eastAsia="en-US"/>
              </w:rPr>
            </w:pPr>
            <w:r w:rsidRPr="00ED144B">
              <w:rPr>
                <w:rFonts w:ascii="Calibri" w:eastAsia="Times New Roman" w:hAnsi="Calibri" w:cs="Times New Roman"/>
                <w:b/>
                <w:bCs/>
                <w:color w:val="000000"/>
                <w:sz w:val="28"/>
                <w:szCs w:val="28"/>
                <w:lang w:eastAsia="en-US"/>
              </w:rPr>
              <w:t> </w:t>
            </w:r>
          </w:p>
        </w:tc>
        <w:tc>
          <w:tcPr>
            <w:tcW w:w="1237" w:type="dxa"/>
            <w:tcBorders>
              <w:top w:val="nil"/>
              <w:left w:val="nil"/>
              <w:bottom w:val="nil"/>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80" w:type="dxa"/>
            <w:tcBorders>
              <w:top w:val="nil"/>
              <w:left w:val="nil"/>
              <w:bottom w:val="nil"/>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nil"/>
              <w:bottom w:val="nil"/>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nil"/>
              <w:bottom w:val="nil"/>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300"/>
        </w:trPr>
        <w:tc>
          <w:tcPr>
            <w:tcW w:w="499"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p>
        </w:tc>
        <w:tc>
          <w:tcPr>
            <w:tcW w:w="499"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6380"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1160" w:type="dxa"/>
            <w:tcBorders>
              <w:top w:val="nil"/>
              <w:left w:val="nil"/>
              <w:bottom w:val="nil"/>
              <w:right w:val="nil"/>
            </w:tcBorders>
            <w:shd w:val="clear" w:color="auto" w:fill="auto"/>
            <w:vAlign w:val="center"/>
            <w:hideMark/>
          </w:tcPr>
          <w:p w:rsidR="00550DD9" w:rsidRPr="00ED144B" w:rsidRDefault="00550DD9" w:rsidP="00550DD9">
            <w:pPr>
              <w:spacing w:after="0" w:line="240" w:lineRule="auto"/>
              <w:rPr>
                <w:rFonts w:ascii="Times New Roman" w:eastAsia="Times New Roman" w:hAnsi="Times New Roman" w:cs="Times New Roman"/>
                <w:sz w:val="18"/>
                <w:szCs w:val="18"/>
                <w:lang w:eastAsia="en-US"/>
              </w:rPr>
            </w:pPr>
          </w:p>
        </w:tc>
        <w:tc>
          <w:tcPr>
            <w:tcW w:w="998"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1138"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953"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1237"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980"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1297"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c>
          <w:tcPr>
            <w:tcW w:w="679"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Times New Roman" w:eastAsia="Times New Roman" w:hAnsi="Times New Roman" w:cs="Times New Roman"/>
                <w:sz w:val="18"/>
                <w:szCs w:val="18"/>
                <w:lang w:eastAsia="en-US"/>
              </w:rPr>
            </w:pPr>
          </w:p>
        </w:tc>
      </w:tr>
      <w:tr w:rsidR="00550DD9" w:rsidRPr="00550DD9" w:rsidTr="00ED144B">
        <w:trPr>
          <w:trHeight w:val="480"/>
        </w:trPr>
        <w:tc>
          <w:tcPr>
            <w:tcW w:w="499"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Objet</w:t>
            </w:r>
          </w:p>
        </w:tc>
        <w:tc>
          <w:tcPr>
            <w:tcW w:w="1160"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Unité</w:t>
            </w:r>
          </w:p>
        </w:tc>
        <w:tc>
          <w:tcPr>
            <w:tcW w:w="998"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Prix unité</w:t>
            </w:r>
          </w:p>
        </w:tc>
        <w:tc>
          <w:tcPr>
            <w:tcW w:w="1138"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Nombre ou superficies</w:t>
            </w:r>
          </w:p>
        </w:tc>
        <w:tc>
          <w:tcPr>
            <w:tcW w:w="953"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Quantités /durée</w:t>
            </w:r>
          </w:p>
        </w:tc>
        <w:tc>
          <w:tcPr>
            <w:tcW w:w="1237"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Mise en œuvre ALE</w:t>
            </w:r>
          </w:p>
        </w:tc>
        <w:tc>
          <w:tcPr>
            <w:tcW w:w="980"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Gestion PIF</w:t>
            </w:r>
          </w:p>
        </w:tc>
        <w:tc>
          <w:tcPr>
            <w:tcW w:w="1297"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Totaux</w:t>
            </w:r>
          </w:p>
        </w:tc>
        <w:tc>
          <w:tcPr>
            <w:tcW w:w="679" w:type="dxa"/>
            <w:tcBorders>
              <w:top w:val="single" w:sz="4" w:space="0" w:color="auto"/>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Ressources humaines </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393274"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550DD9" w:rsidRPr="00ED144B">
              <w:rPr>
                <w:rFonts w:ascii="Calibri" w:eastAsia="Times New Roman" w:hAnsi="Calibri" w:cs="Times New Roman"/>
                <w:b/>
                <w:bCs/>
                <w:color w:val="000000"/>
                <w:sz w:val="18"/>
                <w:szCs w:val="18"/>
                <w:lang w:eastAsia="en-US"/>
              </w:rPr>
              <w:t xml:space="preserve">ersonnel opérationnel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chef de projet expatrié basé à Nioki</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432,000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adjoint chef de projet basé à Nioki, responsable sauvegardes environnementales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de l'innovation agricole et du parc de tracteur</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filières cultures pérennes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du développement infrastructures et équipements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suivi évaluation dont MRV</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Aménagement du Territoire et carto, MRV et PSE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chef de base territoire (Inongo, Kiri, Kutu, Oshwe)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186,000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animateur d'appui à la structuration du </w:t>
            </w:r>
            <w:r w:rsidR="00393274">
              <w:rPr>
                <w:rFonts w:ascii="Calibri" w:eastAsia="Times New Roman" w:hAnsi="Calibri" w:cs="Times New Roman"/>
                <w:color w:val="000000"/>
                <w:sz w:val="18"/>
                <w:szCs w:val="18"/>
                <w:lang w:eastAsia="en-US"/>
              </w:rPr>
              <w:t>milieu, secrétaire exécutif CART</w:t>
            </w:r>
            <w:r w:rsidRPr="00ED144B">
              <w:rPr>
                <w:rFonts w:ascii="Calibri" w:eastAsia="Times New Roman" w:hAnsi="Calibri" w:cs="Times New Roman"/>
                <w:color w:val="000000"/>
                <w:sz w:val="18"/>
                <w:szCs w:val="18"/>
                <w:lang w:eastAsia="en-US"/>
              </w:rPr>
              <w:t>s de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124,000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ingénieur TP</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124,000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agro-forestier de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124,000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responsables pêche de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124,000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responsables de territoire MRV, PSE, Suivi évaluation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124,000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393274"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1,742,000  </w:t>
            </w:r>
          </w:p>
        </w:tc>
        <w:tc>
          <w:tcPr>
            <w:tcW w:w="980"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D82B88"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550DD9" w:rsidRPr="00ED144B">
              <w:rPr>
                <w:rFonts w:ascii="Calibri" w:eastAsia="Times New Roman" w:hAnsi="Calibri" w:cs="Times New Roman"/>
                <w:b/>
                <w:bCs/>
                <w:color w:val="000000"/>
                <w:sz w:val="18"/>
                <w:szCs w:val="18"/>
                <w:lang w:eastAsia="en-US"/>
              </w:rPr>
              <w:t xml:space="preserve">ersonnel d'appui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logisticien </w:t>
            </w:r>
            <w:r w:rsidR="00393274" w:rsidRPr="00550DD9">
              <w:rPr>
                <w:rFonts w:ascii="Calibri" w:eastAsia="Times New Roman" w:hAnsi="Calibri" w:cs="Times New Roman"/>
                <w:color w:val="000000"/>
                <w:sz w:val="18"/>
                <w:szCs w:val="18"/>
                <w:lang w:eastAsia="en-US"/>
              </w:rPr>
              <w:t>Kinshasa</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logisticiens comptables de base territoriale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108,000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comptable Nioki</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54,000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comptable itinérant terrain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aide comptable Nioki</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28,800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aide comptable Kinshasa</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28,800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chauffeurs mécaniciens voitures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pilote du canot rapide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31,000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chauffeurs tracteurs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personnel de ménage des bases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gardiens </w:t>
            </w:r>
            <w:r w:rsidR="00393274" w:rsidRPr="00550DD9">
              <w:rPr>
                <w:rFonts w:ascii="Calibri" w:eastAsia="Times New Roman" w:hAnsi="Calibri" w:cs="Times New Roman"/>
                <w:color w:val="000000"/>
                <w:sz w:val="18"/>
                <w:szCs w:val="18"/>
                <w:lang w:eastAsia="en-US"/>
              </w:rPr>
              <w:t>Kinshasa</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21,600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gardiens de base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393274"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620,200  </w:t>
            </w:r>
          </w:p>
        </w:tc>
        <w:tc>
          <w:tcPr>
            <w:tcW w:w="980"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D82B88"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393274">
              <w:rPr>
                <w:rFonts w:ascii="Calibri" w:eastAsia="Times New Roman" w:hAnsi="Calibri" w:cs="Times New Roman"/>
                <w:b/>
                <w:bCs/>
                <w:color w:val="000000"/>
                <w:sz w:val="18"/>
                <w:szCs w:val="18"/>
                <w:lang w:eastAsia="en-US"/>
              </w:rPr>
              <w:t>erdiem</w:t>
            </w:r>
            <w:r w:rsidR="00550DD9" w:rsidRPr="00ED144B">
              <w:rPr>
                <w:rFonts w:ascii="Calibri" w:eastAsia="Times New Roman" w:hAnsi="Calibri" w:cs="Times New Roman"/>
                <w:b/>
                <w:bCs/>
                <w:color w:val="000000"/>
                <w:sz w:val="18"/>
                <w:szCs w:val="18"/>
                <w:lang w:eastAsia="en-US"/>
              </w:rPr>
              <w:t xml:space="preserve"> et primes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perdiem du personnel d'encadrement  12 jours par mois sur 60 mois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432</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120,960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prime mensuelle de déplacement du personnel de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74,400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perdiem du comptable itinérant 15 jours par mois sur 55 mois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465</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18,600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perdiem des chauffeurs et pilotes (18 jours par mois)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558</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111,600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BFBFBF"/>
            <w:vAlign w:val="center"/>
            <w:hideMark/>
          </w:tcPr>
          <w:p w:rsidR="00550DD9" w:rsidRPr="00ED144B" w:rsidRDefault="00393274"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325,560  </w:t>
            </w:r>
          </w:p>
        </w:tc>
        <w:tc>
          <w:tcPr>
            <w:tcW w:w="980" w:type="dxa"/>
            <w:tcBorders>
              <w:top w:val="nil"/>
              <w:left w:val="single" w:sz="4" w:space="0" w:color="auto"/>
              <w:bottom w:val="single" w:sz="4" w:space="0" w:color="auto"/>
              <w:right w:val="nil"/>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BFBFB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RESSOUCES HUMAINES</w:t>
            </w:r>
          </w:p>
        </w:tc>
        <w:tc>
          <w:tcPr>
            <w:tcW w:w="116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2,687,760  </w:t>
            </w:r>
          </w:p>
        </w:tc>
        <w:tc>
          <w:tcPr>
            <w:tcW w:w="980"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2,687,760  </w:t>
            </w:r>
          </w:p>
        </w:tc>
        <w:tc>
          <w:tcPr>
            <w:tcW w:w="67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15%</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II</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393274"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T</w:t>
            </w:r>
            <w:r w:rsidR="00550DD9" w:rsidRPr="00ED144B">
              <w:rPr>
                <w:rFonts w:ascii="Calibri" w:eastAsia="Times New Roman" w:hAnsi="Calibri" w:cs="Times New Roman"/>
                <w:b/>
                <w:bCs/>
                <w:color w:val="000000"/>
                <w:sz w:val="18"/>
                <w:szCs w:val="18"/>
                <w:lang w:eastAsia="en-US"/>
              </w:rPr>
              <w:t xml:space="preserve">ransport aérien </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internationaux : 2 par an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A/R</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10,800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nationaux </w:t>
            </w:r>
            <w:r w:rsidR="00393274" w:rsidRPr="00550DD9">
              <w:rPr>
                <w:rFonts w:ascii="Calibri" w:eastAsia="Times New Roman" w:hAnsi="Calibri" w:cs="Times New Roman"/>
                <w:color w:val="000000"/>
                <w:sz w:val="18"/>
                <w:szCs w:val="18"/>
                <w:lang w:eastAsia="en-US"/>
              </w:rPr>
              <w:t>: 2</w:t>
            </w:r>
            <w:r w:rsidRPr="00ED144B">
              <w:rPr>
                <w:rFonts w:ascii="Calibri" w:eastAsia="Times New Roman" w:hAnsi="Calibri" w:cs="Times New Roman"/>
                <w:color w:val="000000"/>
                <w:sz w:val="18"/>
                <w:szCs w:val="18"/>
                <w:lang w:eastAsia="en-US"/>
              </w:rPr>
              <w:t xml:space="preserve"> par mois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A/R</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43,200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393274" w:rsidP="00550DD9">
            <w:pPr>
              <w:spacing w:after="0" w:line="240" w:lineRule="auto"/>
              <w:rPr>
                <w:rFonts w:ascii="Calibri" w:eastAsia="Times New Roman" w:hAnsi="Calibri" w:cs="Times New Roman"/>
                <w:color w:val="000000"/>
                <w:sz w:val="18"/>
                <w:szCs w:val="18"/>
                <w:lang w:eastAsia="en-US"/>
              </w:rPr>
            </w:pPr>
            <w:r w:rsidRPr="00550DD9">
              <w:rPr>
                <w:rFonts w:ascii="Calibri" w:eastAsia="Times New Roman" w:hAnsi="Calibri" w:cs="Times New Roman"/>
                <w:color w:val="000000"/>
                <w:sz w:val="18"/>
                <w:szCs w:val="18"/>
                <w:lang w:eastAsia="en-US"/>
              </w:rPr>
              <w:t>fret</w:t>
            </w:r>
            <w:r w:rsidR="00550DD9" w:rsidRPr="00ED144B">
              <w:rPr>
                <w:rFonts w:ascii="Calibri" w:eastAsia="Times New Roman" w:hAnsi="Calibri" w:cs="Times New Roman"/>
                <w:color w:val="000000"/>
                <w:sz w:val="18"/>
                <w:szCs w:val="18"/>
                <w:lang w:eastAsia="en-US"/>
              </w:rPr>
              <w:t xml:space="preserve"> national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 / an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TRANSPORT AERIEN</w:t>
            </w:r>
          </w:p>
        </w:tc>
        <w:tc>
          <w:tcPr>
            <w:tcW w:w="116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114,000  </w:t>
            </w:r>
          </w:p>
        </w:tc>
        <w:tc>
          <w:tcPr>
            <w:tcW w:w="980"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114,000  </w:t>
            </w:r>
          </w:p>
        </w:tc>
        <w:tc>
          <w:tcPr>
            <w:tcW w:w="67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III</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393274"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E</w:t>
            </w:r>
            <w:r w:rsidR="00550DD9" w:rsidRPr="00ED144B">
              <w:rPr>
                <w:rFonts w:ascii="Calibri" w:eastAsia="Times New Roman" w:hAnsi="Calibri" w:cs="Times New Roman"/>
                <w:b/>
                <w:bCs/>
                <w:color w:val="000000"/>
                <w:sz w:val="18"/>
                <w:szCs w:val="18"/>
                <w:lang w:eastAsia="en-US"/>
              </w:rPr>
              <w:t xml:space="preserve">quipements </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2 voitures de brousse (chef de projet, adjoint)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130,000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motos tous terrains (tous personnels de b</w:t>
            </w:r>
            <w:r w:rsidR="00393274">
              <w:rPr>
                <w:rFonts w:ascii="Calibri" w:eastAsia="Times New Roman" w:hAnsi="Calibri" w:cs="Times New Roman"/>
                <w:color w:val="000000"/>
                <w:sz w:val="18"/>
                <w:szCs w:val="18"/>
                <w:lang w:eastAsia="en-US"/>
              </w:rPr>
              <w:t>ase plus secrétaire adjoint CARTs, plus divers contrats ONGs</w:t>
            </w:r>
            <w:r w:rsidRPr="00ED144B">
              <w:rPr>
                <w:rFonts w:ascii="Calibri" w:eastAsia="Times New Roman" w:hAnsi="Calibri" w:cs="Times New Roman"/>
                <w:color w:val="000000"/>
                <w:sz w:val="18"/>
                <w:szCs w:val="18"/>
                <w:lang w:eastAsia="en-US"/>
              </w:rPr>
              <w: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  </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vélos pour les agents des services techniques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130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10,400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canots rapides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tracteurs de 80 CV avec remorque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5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d'ordinateurs et imprimantes (bases et personnel d'encadrement)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meubles et équipements de bureaux</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GPS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et installation d'équipements internet VSAT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construction des bureaux du projet pour Inongo, Kiri et Oswhe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225,000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EQUIPEMENTS</w:t>
            </w:r>
          </w:p>
        </w:tc>
        <w:tc>
          <w:tcPr>
            <w:tcW w:w="116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268,230  </w:t>
            </w:r>
          </w:p>
        </w:tc>
        <w:tc>
          <w:tcPr>
            <w:tcW w:w="1138"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994,900  </w:t>
            </w:r>
          </w:p>
        </w:tc>
        <w:tc>
          <w:tcPr>
            <w:tcW w:w="980"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994,900  </w:t>
            </w:r>
          </w:p>
        </w:tc>
        <w:tc>
          <w:tcPr>
            <w:tcW w:w="67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5%</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IV</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F</w:t>
            </w:r>
            <w:r w:rsidR="00550DD9" w:rsidRPr="00ED144B">
              <w:rPr>
                <w:rFonts w:ascii="Calibri" w:eastAsia="Times New Roman" w:hAnsi="Calibri" w:cs="Times New Roman"/>
                <w:b/>
                <w:bCs/>
                <w:color w:val="000000"/>
                <w:sz w:val="18"/>
                <w:szCs w:val="18"/>
                <w:lang w:eastAsia="en-US"/>
              </w:rPr>
              <w:t>onctionnement projet</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Kinshasa</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Nioki</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territoire Kutu</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voitures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86,400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tracteurs</w:t>
            </w:r>
          </w:p>
        </w:tc>
        <w:tc>
          <w:tcPr>
            <w:tcW w:w="1160"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156,000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moto</w:t>
            </w:r>
          </w:p>
        </w:tc>
        <w:tc>
          <w:tcPr>
            <w:tcW w:w="1160"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186,000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des canots rapides</w:t>
            </w:r>
          </w:p>
        </w:tc>
        <w:tc>
          <w:tcPr>
            <w:tcW w:w="1160"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49,600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bureau </w:t>
            </w:r>
          </w:p>
        </w:tc>
        <w:tc>
          <w:tcPr>
            <w:tcW w:w="1160"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communication téléphoniques</w:t>
            </w:r>
          </w:p>
        </w:tc>
        <w:tc>
          <w:tcPr>
            <w:tcW w:w="1160"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43,200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internet (Kinshasa, 4 bases territoires, base Nioki)</w:t>
            </w:r>
          </w:p>
        </w:tc>
        <w:tc>
          <w:tcPr>
            <w:tcW w:w="1160"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43,200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FONCTIONNEMENT DE PROJET</w:t>
            </w:r>
          </w:p>
        </w:tc>
        <w:tc>
          <w:tcPr>
            <w:tcW w:w="116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726,400  </w:t>
            </w:r>
          </w:p>
        </w:tc>
        <w:tc>
          <w:tcPr>
            <w:tcW w:w="980"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726,400  </w:t>
            </w:r>
          </w:p>
        </w:tc>
        <w:tc>
          <w:tcPr>
            <w:tcW w:w="67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4%</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Activités</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Gouvernance des ressources naturelles du District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10"/>
        </w:trPr>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des plans de secteur ou groupement (dans les cas de grands groupements)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secteur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des plans de territoire actualisés tous les deux ans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du plan de district actualisé tous les deux ans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district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réunion des CARTs de groupements 1/4 mois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réunions des CARTs de territoire 1/4 mois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formations des juges de paix et des agents du cadastre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Réunions de large information au </w:t>
            </w:r>
            <w:r w:rsidR="005F38C7" w:rsidRPr="00550DD9">
              <w:rPr>
                <w:rFonts w:ascii="Calibri" w:eastAsia="Times New Roman" w:hAnsi="Calibri" w:cs="Times New Roman"/>
                <w:color w:val="000000"/>
                <w:sz w:val="18"/>
                <w:szCs w:val="18"/>
                <w:lang w:eastAsia="en-US"/>
              </w:rPr>
              <w:t>chef-lieu</w:t>
            </w:r>
            <w:r w:rsidRPr="00ED144B">
              <w:rPr>
                <w:rFonts w:ascii="Calibri" w:eastAsia="Times New Roman" w:hAnsi="Calibri" w:cs="Times New Roman"/>
                <w:color w:val="000000"/>
                <w:sz w:val="18"/>
                <w:szCs w:val="18"/>
                <w:lang w:eastAsia="en-US"/>
              </w:rPr>
              <w:t xml:space="preserve"> provincial (une par an)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 atelier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avec les radios communautaires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annuels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49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sz w:val="18"/>
                <w:szCs w:val="18"/>
                <w:lang w:eastAsia="en-US"/>
              </w:rPr>
            </w:pPr>
            <w:r>
              <w:rPr>
                <w:rFonts w:ascii="Calibri" w:eastAsia="Times New Roman" w:hAnsi="Calibri" w:cs="Times New Roman"/>
                <w:b/>
                <w:bCs/>
                <w:sz w:val="18"/>
                <w:szCs w:val="18"/>
                <w:lang w:eastAsia="en-US"/>
              </w:rPr>
              <w:t>S</w:t>
            </w:r>
            <w:r w:rsidR="00550DD9" w:rsidRPr="00ED144B">
              <w:rPr>
                <w:rFonts w:ascii="Calibri" w:eastAsia="Times New Roman" w:hAnsi="Calibri" w:cs="Times New Roman"/>
                <w:b/>
                <w:bCs/>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xml:space="preserve">209,000  </w:t>
            </w:r>
          </w:p>
        </w:tc>
        <w:tc>
          <w:tcPr>
            <w:tcW w:w="980"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1297"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Renforcement des capacités des services techniques décentralisés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motivation des agents de contrôle forestier, 5 par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agent/mois</w:t>
            </w:r>
          </w:p>
        </w:tc>
        <w:tc>
          <w:tcPr>
            <w:tcW w:w="99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  </w:t>
            </w:r>
          </w:p>
        </w:tc>
        <w:tc>
          <w:tcPr>
            <w:tcW w:w="113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49,600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 des agents de contrôle forestier</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appui logistique au Conseil Provincial des Forêts   (1 par an)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Agriculture </w:t>
            </w:r>
            <w:r w:rsidR="005F38C7" w:rsidRPr="00550DD9">
              <w:rPr>
                <w:rFonts w:ascii="Calibri" w:eastAsia="Times New Roman" w:hAnsi="Calibri" w:cs="Times New Roman"/>
                <w:color w:val="000000"/>
                <w:sz w:val="18"/>
                <w:szCs w:val="18"/>
                <w:lang w:eastAsia="en-US"/>
              </w:rPr>
              <w:t>: motivation</w:t>
            </w:r>
            <w:r w:rsidRPr="00ED144B">
              <w:rPr>
                <w:rFonts w:ascii="Calibri" w:eastAsia="Times New Roman" w:hAnsi="Calibri" w:cs="Times New Roman"/>
                <w:color w:val="000000"/>
                <w:sz w:val="18"/>
                <w:szCs w:val="18"/>
                <w:lang w:eastAsia="en-US"/>
              </w:rPr>
              <w:t xml:space="preserve"> des agents sélectionnés pour réalisation des activités de vulgarisation. 5 agents par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agent/mois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31</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49,600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Affaires foncières motivation  des agents sélectionnés pour réalisation des objectifs fonciers des plans. 1 agent par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Intérieur : motivation des AT et chefs de secteur pour la réalisation et le suivi évaluation des contrats de PDD</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suivi évaluation par les directions provinciales des ST décentralisés (Coordination environnement, inspection provinciale agriculture…)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22,500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d'équipements divers pour les services techniques (papèterie, matériel de bureau, vélos...)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27,000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moteurs </w:t>
            </w:r>
            <w:r w:rsidR="005F38C7" w:rsidRPr="00550DD9">
              <w:rPr>
                <w:rFonts w:ascii="Calibri" w:eastAsia="Times New Roman" w:hAnsi="Calibri" w:cs="Times New Roman"/>
                <w:color w:val="000000"/>
                <w:sz w:val="18"/>
                <w:szCs w:val="18"/>
                <w:lang w:eastAsia="en-US"/>
              </w:rPr>
              <w:t>hors-bord</w:t>
            </w:r>
            <w:r w:rsidR="005F38C7">
              <w:rPr>
                <w:rFonts w:ascii="Calibri" w:eastAsia="Times New Roman" w:hAnsi="Calibri" w:cs="Times New Roman"/>
                <w:color w:val="000000"/>
                <w:sz w:val="18"/>
                <w:szCs w:val="18"/>
                <w:lang w:eastAsia="en-US"/>
              </w:rPr>
              <w:t xml:space="preserve"> pour</w:t>
            </w:r>
            <w:r w:rsidRPr="00ED144B">
              <w:rPr>
                <w:rFonts w:ascii="Calibri" w:eastAsia="Times New Roman" w:hAnsi="Calibri" w:cs="Times New Roman"/>
                <w:color w:val="000000"/>
                <w:sz w:val="18"/>
                <w:szCs w:val="18"/>
                <w:lang w:eastAsia="en-US"/>
              </w:rPr>
              <w:t xml:space="preserve"> pirogues du Minagri pour suivi des contrats de pêche (15 CV) 2 par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w:t>
            </w:r>
            <w:r w:rsidR="005F38C7">
              <w:rPr>
                <w:rFonts w:ascii="Calibri" w:eastAsia="Times New Roman" w:hAnsi="Calibri" w:cs="Times New Roman"/>
                <w:color w:val="000000"/>
                <w:sz w:val="18"/>
                <w:szCs w:val="18"/>
                <w:lang w:eastAsia="en-US"/>
              </w:rPr>
              <w:t>ement annuel des hors-bords</w:t>
            </w:r>
            <w:r w:rsidRPr="00ED144B">
              <w:rPr>
                <w:rFonts w:ascii="Calibri" w:eastAsia="Times New Roman" w:hAnsi="Calibri" w:cs="Times New Roman"/>
                <w:color w:val="000000"/>
                <w:sz w:val="18"/>
                <w:szCs w:val="18"/>
                <w:lang w:eastAsia="en-US"/>
              </w:rPr>
              <w:t xml:space="preserve"> (2 tournées par an)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49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sz w:val="18"/>
                <w:szCs w:val="18"/>
                <w:lang w:eastAsia="en-US"/>
              </w:rPr>
            </w:pPr>
            <w:r>
              <w:rPr>
                <w:rFonts w:ascii="Calibri" w:eastAsia="Times New Roman" w:hAnsi="Calibri" w:cs="Times New Roman"/>
                <w:b/>
                <w:bCs/>
                <w:sz w:val="18"/>
                <w:szCs w:val="18"/>
                <w:lang w:eastAsia="en-US"/>
              </w:rPr>
              <w:t>S</w:t>
            </w:r>
            <w:r w:rsidR="00550DD9" w:rsidRPr="00ED144B">
              <w:rPr>
                <w:rFonts w:ascii="Calibri" w:eastAsia="Times New Roman" w:hAnsi="Calibri" w:cs="Times New Roman"/>
                <w:b/>
                <w:bCs/>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230,600  </w:t>
            </w:r>
          </w:p>
        </w:tc>
        <w:tc>
          <w:tcPr>
            <w:tcW w:w="98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Réalisation des investissements structurants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District du Mai-Ndombe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entretien des routes à 400 dollars par an soit 33 dollars/km/</w:t>
            </w:r>
            <w:r w:rsidR="005F38C7" w:rsidRPr="00550DD9">
              <w:rPr>
                <w:rFonts w:ascii="Calibri" w:eastAsia="Times New Roman" w:hAnsi="Calibri" w:cs="Times New Roman"/>
                <w:color w:val="000000"/>
                <w:sz w:val="18"/>
                <w:szCs w:val="18"/>
                <w:lang w:eastAsia="en-US"/>
              </w:rPr>
              <w:t>mois,</w:t>
            </w:r>
            <w:r w:rsidRPr="00ED144B">
              <w:rPr>
                <w:rFonts w:ascii="Calibri" w:eastAsia="Times New Roman" w:hAnsi="Calibri" w:cs="Times New Roman"/>
                <w:color w:val="000000"/>
                <w:sz w:val="18"/>
                <w:szCs w:val="18"/>
                <w:lang w:eastAsia="en-US"/>
              </w:rPr>
              <w:t xml:space="preserve"> 500 km de points chauds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km/an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construction de ponts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1,000,000  </w:t>
            </w:r>
          </w:p>
        </w:tc>
        <w:tc>
          <w:tcPr>
            <w:tcW w:w="9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équipements de transformation des produits agricoles </w:t>
            </w:r>
            <w:r w:rsidR="005F38C7" w:rsidRPr="00550DD9">
              <w:rPr>
                <w:rFonts w:ascii="Calibri" w:eastAsia="Times New Roman" w:hAnsi="Calibri" w:cs="Times New Roman"/>
                <w:color w:val="000000"/>
                <w:sz w:val="18"/>
                <w:szCs w:val="18"/>
                <w:lang w:eastAsia="en-US"/>
              </w:rPr>
              <w:t>(4</w:t>
            </w:r>
            <w:r w:rsidRPr="00ED144B">
              <w:rPr>
                <w:rFonts w:ascii="Calibri" w:eastAsia="Times New Roman" w:hAnsi="Calibri" w:cs="Times New Roman"/>
                <w:color w:val="000000"/>
                <w:sz w:val="18"/>
                <w:szCs w:val="18"/>
                <w:lang w:eastAsia="en-US"/>
              </w:rPr>
              <w:t xml:space="preserve"> par territoire)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160,000  </w:t>
            </w:r>
          </w:p>
        </w:tc>
        <w:tc>
          <w:tcPr>
            <w:tcW w:w="980"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District des Plateaux</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40"/>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4</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entretien des routes à 500 dollars par an soit 33 dollars/km/</w:t>
            </w:r>
            <w:r w:rsidR="005F38C7" w:rsidRPr="00550DD9">
              <w:rPr>
                <w:rFonts w:ascii="Calibri" w:eastAsia="Times New Roman" w:hAnsi="Calibri" w:cs="Times New Roman"/>
                <w:color w:val="000000"/>
                <w:sz w:val="18"/>
                <w:szCs w:val="18"/>
                <w:lang w:eastAsia="en-US"/>
              </w:rPr>
              <w:t>mois,</w:t>
            </w:r>
            <w:r w:rsidRPr="00ED144B">
              <w:rPr>
                <w:rFonts w:ascii="Calibri" w:eastAsia="Times New Roman" w:hAnsi="Calibri" w:cs="Times New Roman"/>
                <w:color w:val="000000"/>
                <w:sz w:val="18"/>
                <w:szCs w:val="18"/>
                <w:lang w:eastAsia="en-US"/>
              </w:rPr>
              <w:t xml:space="preserve"> 200 km de points chauds</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km/an</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200</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240,000  </w:t>
            </w:r>
          </w:p>
        </w:tc>
        <w:tc>
          <w:tcPr>
            <w:tcW w:w="980"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40"/>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5</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construction de ponts dont redressement de Ngamboko entre Yumbi et Bolobo</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508,788  </w:t>
            </w:r>
          </w:p>
        </w:tc>
        <w:tc>
          <w:tcPr>
            <w:tcW w:w="113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508,788  </w:t>
            </w:r>
          </w:p>
        </w:tc>
        <w:tc>
          <w:tcPr>
            <w:tcW w:w="980"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6</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bac de Lediba</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1138"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980"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3,008,788  </w:t>
            </w:r>
          </w:p>
        </w:tc>
        <w:tc>
          <w:tcPr>
            <w:tcW w:w="980" w:type="dxa"/>
            <w:tcBorders>
              <w:top w:val="single" w:sz="4" w:space="0" w:color="auto"/>
              <w:left w:val="nil"/>
              <w:bottom w:val="nil"/>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single" w:sz="4" w:space="0" w:color="auto"/>
              <w:left w:val="nil"/>
              <w:bottom w:val="nil"/>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D</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Aide aux CLD à planifier la meilleure gestion des Ressources naturelles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avec ONG pour création ou renforcement des CLD et réalisation des PDD</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99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9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frais d'atelier de programmatio</w:t>
            </w:r>
            <w:r w:rsidR="00EA7F75">
              <w:rPr>
                <w:rFonts w:ascii="Calibri" w:eastAsia="Times New Roman" w:hAnsi="Calibri" w:cs="Times New Roman"/>
                <w:color w:val="000000"/>
                <w:sz w:val="18"/>
                <w:szCs w:val="18"/>
                <w:lang w:eastAsia="en-US"/>
              </w:rPr>
              <w:t>n et de suivi évaluation des PSG</w:t>
            </w:r>
            <w:r w:rsidRPr="00ED144B">
              <w:rPr>
                <w:rFonts w:ascii="Calibri" w:eastAsia="Times New Roman" w:hAnsi="Calibri" w:cs="Times New Roman"/>
                <w:color w:val="000000"/>
                <w:sz w:val="18"/>
                <w:szCs w:val="18"/>
                <w:lang w:eastAsia="en-US"/>
              </w:rPr>
              <w:t xml:space="preserve"> de CLD</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CLD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enregistrement des statuts, des plans, des contrats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institution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1,230,000  </w:t>
            </w:r>
          </w:p>
        </w:tc>
        <w:tc>
          <w:tcPr>
            <w:tcW w:w="980" w:type="dxa"/>
            <w:tcBorders>
              <w:top w:val="nil"/>
              <w:left w:val="single" w:sz="4" w:space="0" w:color="auto"/>
              <w:bottom w:val="nil"/>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nil"/>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nil"/>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E</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r w:rsidR="00EA7F75">
              <w:rPr>
                <w:rFonts w:ascii="Calibri" w:eastAsia="Times New Roman" w:hAnsi="Calibri" w:cs="Times New Roman"/>
                <w:b/>
                <w:bCs/>
                <w:color w:val="000000"/>
                <w:sz w:val="18"/>
                <w:szCs w:val="18"/>
                <w:lang w:eastAsia="en-US"/>
              </w:rPr>
              <w:t>ppui aux investissements des PSG</w:t>
            </w:r>
            <w:r w:rsidRPr="00ED144B">
              <w:rPr>
                <w:rFonts w:ascii="Calibri" w:eastAsia="Times New Roman" w:hAnsi="Calibri" w:cs="Times New Roman"/>
                <w:b/>
                <w:bCs/>
                <w:color w:val="000000"/>
                <w:sz w:val="18"/>
                <w:szCs w:val="18"/>
                <w:lang w:eastAsia="en-US"/>
              </w:rPr>
              <w:t xml:space="preserve"> de CLD et à la recherche développement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ONG appui technique sectoriel 3 par territoire, 5 ans : pêche, agriculture, foret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180,000  </w:t>
            </w:r>
          </w:p>
        </w:tc>
        <w:tc>
          <w:tcPr>
            <w:tcW w:w="980" w:type="dxa"/>
            <w:tcBorders>
              <w:top w:val="single" w:sz="4" w:space="0" w:color="auto"/>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équipement des pépinières agroforestières de CLD (</w:t>
            </w:r>
            <w:r w:rsidR="00AD79C3" w:rsidRPr="00550DD9">
              <w:rPr>
                <w:rFonts w:ascii="Calibri" w:eastAsia="Times New Roman" w:hAnsi="Calibri" w:cs="Times New Roman"/>
                <w:color w:val="000000"/>
                <w:sz w:val="18"/>
                <w:szCs w:val="18"/>
                <w:lang w:eastAsia="en-US"/>
              </w:rPr>
              <w:t>râteaux</w:t>
            </w:r>
            <w:r w:rsidRPr="00ED144B">
              <w:rPr>
                <w:rFonts w:ascii="Calibri" w:eastAsia="Times New Roman" w:hAnsi="Calibri" w:cs="Times New Roman"/>
                <w:color w:val="000000"/>
                <w:sz w:val="18"/>
                <w:szCs w:val="18"/>
                <w:lang w:eastAsia="en-US"/>
              </w:rPr>
              <w:t>, brouettes…) pour 600 pépinières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pépinière</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semences pour les pépinières agroforestières une pour deux villages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648,000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48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création de parcs à bois manioc tous les CLD (y compris achat bouture) 1/2 ha par CLD</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79,200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semences de maïs amélioré pour 1/2 ha de champ de multiplication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kg</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25</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360</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27,000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mise en place de la cogestion de la pêche responsable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appuis aux organisations de pêcheurs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an</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55"/>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autres investissements programmés par les PDD</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1138"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1,814,200  </w:t>
            </w:r>
          </w:p>
        </w:tc>
        <w:tc>
          <w:tcPr>
            <w:tcW w:w="980"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F</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Contrats pour paiement au Résultat</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0F7EB4" w:rsidRDefault="00550DD9" w:rsidP="00550DD9">
            <w:pPr>
              <w:spacing w:after="0" w:line="240" w:lineRule="auto"/>
              <w:rPr>
                <w:rFonts w:ascii="Calibri" w:eastAsia="Times New Roman" w:hAnsi="Calibri" w:cs="Times New Roman"/>
                <w:color w:val="FF0000"/>
                <w:sz w:val="18"/>
                <w:szCs w:val="18"/>
                <w:lang w:eastAsia="en-US"/>
              </w:rPr>
            </w:pPr>
            <w:r w:rsidRPr="000F7EB4">
              <w:rPr>
                <w:rFonts w:ascii="Calibri" w:eastAsia="Times New Roman" w:hAnsi="Calibri" w:cs="Times New Roman"/>
                <w:color w:val="FF0000"/>
                <w:sz w:val="18"/>
                <w:szCs w:val="18"/>
                <w:lang w:eastAsia="en-US"/>
              </w:rPr>
              <w:t xml:space="preserve">Développement de l'agriculture en </w:t>
            </w:r>
            <w:r w:rsidR="005F38C7" w:rsidRPr="000F7EB4">
              <w:rPr>
                <w:rFonts w:ascii="Calibri" w:eastAsia="Times New Roman" w:hAnsi="Calibri" w:cs="Times New Roman"/>
                <w:color w:val="FF0000"/>
                <w:sz w:val="18"/>
                <w:szCs w:val="18"/>
                <w:lang w:eastAsia="en-US"/>
              </w:rPr>
              <w:t>savane</w:t>
            </w:r>
            <w:r w:rsidRPr="000F7EB4">
              <w:rPr>
                <w:rFonts w:ascii="Calibri" w:eastAsia="Times New Roman" w:hAnsi="Calibri" w:cs="Times New Roman"/>
                <w:color w:val="FF0000"/>
                <w:sz w:val="18"/>
                <w:szCs w:val="18"/>
                <w:lang w:eastAsia="en-US"/>
              </w:rPr>
              <w:t xml:space="preserve"> (Modèle 1)</w:t>
            </w:r>
          </w:p>
        </w:tc>
        <w:tc>
          <w:tcPr>
            <w:tcW w:w="1160"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nil"/>
              <w:left w:val="nil"/>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  </w:t>
            </w:r>
          </w:p>
        </w:tc>
        <w:tc>
          <w:tcPr>
            <w:tcW w:w="1138" w:type="dxa"/>
            <w:tcBorders>
              <w:top w:val="nil"/>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20,000</w:t>
            </w:r>
          </w:p>
        </w:tc>
        <w:tc>
          <w:tcPr>
            <w:tcW w:w="953" w:type="dxa"/>
            <w:tcBorders>
              <w:top w:val="nil"/>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720,000  </w:t>
            </w:r>
          </w:p>
        </w:tc>
        <w:tc>
          <w:tcPr>
            <w:tcW w:w="980" w:type="dxa"/>
            <w:tcBorders>
              <w:top w:val="nil"/>
              <w:left w:val="single" w:sz="4" w:space="0" w:color="auto"/>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0F7EB4" w:rsidRDefault="00550DD9" w:rsidP="00550DD9">
            <w:pPr>
              <w:spacing w:after="0" w:line="240" w:lineRule="auto"/>
              <w:rPr>
                <w:rFonts w:ascii="Calibri" w:eastAsia="Times New Roman" w:hAnsi="Calibri" w:cs="Times New Roman"/>
                <w:color w:val="FF0000"/>
                <w:sz w:val="18"/>
                <w:szCs w:val="18"/>
                <w:lang w:eastAsia="en-US"/>
              </w:rPr>
            </w:pPr>
            <w:r w:rsidRPr="000F7EB4">
              <w:rPr>
                <w:rFonts w:ascii="Calibri" w:eastAsia="Times New Roman" w:hAnsi="Calibri" w:cs="Times New Roman"/>
                <w:color w:val="FF0000"/>
                <w:sz w:val="18"/>
                <w:szCs w:val="18"/>
                <w:lang w:eastAsia="en-US"/>
              </w:rPr>
              <w:t xml:space="preserve">Développement de l'agriculture en </w:t>
            </w:r>
            <w:r w:rsidR="005F38C7" w:rsidRPr="000F7EB4">
              <w:rPr>
                <w:rFonts w:ascii="Calibri" w:eastAsia="Times New Roman" w:hAnsi="Calibri" w:cs="Times New Roman"/>
                <w:color w:val="FF0000"/>
                <w:sz w:val="18"/>
                <w:szCs w:val="18"/>
                <w:lang w:eastAsia="en-US"/>
              </w:rPr>
              <w:t>savane</w:t>
            </w:r>
            <w:r w:rsidRPr="000F7EB4">
              <w:rPr>
                <w:rFonts w:ascii="Calibri" w:eastAsia="Times New Roman" w:hAnsi="Calibri" w:cs="Times New Roman"/>
                <w:color w:val="FF0000"/>
                <w:sz w:val="18"/>
                <w:szCs w:val="18"/>
                <w:lang w:eastAsia="en-US"/>
              </w:rPr>
              <w:t xml:space="preserve"> (Modèle 2)</w:t>
            </w:r>
          </w:p>
        </w:tc>
        <w:tc>
          <w:tcPr>
            <w:tcW w:w="1160"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  </w:t>
            </w:r>
          </w:p>
        </w:tc>
        <w:tc>
          <w:tcPr>
            <w:tcW w:w="1138"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953"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900,000  </w:t>
            </w:r>
          </w:p>
        </w:tc>
        <w:tc>
          <w:tcPr>
            <w:tcW w:w="980" w:type="dxa"/>
            <w:tcBorders>
              <w:top w:val="single" w:sz="4" w:space="0" w:color="auto"/>
              <w:left w:val="single" w:sz="4" w:space="0" w:color="auto"/>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0F7EB4" w:rsidRDefault="00550DD9" w:rsidP="00550DD9">
            <w:pPr>
              <w:spacing w:after="0" w:line="240" w:lineRule="auto"/>
              <w:rPr>
                <w:rFonts w:ascii="Calibri" w:eastAsia="Times New Roman" w:hAnsi="Calibri" w:cs="Times New Roman"/>
                <w:color w:val="FF0000"/>
                <w:sz w:val="18"/>
                <w:szCs w:val="18"/>
                <w:lang w:eastAsia="en-US"/>
              </w:rPr>
            </w:pPr>
            <w:r w:rsidRPr="000F7EB4">
              <w:rPr>
                <w:rFonts w:ascii="Calibri" w:eastAsia="Times New Roman" w:hAnsi="Calibri" w:cs="Times New Roman"/>
                <w:color w:val="FF0000"/>
                <w:sz w:val="18"/>
                <w:szCs w:val="18"/>
                <w:lang w:eastAsia="en-US"/>
              </w:rPr>
              <w:t xml:space="preserve">Développement de l'agriculture en </w:t>
            </w:r>
            <w:r w:rsidR="005F38C7" w:rsidRPr="000F7EB4">
              <w:rPr>
                <w:rFonts w:ascii="Calibri" w:eastAsia="Times New Roman" w:hAnsi="Calibri" w:cs="Times New Roman"/>
                <w:color w:val="FF0000"/>
                <w:sz w:val="18"/>
                <w:szCs w:val="18"/>
                <w:lang w:eastAsia="en-US"/>
              </w:rPr>
              <w:t>savane</w:t>
            </w:r>
            <w:r w:rsidRPr="000F7EB4">
              <w:rPr>
                <w:rFonts w:ascii="Calibri" w:eastAsia="Times New Roman" w:hAnsi="Calibri" w:cs="Times New Roman"/>
                <w:color w:val="FF0000"/>
                <w:sz w:val="18"/>
                <w:szCs w:val="18"/>
                <w:lang w:eastAsia="en-US"/>
              </w:rPr>
              <w:t xml:space="preserve"> (Modèle 3)</w:t>
            </w:r>
          </w:p>
        </w:tc>
        <w:tc>
          <w:tcPr>
            <w:tcW w:w="1160"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230  </w:t>
            </w:r>
          </w:p>
        </w:tc>
        <w:tc>
          <w:tcPr>
            <w:tcW w:w="1138"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5,000</w:t>
            </w:r>
          </w:p>
        </w:tc>
        <w:tc>
          <w:tcPr>
            <w:tcW w:w="953"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690,000  </w:t>
            </w:r>
          </w:p>
        </w:tc>
        <w:tc>
          <w:tcPr>
            <w:tcW w:w="980" w:type="dxa"/>
            <w:tcBorders>
              <w:top w:val="single" w:sz="4" w:space="0" w:color="auto"/>
              <w:left w:val="single" w:sz="4" w:space="0" w:color="auto"/>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48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0F7EB4" w:rsidRDefault="00550DD9" w:rsidP="00550DD9">
            <w:pPr>
              <w:spacing w:after="0" w:line="240" w:lineRule="auto"/>
              <w:rPr>
                <w:rFonts w:ascii="Calibri" w:eastAsia="Times New Roman" w:hAnsi="Calibri" w:cs="Times New Roman"/>
                <w:color w:val="FF0000"/>
                <w:sz w:val="18"/>
                <w:szCs w:val="18"/>
                <w:lang w:eastAsia="en-US"/>
              </w:rPr>
            </w:pPr>
            <w:r w:rsidRPr="000F7EB4">
              <w:rPr>
                <w:rFonts w:ascii="Calibri" w:eastAsia="Times New Roman" w:hAnsi="Calibri" w:cs="Times New Roman"/>
                <w:color w:val="FF0000"/>
                <w:sz w:val="18"/>
                <w:szCs w:val="18"/>
                <w:lang w:eastAsia="en-US"/>
              </w:rPr>
              <w:t>Développement des cultures pérennes en alternative aux cultures vivrières sur jachère brulis</w:t>
            </w:r>
          </w:p>
        </w:tc>
        <w:tc>
          <w:tcPr>
            <w:tcW w:w="1160"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260  </w:t>
            </w:r>
          </w:p>
        </w:tc>
        <w:tc>
          <w:tcPr>
            <w:tcW w:w="1138"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953"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1,560,000  </w:t>
            </w:r>
          </w:p>
        </w:tc>
        <w:tc>
          <w:tcPr>
            <w:tcW w:w="980" w:type="dxa"/>
            <w:tcBorders>
              <w:top w:val="single" w:sz="4" w:space="0" w:color="auto"/>
              <w:left w:val="single" w:sz="4" w:space="0" w:color="auto"/>
              <w:bottom w:val="nil"/>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single" w:sz="4" w:space="0" w:color="auto"/>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380" w:type="dxa"/>
            <w:tcBorders>
              <w:top w:val="nil"/>
              <w:left w:val="nil"/>
              <w:bottom w:val="single" w:sz="4" w:space="0" w:color="auto"/>
              <w:right w:val="single" w:sz="4" w:space="0" w:color="auto"/>
            </w:tcBorders>
            <w:shd w:val="clear" w:color="auto" w:fill="auto"/>
            <w:vAlign w:val="center"/>
            <w:hideMark/>
          </w:tcPr>
          <w:p w:rsidR="00550DD9" w:rsidRPr="000F7EB4" w:rsidRDefault="00550DD9" w:rsidP="00550DD9">
            <w:pPr>
              <w:spacing w:after="0" w:line="240" w:lineRule="auto"/>
              <w:rPr>
                <w:rFonts w:ascii="Calibri" w:eastAsia="Times New Roman" w:hAnsi="Calibri" w:cs="Times New Roman"/>
                <w:color w:val="FF0000"/>
                <w:sz w:val="18"/>
                <w:szCs w:val="18"/>
                <w:lang w:eastAsia="en-US"/>
              </w:rPr>
            </w:pPr>
            <w:r w:rsidRPr="000F7EB4">
              <w:rPr>
                <w:rFonts w:ascii="Calibri" w:eastAsia="Times New Roman" w:hAnsi="Calibri" w:cs="Times New Roman"/>
                <w:color w:val="FF0000"/>
                <w:sz w:val="18"/>
                <w:szCs w:val="18"/>
                <w:lang w:eastAsia="en-US"/>
              </w:rPr>
              <w:t xml:space="preserve">Mise en défens de </w:t>
            </w:r>
            <w:r w:rsidR="005F38C7" w:rsidRPr="000F7EB4">
              <w:rPr>
                <w:rFonts w:ascii="Calibri" w:eastAsia="Times New Roman" w:hAnsi="Calibri" w:cs="Times New Roman"/>
                <w:color w:val="FF0000"/>
                <w:sz w:val="18"/>
                <w:szCs w:val="18"/>
                <w:lang w:eastAsia="en-US"/>
              </w:rPr>
              <w:t>forêts</w:t>
            </w:r>
            <w:r w:rsidRPr="000F7EB4">
              <w:rPr>
                <w:rFonts w:ascii="Calibri" w:eastAsia="Times New Roman" w:hAnsi="Calibri" w:cs="Times New Roman"/>
                <w:color w:val="FF0000"/>
                <w:sz w:val="18"/>
                <w:szCs w:val="18"/>
                <w:lang w:eastAsia="en-US"/>
              </w:rPr>
              <w:t xml:space="preserve"> </w:t>
            </w:r>
            <w:r w:rsidR="005F38C7" w:rsidRPr="000F7EB4">
              <w:rPr>
                <w:rFonts w:ascii="Calibri" w:eastAsia="Times New Roman" w:hAnsi="Calibri" w:cs="Times New Roman"/>
                <w:color w:val="FF0000"/>
                <w:sz w:val="18"/>
                <w:szCs w:val="18"/>
                <w:lang w:eastAsia="en-US"/>
              </w:rPr>
              <w:t>à</w:t>
            </w:r>
            <w:r w:rsidRPr="000F7EB4">
              <w:rPr>
                <w:rFonts w:ascii="Calibri" w:eastAsia="Times New Roman" w:hAnsi="Calibri" w:cs="Times New Roman"/>
                <w:color w:val="FF0000"/>
                <w:sz w:val="18"/>
                <w:szCs w:val="18"/>
                <w:lang w:eastAsia="en-US"/>
              </w:rPr>
              <w:t xml:space="preserve"> haute valeur de conservation</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953" w:type="dxa"/>
            <w:tcBorders>
              <w:top w:val="single" w:sz="4" w:space="0" w:color="auto"/>
              <w:left w:val="nil"/>
              <w:bottom w:val="nil"/>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180,000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single" w:sz="4" w:space="0" w:color="auto"/>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sidRPr="005F38C7">
              <w:rPr>
                <w:rFonts w:ascii="Calibri" w:eastAsia="Times New Roman" w:hAnsi="Calibri" w:cs="Times New Roman"/>
                <w:b/>
                <w:bCs/>
                <w:color w:val="000000"/>
                <w:sz w:val="18"/>
                <w:szCs w:val="18"/>
                <w:lang w:eastAsia="en-US"/>
              </w:rPr>
              <w:t>Sous total</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single" w:sz="4" w:space="0" w:color="auto"/>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4,050,000  </w:t>
            </w:r>
          </w:p>
        </w:tc>
        <w:tc>
          <w:tcPr>
            <w:tcW w:w="98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Soutien au </w:t>
            </w:r>
            <w:r w:rsidR="005F38C7" w:rsidRPr="00550DD9">
              <w:rPr>
                <w:rFonts w:ascii="Calibri" w:eastAsia="Times New Roman" w:hAnsi="Calibri" w:cs="Times New Roman"/>
                <w:b/>
                <w:bCs/>
                <w:color w:val="000000"/>
                <w:sz w:val="18"/>
                <w:szCs w:val="18"/>
                <w:lang w:eastAsia="en-US"/>
              </w:rPr>
              <w:t>développement</w:t>
            </w:r>
            <w:r w:rsidRPr="00ED144B">
              <w:rPr>
                <w:rFonts w:ascii="Calibri" w:eastAsia="Times New Roman" w:hAnsi="Calibri" w:cs="Times New Roman"/>
                <w:b/>
                <w:bCs/>
                <w:color w:val="000000"/>
                <w:sz w:val="18"/>
                <w:szCs w:val="18"/>
                <w:lang w:eastAsia="en-US"/>
              </w:rPr>
              <w:t xml:space="preserve"> de </w:t>
            </w:r>
            <w:r w:rsidR="005F38C7" w:rsidRPr="00550DD9">
              <w:rPr>
                <w:rFonts w:ascii="Calibri" w:eastAsia="Times New Roman" w:hAnsi="Calibri" w:cs="Times New Roman"/>
                <w:b/>
                <w:bCs/>
                <w:color w:val="000000"/>
                <w:sz w:val="18"/>
                <w:szCs w:val="18"/>
                <w:lang w:eastAsia="en-US"/>
              </w:rPr>
              <w:t>filières</w:t>
            </w:r>
            <w:r w:rsidRPr="00ED144B">
              <w:rPr>
                <w:rFonts w:ascii="Calibri" w:eastAsia="Times New Roman" w:hAnsi="Calibri" w:cs="Times New Roman"/>
                <w:b/>
                <w:bCs/>
                <w:color w:val="000000"/>
                <w:sz w:val="18"/>
                <w:szCs w:val="18"/>
                <w:lang w:eastAsia="en-US"/>
              </w:rPr>
              <w:t xml:space="preserve"> (café, cacao, hévéa, huile de palme)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F2F2F2"/>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aval des filières dont appui aux commerçants et équipements </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xml:space="preserve">150,000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Assistance technique à l'animation de filière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xml:space="preserve">150,000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sidRPr="005F38C7">
              <w:rPr>
                <w:rFonts w:ascii="Calibri" w:eastAsia="Times New Roman" w:hAnsi="Calibri" w:cs="Times New Roman"/>
                <w:b/>
                <w:bCs/>
                <w:color w:val="000000"/>
                <w:sz w:val="18"/>
                <w:szCs w:val="18"/>
                <w:lang w:eastAsia="en-US"/>
              </w:rPr>
              <w:t>Sous total</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300,000  </w:t>
            </w:r>
          </w:p>
        </w:tc>
        <w:tc>
          <w:tcPr>
            <w:tcW w:w="980"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684"/>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H</w:t>
            </w:r>
          </w:p>
        </w:tc>
        <w:tc>
          <w:tcPr>
            <w:tcW w:w="6380" w:type="dxa"/>
            <w:tcBorders>
              <w:top w:val="nil"/>
              <w:left w:val="nil"/>
              <w:bottom w:val="single" w:sz="4" w:space="0" w:color="auto"/>
              <w:right w:val="single" w:sz="4" w:space="0" w:color="auto"/>
            </w:tcBorders>
            <w:shd w:val="clear" w:color="000000" w:fill="FFFFFF"/>
            <w:vAlign w:val="center"/>
            <w:hideMark/>
          </w:tcPr>
          <w:p w:rsidR="00550DD9" w:rsidRPr="00ED144B" w:rsidRDefault="00D82B88"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I</w:t>
            </w:r>
            <w:r w:rsidR="00550DD9" w:rsidRPr="00ED144B">
              <w:rPr>
                <w:rFonts w:ascii="Calibri" w:eastAsia="Times New Roman" w:hAnsi="Calibri" w:cs="Times New Roman"/>
                <w:b/>
                <w:bCs/>
                <w:color w:val="000000"/>
                <w:sz w:val="18"/>
                <w:szCs w:val="18"/>
                <w:lang w:eastAsia="en-US"/>
              </w:rPr>
              <w:t xml:space="preserve">nitiation au </w:t>
            </w:r>
            <w:r w:rsidR="005F38C7" w:rsidRPr="00550DD9">
              <w:rPr>
                <w:rFonts w:ascii="Calibri" w:eastAsia="Times New Roman" w:hAnsi="Calibri" w:cs="Times New Roman"/>
                <w:b/>
                <w:bCs/>
                <w:color w:val="000000"/>
                <w:sz w:val="18"/>
                <w:szCs w:val="18"/>
                <w:lang w:eastAsia="en-US"/>
              </w:rPr>
              <w:t>planning</w:t>
            </w:r>
            <w:r w:rsidR="00550DD9" w:rsidRPr="00ED144B">
              <w:rPr>
                <w:rFonts w:ascii="Calibri" w:eastAsia="Times New Roman" w:hAnsi="Calibri" w:cs="Times New Roman"/>
                <w:b/>
                <w:bCs/>
                <w:color w:val="000000"/>
                <w:sz w:val="18"/>
                <w:szCs w:val="18"/>
                <w:lang w:eastAsia="en-US"/>
              </w:rPr>
              <w:t xml:space="preserve"> familial (contrats avec ONG locale) et à la prévention d'Ebola et du VIH SIDA</w:t>
            </w:r>
          </w:p>
        </w:tc>
        <w:tc>
          <w:tcPr>
            <w:tcW w:w="1160"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provision annuelle par territoire</w:t>
            </w:r>
          </w:p>
        </w:tc>
        <w:tc>
          <w:tcPr>
            <w:tcW w:w="998" w:type="dxa"/>
            <w:tcBorders>
              <w:top w:val="nil"/>
              <w:left w:val="nil"/>
              <w:bottom w:val="single" w:sz="4" w:space="0" w:color="auto"/>
              <w:right w:val="nil"/>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50,000</w:t>
            </w:r>
          </w:p>
        </w:tc>
        <w:tc>
          <w:tcPr>
            <w:tcW w:w="1138" w:type="dxa"/>
            <w:tcBorders>
              <w:top w:val="nil"/>
              <w:left w:val="single" w:sz="4" w:space="0" w:color="auto"/>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300,000  </w:t>
            </w:r>
          </w:p>
        </w:tc>
        <w:tc>
          <w:tcPr>
            <w:tcW w:w="980" w:type="dxa"/>
            <w:tcBorders>
              <w:top w:val="nil"/>
              <w:left w:val="single" w:sz="4" w:space="0" w:color="auto"/>
              <w:bottom w:val="single" w:sz="4" w:space="0" w:color="auto"/>
              <w:right w:val="nil"/>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FFFFFF"/>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sidRPr="005F38C7">
              <w:rPr>
                <w:rFonts w:ascii="Calibri" w:eastAsia="Times New Roman" w:hAnsi="Calibri" w:cs="Times New Roman"/>
                <w:b/>
                <w:bCs/>
                <w:color w:val="000000"/>
                <w:sz w:val="18"/>
                <w:szCs w:val="18"/>
                <w:lang w:eastAsia="en-US"/>
              </w:rPr>
              <w:t>Sous total</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300,000  </w:t>
            </w:r>
          </w:p>
        </w:tc>
        <w:tc>
          <w:tcPr>
            <w:tcW w:w="980"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Plan pour les Peuples Autochtones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Consultation pour identifier les </w:t>
            </w:r>
            <w:r w:rsidR="005F38C7" w:rsidRPr="00550DD9">
              <w:rPr>
                <w:rFonts w:ascii="Calibri" w:eastAsia="Times New Roman" w:hAnsi="Calibri" w:cs="Times New Roman"/>
                <w:color w:val="000000"/>
                <w:sz w:val="18"/>
                <w:szCs w:val="18"/>
                <w:lang w:eastAsia="en-US"/>
              </w:rPr>
              <w:t>priorités</w:t>
            </w:r>
            <w:r w:rsidRPr="00ED144B">
              <w:rPr>
                <w:rFonts w:ascii="Calibri" w:eastAsia="Times New Roman" w:hAnsi="Calibri" w:cs="Times New Roman"/>
                <w:color w:val="000000"/>
                <w:sz w:val="18"/>
                <w:szCs w:val="18"/>
                <w:lang w:eastAsia="en-US"/>
              </w:rPr>
              <w:t xml:space="preserve"> des PDPAs existants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F38C7" w:rsidP="00550DD9">
            <w:pPr>
              <w:spacing w:after="0" w:line="240" w:lineRule="auto"/>
              <w:rPr>
                <w:rFonts w:ascii="Calibri" w:eastAsia="Times New Roman" w:hAnsi="Calibri" w:cs="Times New Roman"/>
                <w:color w:val="000000"/>
                <w:sz w:val="18"/>
                <w:szCs w:val="18"/>
                <w:lang w:eastAsia="en-US"/>
              </w:rPr>
            </w:pPr>
            <w:r w:rsidRPr="00550DD9">
              <w:rPr>
                <w:rFonts w:ascii="Calibri" w:eastAsia="Times New Roman" w:hAnsi="Calibri" w:cs="Times New Roman"/>
                <w:color w:val="000000"/>
                <w:sz w:val="18"/>
                <w:szCs w:val="18"/>
                <w:lang w:eastAsia="en-US"/>
              </w:rPr>
              <w:t>Réalisation</w:t>
            </w:r>
            <w:r w:rsidR="00550DD9" w:rsidRPr="00ED144B">
              <w:rPr>
                <w:rFonts w:ascii="Calibri" w:eastAsia="Times New Roman" w:hAnsi="Calibri" w:cs="Times New Roman"/>
                <w:color w:val="000000"/>
                <w:sz w:val="18"/>
                <w:szCs w:val="18"/>
                <w:lang w:eastAsia="en-US"/>
              </w:rPr>
              <w:t xml:space="preserve"> de micro-projets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700,000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420,000  </w:t>
            </w:r>
          </w:p>
        </w:tc>
        <w:tc>
          <w:tcPr>
            <w:tcW w:w="980"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9D9D9"/>
            <w:vAlign w:val="center"/>
            <w:hideMark/>
          </w:tcPr>
          <w:p w:rsidR="00550DD9" w:rsidRPr="00ED144B" w:rsidRDefault="00D82B88"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500,000  </w:t>
            </w:r>
          </w:p>
        </w:tc>
        <w:tc>
          <w:tcPr>
            <w:tcW w:w="980"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ACTIVITES</w:t>
            </w:r>
          </w:p>
        </w:tc>
        <w:tc>
          <w:tcPr>
            <w:tcW w:w="116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11,642,588  </w:t>
            </w:r>
          </w:p>
        </w:tc>
        <w:tc>
          <w:tcPr>
            <w:tcW w:w="980"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11,642,588  </w:t>
            </w:r>
          </w:p>
        </w:tc>
        <w:tc>
          <w:tcPr>
            <w:tcW w:w="67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64%</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VI </w:t>
            </w:r>
          </w:p>
        </w:tc>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F38C7"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550DD9" w:rsidRPr="00ED144B">
              <w:rPr>
                <w:rFonts w:ascii="Calibri" w:eastAsia="Times New Roman" w:hAnsi="Calibri" w:cs="Times New Roman"/>
                <w:b/>
                <w:bCs/>
                <w:color w:val="000000"/>
                <w:sz w:val="18"/>
                <w:szCs w:val="18"/>
                <w:lang w:eastAsia="en-US"/>
              </w:rPr>
              <w:t xml:space="preserve">upervision et suivi évaluation </w:t>
            </w:r>
            <w:r>
              <w:rPr>
                <w:rFonts w:ascii="Calibri" w:eastAsia="Times New Roman" w:hAnsi="Calibri" w:cs="Times New Roman"/>
                <w:b/>
                <w:bCs/>
                <w:color w:val="000000"/>
                <w:sz w:val="18"/>
                <w:szCs w:val="18"/>
                <w:lang w:eastAsia="en-US"/>
              </w:rPr>
              <w:t>réalisés</w:t>
            </w:r>
            <w:r w:rsidR="00550DD9" w:rsidRPr="00ED144B">
              <w:rPr>
                <w:rFonts w:ascii="Calibri" w:eastAsia="Times New Roman" w:hAnsi="Calibri" w:cs="Times New Roman"/>
                <w:b/>
                <w:bCs/>
                <w:color w:val="000000"/>
                <w:sz w:val="18"/>
                <w:szCs w:val="18"/>
                <w:lang w:eastAsia="en-US"/>
              </w:rPr>
              <w:t xml:space="preserve"> par l'UC-PIF</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renforcement de  l'UC-PIF avec un expert en suivi évaluation</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144,000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1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renforcement de  l'UC-PIF avec un expert GIS et gestion de base de </w:t>
            </w:r>
            <w:r w:rsidR="005F38C7" w:rsidRPr="00550DD9">
              <w:rPr>
                <w:rFonts w:ascii="Calibri" w:eastAsia="Times New Roman" w:hAnsi="Calibri" w:cs="Times New Roman"/>
                <w:color w:val="000000"/>
                <w:sz w:val="18"/>
                <w:szCs w:val="18"/>
                <w:lang w:eastAsia="en-US"/>
              </w:rPr>
              <w:t>données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144,000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51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 diem et frais de déplacement de l'équipe de suivi évaluation et GIS: une mission terrain tous les 4 mois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54,000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réunions du Comité de Pilotage du Projet tous les six mois</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suivi évaluation externe comptable des ALE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6 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90,000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formations, édition, etc. (Réserve)</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0.6</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38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de l'UC-PIF au-delà de la date de clôture du PGPAF</w:t>
            </w:r>
          </w:p>
        </w:tc>
        <w:tc>
          <w:tcPr>
            <w:tcW w:w="1160"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1138"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1297" w:type="dxa"/>
            <w:tcBorders>
              <w:top w:val="nil"/>
              <w:left w:val="single" w:sz="4" w:space="0" w:color="auto"/>
              <w:bottom w:val="single" w:sz="4" w:space="0" w:color="auto"/>
              <w:right w:val="nil"/>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550DD9" w:rsidRPr="00550DD9" w:rsidTr="00ED144B">
        <w:trPr>
          <w:trHeight w:val="240"/>
        </w:trPr>
        <w:tc>
          <w:tcPr>
            <w:tcW w:w="49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9"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SUPERVISION</w:t>
            </w:r>
          </w:p>
        </w:tc>
        <w:tc>
          <w:tcPr>
            <w:tcW w:w="1160"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600,000  </w:t>
            </w:r>
          </w:p>
        </w:tc>
        <w:tc>
          <w:tcPr>
            <w:tcW w:w="1297" w:type="dxa"/>
            <w:tcBorders>
              <w:top w:val="nil"/>
              <w:left w:val="single" w:sz="4" w:space="0" w:color="auto"/>
              <w:bottom w:val="single" w:sz="4" w:space="0" w:color="auto"/>
              <w:right w:val="nil"/>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600,000  </w:t>
            </w:r>
          </w:p>
        </w:tc>
        <w:tc>
          <w:tcPr>
            <w:tcW w:w="679" w:type="dxa"/>
            <w:tcBorders>
              <w:top w:val="nil"/>
              <w:left w:val="single" w:sz="4" w:space="0" w:color="auto"/>
              <w:bottom w:val="single" w:sz="4" w:space="0" w:color="auto"/>
              <w:right w:val="single" w:sz="4" w:space="0" w:color="auto"/>
            </w:tcBorders>
            <w:shd w:val="clear" w:color="000000" w:fill="EBF1DE"/>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3%</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VII</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D82B88"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T</w:t>
            </w:r>
            <w:r w:rsidR="00550DD9" w:rsidRPr="00ED144B">
              <w:rPr>
                <w:rFonts w:ascii="Calibri" w:eastAsia="Times New Roman" w:hAnsi="Calibri" w:cs="Times New Roman"/>
                <w:b/>
                <w:bCs/>
                <w:color w:val="000000"/>
                <w:sz w:val="18"/>
                <w:szCs w:val="18"/>
                <w:lang w:eastAsia="en-US"/>
              </w:rPr>
              <w:t xml:space="preserve">otal coûts éligibles </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16,165,648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600,000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16,765,648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92%</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VIII</w:t>
            </w:r>
          </w:p>
        </w:tc>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D82B88"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I</w:t>
            </w:r>
            <w:r w:rsidR="00550DD9" w:rsidRPr="00ED144B">
              <w:rPr>
                <w:rFonts w:ascii="Calibri" w:eastAsia="Times New Roman" w:hAnsi="Calibri" w:cs="Times New Roman"/>
                <w:b/>
                <w:bCs/>
                <w:color w:val="000000"/>
                <w:sz w:val="18"/>
                <w:szCs w:val="18"/>
                <w:lang w:eastAsia="en-US"/>
              </w:rPr>
              <w:t>mprévus sur total coûts éligibles</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nil"/>
              <w:left w:val="nil"/>
              <w:bottom w:val="nil"/>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643,658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643,658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4%</w:t>
            </w:r>
          </w:p>
        </w:tc>
      </w:tr>
      <w:tr w:rsidR="00550DD9" w:rsidRPr="00550DD9" w:rsidTr="00ED144B">
        <w:trPr>
          <w:trHeight w:val="240"/>
        </w:trPr>
        <w:tc>
          <w:tcPr>
            <w:tcW w:w="499"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IX</w:t>
            </w:r>
          </w:p>
        </w:tc>
        <w:tc>
          <w:tcPr>
            <w:tcW w:w="499"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D82B88" w:rsidP="00550DD9">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F</w:t>
            </w:r>
            <w:r w:rsidR="00550DD9" w:rsidRPr="00ED144B">
              <w:rPr>
                <w:rFonts w:ascii="Calibri" w:eastAsia="Times New Roman" w:hAnsi="Calibri" w:cs="Times New Roman"/>
                <w:b/>
                <w:bCs/>
                <w:color w:val="000000"/>
                <w:sz w:val="18"/>
                <w:szCs w:val="18"/>
                <w:lang w:eastAsia="en-US"/>
              </w:rPr>
              <w:t>rais généraux  sur total coûts éligibles 5%</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single" w:sz="4" w:space="0" w:color="auto"/>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808,282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808,282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4%</w:t>
            </w:r>
          </w:p>
        </w:tc>
      </w:tr>
      <w:tr w:rsidR="004805DD" w:rsidRPr="00550DD9" w:rsidTr="00550DD9">
        <w:trPr>
          <w:trHeight w:val="240"/>
        </w:trPr>
        <w:tc>
          <w:tcPr>
            <w:tcW w:w="499"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X</w:t>
            </w:r>
          </w:p>
        </w:tc>
        <w:tc>
          <w:tcPr>
            <w:tcW w:w="49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38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TOTAL</w:t>
            </w:r>
          </w:p>
        </w:tc>
        <w:tc>
          <w:tcPr>
            <w:tcW w:w="1160"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8"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nil"/>
              <w:left w:val="nil"/>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16,973,930  </w:t>
            </w:r>
          </w:p>
        </w:tc>
        <w:tc>
          <w:tcPr>
            <w:tcW w:w="980"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1,243,658  </w:t>
            </w:r>
          </w:p>
        </w:tc>
        <w:tc>
          <w:tcPr>
            <w:tcW w:w="1297" w:type="dxa"/>
            <w:tcBorders>
              <w:top w:val="nil"/>
              <w:left w:val="single" w:sz="4" w:space="0" w:color="auto"/>
              <w:bottom w:val="single" w:sz="4" w:space="0" w:color="auto"/>
              <w:right w:val="nil"/>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18,217,589  </w:t>
            </w:r>
          </w:p>
        </w:tc>
        <w:tc>
          <w:tcPr>
            <w:tcW w:w="679" w:type="dxa"/>
            <w:tcBorders>
              <w:top w:val="nil"/>
              <w:left w:val="single" w:sz="4" w:space="0" w:color="auto"/>
              <w:bottom w:val="single" w:sz="4" w:space="0" w:color="auto"/>
              <w:right w:val="single" w:sz="4" w:space="0" w:color="auto"/>
            </w:tcBorders>
            <w:shd w:val="clear" w:color="000000" w:fill="D8E4BC"/>
            <w:vAlign w:val="center"/>
            <w:hideMark/>
          </w:tcPr>
          <w:p w:rsidR="00550DD9" w:rsidRPr="00ED144B" w:rsidRDefault="00550DD9" w:rsidP="00550DD9">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100%</w:t>
            </w:r>
          </w:p>
        </w:tc>
      </w:tr>
    </w:tbl>
    <w:p w:rsidR="00550DD9" w:rsidRDefault="00550DD9" w:rsidP="00EF6F07">
      <w:pPr>
        <w:rPr>
          <w:lang w:val="en-US"/>
        </w:rPr>
      </w:pPr>
    </w:p>
    <w:p w:rsidR="00550DD9" w:rsidRDefault="00550DD9" w:rsidP="00EF6F07">
      <w:pPr>
        <w:rPr>
          <w:lang w:val="en-US"/>
        </w:rPr>
      </w:pPr>
    </w:p>
    <w:p w:rsidR="00550DD9" w:rsidRDefault="00550DD9" w:rsidP="00EF6F07">
      <w:pPr>
        <w:rPr>
          <w:lang w:val="en-US"/>
        </w:rPr>
      </w:pPr>
    </w:p>
    <w:tbl>
      <w:tblPr>
        <w:tblW w:w="16060" w:type="dxa"/>
        <w:tblLook w:val="04A0" w:firstRow="1" w:lastRow="0" w:firstColumn="1" w:lastColumn="0" w:noHBand="0" w:noVBand="1"/>
      </w:tblPr>
      <w:tblGrid>
        <w:gridCol w:w="499"/>
        <w:gridCol w:w="498"/>
        <w:gridCol w:w="6621"/>
        <w:gridCol w:w="1160"/>
        <w:gridCol w:w="998"/>
        <w:gridCol w:w="1139"/>
        <w:gridCol w:w="953"/>
        <w:gridCol w:w="1237"/>
        <w:gridCol w:w="980"/>
        <w:gridCol w:w="1296"/>
        <w:gridCol w:w="679"/>
      </w:tblGrid>
      <w:tr w:rsidR="00BF6D64" w:rsidRPr="00BF6D64" w:rsidTr="00ED144B">
        <w:trPr>
          <w:trHeight w:val="744"/>
        </w:trPr>
        <w:tc>
          <w:tcPr>
            <w:tcW w:w="7618" w:type="dxa"/>
            <w:gridSpan w:val="3"/>
            <w:tcBorders>
              <w:top w:val="nil"/>
              <w:left w:val="nil"/>
              <w:bottom w:val="nil"/>
              <w:right w:val="nil"/>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b/>
                <w:bCs/>
                <w:color w:val="000000"/>
                <w:sz w:val="28"/>
                <w:szCs w:val="28"/>
                <w:lang w:eastAsia="en-US"/>
              </w:rPr>
            </w:pPr>
            <w:r>
              <w:rPr>
                <w:rFonts w:ascii="Calibri" w:eastAsia="Times New Roman" w:hAnsi="Calibri" w:cs="Times New Roman"/>
                <w:b/>
                <w:bCs/>
                <w:color w:val="000000"/>
                <w:sz w:val="28"/>
                <w:szCs w:val="28"/>
                <w:lang w:eastAsia="en-US"/>
              </w:rPr>
              <w:t>Budget PIREDD Mai-</w:t>
            </w:r>
            <w:r w:rsidRPr="00ED144B">
              <w:rPr>
                <w:rFonts w:ascii="Calibri" w:eastAsia="Times New Roman" w:hAnsi="Calibri" w:cs="Times New Roman"/>
                <w:b/>
                <w:bCs/>
                <w:color w:val="000000"/>
                <w:sz w:val="28"/>
                <w:szCs w:val="28"/>
                <w:lang w:eastAsia="en-US"/>
              </w:rPr>
              <w:t xml:space="preserve">Ndombe sur les 2 dernières </w:t>
            </w:r>
            <w:r w:rsidRPr="00BF6D64">
              <w:rPr>
                <w:rFonts w:ascii="Calibri" w:eastAsia="Times New Roman" w:hAnsi="Calibri" w:cs="Times New Roman"/>
                <w:b/>
                <w:bCs/>
                <w:color w:val="000000"/>
                <w:sz w:val="28"/>
                <w:szCs w:val="28"/>
                <w:lang w:eastAsia="en-US"/>
              </w:rPr>
              <w:t xml:space="preserve">années </w:t>
            </w:r>
            <w:r w:rsidRPr="00ED144B">
              <w:rPr>
                <w:rFonts w:ascii="Calibri" w:eastAsia="Times New Roman" w:hAnsi="Calibri" w:cs="Times New Roman"/>
                <w:b/>
                <w:bCs/>
                <w:color w:val="000000"/>
                <w:sz w:val="28"/>
                <w:szCs w:val="28"/>
                <w:lang w:eastAsia="en-US"/>
              </w:rPr>
              <w:br/>
              <w:t>(2020 -2021)</w:t>
            </w:r>
          </w:p>
        </w:tc>
        <w:tc>
          <w:tcPr>
            <w:tcW w:w="3297" w:type="dxa"/>
            <w:gridSpan w:val="3"/>
            <w:tcBorders>
              <w:top w:val="nil"/>
              <w:left w:val="nil"/>
              <w:bottom w:val="nil"/>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28"/>
                <w:szCs w:val="28"/>
                <w:lang w:eastAsia="en-US"/>
              </w:rPr>
            </w:pPr>
            <w:r w:rsidRPr="00ED144B">
              <w:rPr>
                <w:rFonts w:ascii="Calibri" w:eastAsia="Times New Roman" w:hAnsi="Calibri" w:cs="Times New Roman"/>
                <w:b/>
                <w:bCs/>
                <w:color w:val="000000"/>
                <w:sz w:val="28"/>
                <w:szCs w:val="28"/>
                <w:lang w:eastAsia="en-US"/>
              </w:rPr>
              <w:t xml:space="preserve">9,029,794  </w:t>
            </w:r>
            <w:r>
              <w:rPr>
                <w:rFonts w:ascii="Calibri" w:eastAsia="Times New Roman" w:hAnsi="Calibri" w:cs="Times New Roman"/>
                <w:b/>
                <w:bCs/>
                <w:color w:val="000000"/>
                <w:sz w:val="28"/>
                <w:szCs w:val="28"/>
                <w:lang w:eastAsia="en-US"/>
              </w:rPr>
              <w:t>$</w:t>
            </w:r>
          </w:p>
        </w:tc>
        <w:tc>
          <w:tcPr>
            <w:tcW w:w="953" w:type="dxa"/>
            <w:tcBorders>
              <w:top w:val="nil"/>
              <w:left w:val="nil"/>
              <w:bottom w:val="nil"/>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FFFFFF"/>
                <w:sz w:val="28"/>
                <w:szCs w:val="28"/>
                <w:lang w:eastAsia="en-US"/>
              </w:rPr>
            </w:pPr>
            <w:r w:rsidRPr="00ED144B">
              <w:rPr>
                <w:rFonts w:ascii="Calibri" w:eastAsia="Times New Roman" w:hAnsi="Calibri" w:cs="Times New Roman"/>
                <w:b/>
                <w:bCs/>
                <w:color w:val="FFFFFF"/>
                <w:sz w:val="28"/>
                <w:szCs w:val="28"/>
                <w:lang w:eastAsia="en-US"/>
              </w:rPr>
              <w:t> </w:t>
            </w:r>
          </w:p>
        </w:tc>
        <w:tc>
          <w:tcPr>
            <w:tcW w:w="1237" w:type="dxa"/>
            <w:tcBorders>
              <w:top w:val="nil"/>
              <w:left w:val="nil"/>
              <w:bottom w:val="nil"/>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FFFFFF"/>
                <w:sz w:val="28"/>
                <w:szCs w:val="28"/>
                <w:lang w:eastAsia="en-US"/>
              </w:rPr>
            </w:pPr>
            <w:r w:rsidRPr="00ED144B">
              <w:rPr>
                <w:rFonts w:ascii="Calibri" w:eastAsia="Times New Roman" w:hAnsi="Calibri" w:cs="Times New Roman"/>
                <w:b/>
                <w:bCs/>
                <w:color w:val="FFFFFF"/>
                <w:sz w:val="28"/>
                <w:szCs w:val="28"/>
                <w:lang w:eastAsia="en-US"/>
              </w:rPr>
              <w:t> </w:t>
            </w:r>
          </w:p>
        </w:tc>
        <w:tc>
          <w:tcPr>
            <w:tcW w:w="980" w:type="dxa"/>
            <w:tcBorders>
              <w:top w:val="nil"/>
              <w:left w:val="nil"/>
              <w:bottom w:val="nil"/>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FFFFFF"/>
                <w:sz w:val="28"/>
                <w:szCs w:val="28"/>
                <w:lang w:eastAsia="en-US"/>
              </w:rPr>
            </w:pPr>
            <w:r w:rsidRPr="00ED144B">
              <w:rPr>
                <w:rFonts w:ascii="Calibri" w:eastAsia="Times New Roman" w:hAnsi="Calibri" w:cs="Times New Roman"/>
                <w:b/>
                <w:bCs/>
                <w:color w:val="FFFFFF"/>
                <w:sz w:val="28"/>
                <w:szCs w:val="28"/>
                <w:lang w:eastAsia="en-US"/>
              </w:rPr>
              <w:t> </w:t>
            </w:r>
          </w:p>
        </w:tc>
        <w:tc>
          <w:tcPr>
            <w:tcW w:w="1296" w:type="dxa"/>
            <w:tcBorders>
              <w:top w:val="nil"/>
              <w:left w:val="nil"/>
              <w:bottom w:val="nil"/>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FFFFFF"/>
                <w:sz w:val="28"/>
                <w:szCs w:val="28"/>
                <w:lang w:eastAsia="en-US"/>
              </w:rPr>
            </w:pPr>
            <w:r w:rsidRPr="00ED144B">
              <w:rPr>
                <w:rFonts w:ascii="Calibri" w:eastAsia="Times New Roman" w:hAnsi="Calibri" w:cs="Times New Roman"/>
                <w:b/>
                <w:bCs/>
                <w:color w:val="FFFFFF"/>
                <w:sz w:val="28"/>
                <w:szCs w:val="28"/>
                <w:lang w:eastAsia="en-US"/>
              </w:rPr>
              <w:t> </w:t>
            </w:r>
          </w:p>
        </w:tc>
        <w:tc>
          <w:tcPr>
            <w:tcW w:w="679" w:type="dxa"/>
            <w:tcBorders>
              <w:top w:val="nil"/>
              <w:left w:val="nil"/>
              <w:bottom w:val="nil"/>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FFFFFF"/>
                <w:sz w:val="28"/>
                <w:szCs w:val="28"/>
                <w:lang w:eastAsia="en-US"/>
              </w:rPr>
            </w:pPr>
            <w:r w:rsidRPr="00ED144B">
              <w:rPr>
                <w:rFonts w:ascii="Calibri" w:eastAsia="Times New Roman" w:hAnsi="Calibri" w:cs="Times New Roman"/>
                <w:b/>
                <w:bCs/>
                <w:color w:val="FFFFFF"/>
                <w:sz w:val="28"/>
                <w:szCs w:val="28"/>
                <w:lang w:eastAsia="en-US"/>
              </w:rPr>
              <w:t> </w:t>
            </w:r>
          </w:p>
        </w:tc>
      </w:tr>
      <w:tr w:rsidR="00BF6D64" w:rsidRPr="00BF6D64" w:rsidTr="00ED144B">
        <w:trPr>
          <w:trHeight w:val="300"/>
        </w:trPr>
        <w:tc>
          <w:tcPr>
            <w:tcW w:w="499"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FFFFFF"/>
                <w:sz w:val="18"/>
                <w:szCs w:val="18"/>
                <w:lang w:eastAsia="en-US"/>
              </w:rPr>
            </w:pPr>
          </w:p>
        </w:tc>
        <w:tc>
          <w:tcPr>
            <w:tcW w:w="498"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6621"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1160" w:type="dxa"/>
            <w:tcBorders>
              <w:top w:val="nil"/>
              <w:left w:val="nil"/>
              <w:bottom w:val="nil"/>
              <w:right w:val="nil"/>
            </w:tcBorders>
            <w:shd w:val="clear" w:color="auto" w:fill="auto"/>
            <w:vAlign w:val="center"/>
            <w:hideMark/>
          </w:tcPr>
          <w:p w:rsidR="00BF6D64" w:rsidRPr="00ED144B" w:rsidRDefault="00BF6D64" w:rsidP="00BF6D64">
            <w:pPr>
              <w:spacing w:after="0" w:line="240" w:lineRule="auto"/>
              <w:rPr>
                <w:rFonts w:ascii="Times New Roman" w:eastAsia="Times New Roman" w:hAnsi="Times New Roman" w:cs="Times New Roman"/>
                <w:sz w:val="18"/>
                <w:szCs w:val="18"/>
                <w:lang w:eastAsia="en-US"/>
              </w:rPr>
            </w:pPr>
          </w:p>
        </w:tc>
        <w:tc>
          <w:tcPr>
            <w:tcW w:w="998"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1139"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953"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1237"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980"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1296"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c>
          <w:tcPr>
            <w:tcW w:w="679"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Times New Roman" w:eastAsia="Times New Roman" w:hAnsi="Times New Roman" w:cs="Times New Roman"/>
                <w:sz w:val="18"/>
                <w:szCs w:val="18"/>
                <w:lang w:eastAsia="en-US"/>
              </w:rPr>
            </w:pPr>
          </w:p>
        </w:tc>
      </w:tr>
      <w:tr w:rsidR="00BF6D64" w:rsidRPr="00BF6D64" w:rsidTr="00ED144B">
        <w:trPr>
          <w:trHeight w:val="480"/>
        </w:trPr>
        <w:tc>
          <w:tcPr>
            <w:tcW w:w="49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Objet</w:t>
            </w:r>
          </w:p>
        </w:tc>
        <w:tc>
          <w:tcPr>
            <w:tcW w:w="1160"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Unité</w:t>
            </w:r>
          </w:p>
        </w:tc>
        <w:tc>
          <w:tcPr>
            <w:tcW w:w="998"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Prix unité</w:t>
            </w:r>
          </w:p>
        </w:tc>
        <w:tc>
          <w:tcPr>
            <w:tcW w:w="1139"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Nombre ou superficies</w:t>
            </w:r>
          </w:p>
        </w:tc>
        <w:tc>
          <w:tcPr>
            <w:tcW w:w="953"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Quantités /durée</w:t>
            </w:r>
          </w:p>
        </w:tc>
        <w:tc>
          <w:tcPr>
            <w:tcW w:w="1237"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Mise en œuvre ALE</w:t>
            </w:r>
          </w:p>
        </w:tc>
        <w:tc>
          <w:tcPr>
            <w:tcW w:w="980"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Gestion PIF</w:t>
            </w:r>
          </w:p>
        </w:tc>
        <w:tc>
          <w:tcPr>
            <w:tcW w:w="1296"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Totaux</w:t>
            </w:r>
          </w:p>
        </w:tc>
        <w:tc>
          <w:tcPr>
            <w:tcW w:w="679" w:type="dxa"/>
            <w:tcBorders>
              <w:top w:val="single" w:sz="4" w:space="0" w:color="auto"/>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Ressources humaines </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D82B88"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BF6D64" w:rsidRPr="00ED144B">
              <w:rPr>
                <w:rFonts w:ascii="Calibri" w:eastAsia="Times New Roman" w:hAnsi="Calibri" w:cs="Times New Roman"/>
                <w:b/>
                <w:bCs/>
                <w:color w:val="000000"/>
                <w:sz w:val="18"/>
                <w:szCs w:val="18"/>
                <w:lang w:eastAsia="en-US"/>
              </w:rPr>
              <w:t xml:space="preserve">ersonnel opérationnel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chef de projet expatrié basé à Nioki</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288,000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adjoint chef de projet basé à Nioki, responsable sauvegardes environnementales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de l'innovation agricole et du parc de tracteur</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filières cultures pérennes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du développement infrastructures et équipements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suivi évaluation dont MRV</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 Aménagement du Territoire et carto, MRV et PSE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chef de base territoire (Inongo, Kiri, Kutu, Oshwe)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animateur d'appui à la structuration du </w:t>
            </w:r>
            <w:r>
              <w:rPr>
                <w:rFonts w:ascii="Calibri" w:eastAsia="Times New Roman" w:hAnsi="Calibri" w:cs="Times New Roman"/>
                <w:color w:val="000000"/>
                <w:sz w:val="18"/>
                <w:szCs w:val="18"/>
                <w:lang w:eastAsia="en-US"/>
              </w:rPr>
              <w:t>milieu, secrétaire exécutif CART</w:t>
            </w:r>
            <w:r w:rsidRPr="00ED144B">
              <w:rPr>
                <w:rFonts w:ascii="Calibri" w:eastAsia="Times New Roman" w:hAnsi="Calibri" w:cs="Times New Roman"/>
                <w:color w:val="000000"/>
                <w:sz w:val="18"/>
                <w:szCs w:val="18"/>
                <w:lang w:eastAsia="en-US"/>
              </w:rPr>
              <w:t>s de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ingénieur TP</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agro-forestier de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responsables pêche de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responsables de territoire MRV, PSE, Suivi évaluation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AD79C3"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1,248,000  </w:t>
            </w:r>
          </w:p>
        </w:tc>
        <w:tc>
          <w:tcPr>
            <w:tcW w:w="980"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D82B88"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BF6D64" w:rsidRPr="00ED144B">
              <w:rPr>
                <w:rFonts w:ascii="Calibri" w:eastAsia="Times New Roman" w:hAnsi="Calibri" w:cs="Times New Roman"/>
                <w:b/>
                <w:bCs/>
                <w:color w:val="000000"/>
                <w:sz w:val="18"/>
                <w:szCs w:val="18"/>
                <w:lang w:eastAsia="en-US"/>
              </w:rPr>
              <w:t xml:space="preserve">ersonnel d'appui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Pr>
                <w:rFonts w:ascii="Calibri" w:eastAsia="Times New Roman" w:hAnsi="Calibri" w:cs="Times New Roman"/>
                <w:color w:val="000000"/>
                <w:sz w:val="18"/>
                <w:szCs w:val="18"/>
                <w:lang w:eastAsia="en-US"/>
              </w:rPr>
              <w:t>logisticien K</w:t>
            </w:r>
            <w:r w:rsidRPr="00ED144B">
              <w:rPr>
                <w:rFonts w:ascii="Calibri" w:eastAsia="Times New Roman" w:hAnsi="Calibri" w:cs="Times New Roman"/>
                <w:color w:val="000000"/>
                <w:sz w:val="18"/>
                <w:szCs w:val="18"/>
                <w:lang w:eastAsia="en-US"/>
              </w:rPr>
              <w:t>inshasa</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logisticiens comptables de base territoriale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comptable Nioki</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comptable itinérant terrain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aide comptable Nioki</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19,200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aide comptable Kinshasa</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19,200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chauffeurs mécaniciens voitures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pilote du canot rapide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chauffeurs tracteurs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personnel de ménage des bases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gardiens </w:t>
            </w:r>
            <w:r w:rsidR="00AD79C3" w:rsidRPr="00BF6D64">
              <w:rPr>
                <w:rFonts w:ascii="Calibri" w:eastAsia="Times New Roman" w:hAnsi="Calibri" w:cs="Times New Roman"/>
                <w:color w:val="000000"/>
                <w:sz w:val="18"/>
                <w:szCs w:val="18"/>
                <w:lang w:eastAsia="en-US"/>
              </w:rPr>
              <w:t>Kinshasa</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gardiens de base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AD79C3"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436,800  </w:t>
            </w:r>
          </w:p>
        </w:tc>
        <w:tc>
          <w:tcPr>
            <w:tcW w:w="980"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D82B88"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P</w:t>
            </w:r>
            <w:r w:rsidR="00BF6D64">
              <w:rPr>
                <w:rFonts w:ascii="Calibri" w:eastAsia="Times New Roman" w:hAnsi="Calibri" w:cs="Times New Roman"/>
                <w:b/>
                <w:bCs/>
                <w:color w:val="000000"/>
                <w:sz w:val="18"/>
                <w:szCs w:val="18"/>
                <w:lang w:eastAsia="en-US"/>
              </w:rPr>
              <w:t>erdiem</w:t>
            </w:r>
            <w:r w:rsidR="00BF6D64" w:rsidRPr="00ED144B">
              <w:rPr>
                <w:rFonts w:ascii="Calibri" w:eastAsia="Times New Roman" w:hAnsi="Calibri" w:cs="Times New Roman"/>
                <w:b/>
                <w:bCs/>
                <w:color w:val="000000"/>
                <w:sz w:val="18"/>
                <w:szCs w:val="18"/>
                <w:lang w:eastAsia="en-US"/>
              </w:rPr>
              <w:t xml:space="preserve"> et primes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perdiem du personnel d'encadrement  12 jours par mois sur 60 mois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288</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80,640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prime mensuelle de déplacement du personnel de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57,600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perdiem du comptable itinérant 15 jours par mois sur 55 mois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360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perdiem des chauffeurs et pilotes 18 jours par mois sur 55 mois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432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86,400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BFBFBF"/>
            <w:vAlign w:val="center"/>
            <w:hideMark/>
          </w:tcPr>
          <w:p w:rsidR="00BF6D64" w:rsidRPr="00ED144B" w:rsidRDefault="00D82B88"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239,040  </w:t>
            </w:r>
          </w:p>
        </w:tc>
        <w:tc>
          <w:tcPr>
            <w:tcW w:w="980" w:type="dxa"/>
            <w:tcBorders>
              <w:top w:val="nil"/>
              <w:left w:val="single" w:sz="4" w:space="0" w:color="auto"/>
              <w:bottom w:val="single" w:sz="4" w:space="0" w:color="auto"/>
              <w:right w:val="nil"/>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BFBFB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RESSOUCES HUMAINES</w:t>
            </w:r>
          </w:p>
        </w:tc>
        <w:tc>
          <w:tcPr>
            <w:tcW w:w="1160"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1,923,840  </w:t>
            </w:r>
          </w:p>
        </w:tc>
        <w:tc>
          <w:tcPr>
            <w:tcW w:w="980"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1,923,840  </w:t>
            </w:r>
          </w:p>
        </w:tc>
        <w:tc>
          <w:tcPr>
            <w:tcW w:w="67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21%</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II</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AD79C3"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T</w:t>
            </w:r>
            <w:r w:rsidR="00BF6D64" w:rsidRPr="00ED144B">
              <w:rPr>
                <w:rFonts w:ascii="Calibri" w:eastAsia="Times New Roman" w:hAnsi="Calibri" w:cs="Times New Roman"/>
                <w:b/>
                <w:bCs/>
                <w:color w:val="000000"/>
                <w:sz w:val="18"/>
                <w:szCs w:val="18"/>
                <w:lang w:eastAsia="en-US"/>
              </w:rPr>
              <w:t xml:space="preserve">ransport aérien </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internationaux : 2 par an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A/R</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Pr>
                <w:rFonts w:ascii="Calibri" w:eastAsia="Times New Roman" w:hAnsi="Calibri" w:cs="Times New Roman"/>
                <w:color w:val="000000"/>
                <w:sz w:val="18"/>
                <w:szCs w:val="18"/>
                <w:lang w:eastAsia="en-US"/>
              </w:rPr>
              <w:t xml:space="preserve">nationaux : </w:t>
            </w:r>
            <w:r w:rsidRPr="00ED144B">
              <w:rPr>
                <w:rFonts w:ascii="Calibri" w:eastAsia="Times New Roman" w:hAnsi="Calibri" w:cs="Times New Roman"/>
                <w:color w:val="000000"/>
                <w:sz w:val="18"/>
                <w:szCs w:val="18"/>
                <w:lang w:eastAsia="en-US"/>
              </w:rPr>
              <w:t>2 par mois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A/R</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28,800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BF6D64">
              <w:rPr>
                <w:rFonts w:ascii="Calibri" w:eastAsia="Times New Roman" w:hAnsi="Calibri" w:cs="Times New Roman"/>
                <w:color w:val="000000"/>
                <w:sz w:val="18"/>
                <w:szCs w:val="18"/>
                <w:lang w:eastAsia="en-US"/>
              </w:rPr>
              <w:t>fret</w:t>
            </w:r>
            <w:r w:rsidRPr="00ED144B">
              <w:rPr>
                <w:rFonts w:ascii="Calibri" w:eastAsia="Times New Roman" w:hAnsi="Calibri" w:cs="Times New Roman"/>
                <w:color w:val="000000"/>
                <w:sz w:val="18"/>
                <w:szCs w:val="18"/>
                <w:lang w:eastAsia="en-US"/>
              </w:rPr>
              <w:t xml:space="preserve"> national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 / an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TRANSPORT AERIEN</w:t>
            </w:r>
          </w:p>
        </w:tc>
        <w:tc>
          <w:tcPr>
            <w:tcW w:w="1160"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76,000  </w:t>
            </w:r>
          </w:p>
        </w:tc>
        <w:tc>
          <w:tcPr>
            <w:tcW w:w="980"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76,000  </w:t>
            </w:r>
          </w:p>
        </w:tc>
        <w:tc>
          <w:tcPr>
            <w:tcW w:w="67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III</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AD79C3"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E</w:t>
            </w:r>
            <w:r w:rsidR="00BF6D64" w:rsidRPr="00ED144B">
              <w:rPr>
                <w:rFonts w:ascii="Calibri" w:eastAsia="Times New Roman" w:hAnsi="Calibri" w:cs="Times New Roman"/>
                <w:b/>
                <w:bCs/>
                <w:color w:val="000000"/>
                <w:sz w:val="18"/>
                <w:szCs w:val="18"/>
                <w:lang w:eastAsia="en-US"/>
              </w:rPr>
              <w:t xml:space="preserve">quipements </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2 voitures de brousse (chef de projet, adjoint)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motos tous terrains (tous personnels de base plus secrétaire adjoint </w:t>
            </w:r>
            <w:r>
              <w:rPr>
                <w:rFonts w:ascii="Calibri" w:eastAsia="Times New Roman" w:hAnsi="Calibri" w:cs="Times New Roman"/>
                <w:color w:val="000000"/>
                <w:sz w:val="18"/>
                <w:szCs w:val="18"/>
                <w:lang w:eastAsia="en-US"/>
              </w:rPr>
              <w:t>CART</w:t>
            </w:r>
            <w:r w:rsidRPr="00ED144B">
              <w:rPr>
                <w:rFonts w:ascii="Calibri" w:eastAsia="Times New Roman" w:hAnsi="Calibri" w:cs="Times New Roman"/>
                <w:color w:val="000000"/>
                <w:sz w:val="18"/>
                <w:szCs w:val="18"/>
                <w:lang w:eastAsia="en-US"/>
              </w:rPr>
              <w:t xml:space="preserve">s, plus divers contrats </w:t>
            </w:r>
            <w:r>
              <w:rPr>
                <w:rFonts w:ascii="Calibri" w:eastAsia="Times New Roman" w:hAnsi="Calibri" w:cs="Times New Roman"/>
                <w:color w:val="000000"/>
                <w:sz w:val="18"/>
                <w:szCs w:val="18"/>
                <w:lang w:eastAsia="en-US"/>
              </w:rPr>
              <w:t>ONGs</w:t>
            </w:r>
            <w:r w:rsidRPr="00ED144B">
              <w:rPr>
                <w:rFonts w:ascii="Calibri" w:eastAsia="Times New Roman" w:hAnsi="Calibri" w:cs="Times New Roman"/>
                <w:color w:val="000000"/>
                <w:sz w:val="18"/>
                <w:szCs w:val="18"/>
                <w:lang w:eastAsia="en-US"/>
              </w:rPr>
              <w: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vélos pour les agents des services techniques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130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canots rapides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tracteurs de 80 CV avec remorque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5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d'ordinateurs et imprimantes (bases et personnel d'encadrement)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meubles et équipements de bureaux</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GPS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et installation d'équipements internet VSAT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construction des bureaux du projet pour Inongo, Kiri et Oswhe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EQUIPEMENTS</w:t>
            </w:r>
          </w:p>
        </w:tc>
        <w:tc>
          <w:tcPr>
            <w:tcW w:w="1160"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268,230  </w:t>
            </w:r>
          </w:p>
        </w:tc>
        <w:tc>
          <w:tcPr>
            <w:tcW w:w="113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0  </w:t>
            </w:r>
          </w:p>
        </w:tc>
        <w:tc>
          <w:tcPr>
            <w:tcW w:w="67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0%</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IV</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F</w:t>
            </w:r>
            <w:r w:rsidR="00BF6D64" w:rsidRPr="00ED144B">
              <w:rPr>
                <w:rFonts w:ascii="Calibri" w:eastAsia="Times New Roman" w:hAnsi="Calibri" w:cs="Times New Roman"/>
                <w:b/>
                <w:bCs/>
                <w:color w:val="000000"/>
                <w:sz w:val="18"/>
                <w:szCs w:val="18"/>
                <w:lang w:eastAsia="en-US"/>
              </w:rPr>
              <w:t>onctionnement projet</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Kinshasa</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Nioki</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loyer base territoire Kutu</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voitures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57,600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tracteurs</w:t>
            </w:r>
          </w:p>
        </w:tc>
        <w:tc>
          <w:tcPr>
            <w:tcW w:w="1160" w:type="dxa"/>
            <w:tcBorders>
              <w:top w:val="nil"/>
              <w:left w:val="nil"/>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moto</w:t>
            </w:r>
          </w:p>
        </w:tc>
        <w:tc>
          <w:tcPr>
            <w:tcW w:w="1160" w:type="dxa"/>
            <w:tcBorders>
              <w:top w:val="nil"/>
              <w:left w:val="nil"/>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144,000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des canots rapides</w:t>
            </w:r>
          </w:p>
        </w:tc>
        <w:tc>
          <w:tcPr>
            <w:tcW w:w="1160" w:type="dxa"/>
            <w:tcBorders>
              <w:top w:val="nil"/>
              <w:left w:val="nil"/>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38,400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bureau </w:t>
            </w:r>
          </w:p>
        </w:tc>
        <w:tc>
          <w:tcPr>
            <w:tcW w:w="1160" w:type="dxa"/>
            <w:tcBorders>
              <w:top w:val="nil"/>
              <w:left w:val="nil"/>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communication téléphoniques</w:t>
            </w:r>
          </w:p>
        </w:tc>
        <w:tc>
          <w:tcPr>
            <w:tcW w:w="1160" w:type="dxa"/>
            <w:tcBorders>
              <w:top w:val="nil"/>
              <w:left w:val="nil"/>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28,800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internet (Kinshasa, 4 bases territoires, base Nioki)</w:t>
            </w:r>
          </w:p>
        </w:tc>
        <w:tc>
          <w:tcPr>
            <w:tcW w:w="1160" w:type="dxa"/>
            <w:tcBorders>
              <w:top w:val="nil"/>
              <w:left w:val="nil"/>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mois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28,800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FONCTIONNEMENT DE PROJET</w:t>
            </w:r>
          </w:p>
        </w:tc>
        <w:tc>
          <w:tcPr>
            <w:tcW w:w="1160"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549,600  </w:t>
            </w:r>
          </w:p>
        </w:tc>
        <w:tc>
          <w:tcPr>
            <w:tcW w:w="980"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549,600  </w:t>
            </w:r>
          </w:p>
        </w:tc>
        <w:tc>
          <w:tcPr>
            <w:tcW w:w="67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6%</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Activités</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55"/>
        </w:trPr>
        <w:tc>
          <w:tcPr>
            <w:tcW w:w="499" w:type="dxa"/>
            <w:tcBorders>
              <w:top w:val="nil"/>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Gouvernance des ressources naturelles du District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510"/>
        </w:trPr>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des plans de secteur ou groupement (dans les cas de grands groupements)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secteur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des plans de territoire actualisés tous les deux ans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du plan de district actualisé tous les deux ans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district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réunion des CARTs de groupements 1/4 mois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réunions des CARTs de territoire 1/4 mois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24,000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formations des juges de paix et des agents du cadastre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Réunions de large information au </w:t>
            </w:r>
            <w:r w:rsidRPr="00BF6D64">
              <w:rPr>
                <w:rFonts w:ascii="Calibri" w:eastAsia="Times New Roman" w:hAnsi="Calibri" w:cs="Times New Roman"/>
                <w:color w:val="000000"/>
                <w:sz w:val="18"/>
                <w:szCs w:val="18"/>
                <w:lang w:eastAsia="en-US"/>
              </w:rPr>
              <w:t>chef-lieu</w:t>
            </w:r>
            <w:r w:rsidRPr="00ED144B">
              <w:rPr>
                <w:rFonts w:ascii="Calibri" w:eastAsia="Times New Roman" w:hAnsi="Calibri" w:cs="Times New Roman"/>
                <w:color w:val="000000"/>
                <w:sz w:val="18"/>
                <w:szCs w:val="18"/>
                <w:lang w:eastAsia="en-US"/>
              </w:rPr>
              <w:t xml:space="preserve"> provincial (une par an)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 atelier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avec les radios communautaires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annuels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4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sz w:val="18"/>
                <w:szCs w:val="18"/>
                <w:lang w:eastAsia="en-US"/>
              </w:rPr>
            </w:pPr>
            <w:r>
              <w:rPr>
                <w:rFonts w:ascii="Calibri" w:eastAsia="Times New Roman" w:hAnsi="Calibri" w:cs="Times New Roman"/>
                <w:b/>
                <w:bCs/>
                <w:sz w:val="18"/>
                <w:szCs w:val="18"/>
                <w:lang w:eastAsia="en-US"/>
              </w:rPr>
              <w:t>S</w:t>
            </w:r>
            <w:r w:rsidR="00BF6D64" w:rsidRPr="00ED144B">
              <w:rPr>
                <w:rFonts w:ascii="Calibri" w:eastAsia="Times New Roman" w:hAnsi="Calibri" w:cs="Times New Roman"/>
                <w:b/>
                <w:bCs/>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xml:space="preserve">116,000  </w:t>
            </w:r>
          </w:p>
        </w:tc>
        <w:tc>
          <w:tcPr>
            <w:tcW w:w="980"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1296"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B</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Renforcement des capacités des services techniques décentralisés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motivation des agents de contrôle forestier, 5 par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agent/mois</w:t>
            </w:r>
          </w:p>
        </w:tc>
        <w:tc>
          <w:tcPr>
            <w:tcW w:w="9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  </w:t>
            </w:r>
          </w:p>
        </w:tc>
        <w:tc>
          <w:tcPr>
            <w:tcW w:w="113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38,400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formation des agents de contrôle forestier</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appui logistique au Conseil Provincial des Forêts   (1 par an)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Agriculture </w:t>
            </w:r>
            <w:r w:rsidRPr="00BF6D64">
              <w:rPr>
                <w:rFonts w:ascii="Calibri" w:eastAsia="Times New Roman" w:hAnsi="Calibri" w:cs="Times New Roman"/>
                <w:color w:val="000000"/>
                <w:sz w:val="18"/>
                <w:szCs w:val="18"/>
                <w:lang w:eastAsia="en-US"/>
              </w:rPr>
              <w:t>: motivation</w:t>
            </w:r>
            <w:r w:rsidRPr="00ED144B">
              <w:rPr>
                <w:rFonts w:ascii="Calibri" w:eastAsia="Times New Roman" w:hAnsi="Calibri" w:cs="Times New Roman"/>
                <w:color w:val="000000"/>
                <w:sz w:val="18"/>
                <w:szCs w:val="18"/>
                <w:lang w:eastAsia="en-US"/>
              </w:rPr>
              <w:t xml:space="preserve"> des agents sélectionnés pour réalisation des activités de vulgarisation. 5 agents par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agent/mois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38,400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Affaires foncières motivation  des agents sélectionnés pour réalisation des objectifs fonciers des plans. 1 agent par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Intérieur : motivation des AT et chefs de secteur pour la réalisation et le suivi évaluation des contrats de PDD</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suivi évaluation par les directions provinciales des ST décentralisés (Coordination environnement, inspection provinciale agriculture…)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d'équipements divers pour les services techniques (papèterie, matériel de bureau, vélos...)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achat de </w:t>
            </w:r>
            <w:r w:rsidR="00711C89" w:rsidRPr="00BF6D64">
              <w:rPr>
                <w:rFonts w:ascii="Calibri" w:eastAsia="Times New Roman" w:hAnsi="Calibri" w:cs="Times New Roman"/>
                <w:color w:val="000000"/>
                <w:sz w:val="18"/>
                <w:szCs w:val="18"/>
                <w:lang w:eastAsia="en-US"/>
              </w:rPr>
              <w:t>moteurs hors-bords</w:t>
            </w:r>
            <w:r w:rsidRPr="00ED144B">
              <w:rPr>
                <w:rFonts w:ascii="Calibri" w:eastAsia="Times New Roman" w:hAnsi="Calibri" w:cs="Times New Roman"/>
                <w:color w:val="000000"/>
                <w:sz w:val="18"/>
                <w:szCs w:val="18"/>
                <w:lang w:eastAsia="en-US"/>
              </w:rPr>
              <w:t xml:space="preserve"> </w:t>
            </w:r>
            <w:r w:rsidR="00711C89">
              <w:rPr>
                <w:rFonts w:ascii="Calibri" w:eastAsia="Times New Roman" w:hAnsi="Calibri" w:cs="Times New Roman"/>
                <w:color w:val="000000"/>
                <w:sz w:val="18"/>
                <w:szCs w:val="18"/>
                <w:lang w:eastAsia="en-US"/>
              </w:rPr>
              <w:t xml:space="preserve">pour </w:t>
            </w:r>
            <w:r w:rsidRPr="00ED144B">
              <w:rPr>
                <w:rFonts w:ascii="Calibri" w:eastAsia="Times New Roman" w:hAnsi="Calibri" w:cs="Times New Roman"/>
                <w:color w:val="000000"/>
                <w:sz w:val="18"/>
                <w:szCs w:val="18"/>
                <w:lang w:eastAsia="en-US"/>
              </w:rPr>
              <w:t>pirogues du Minagri pour suivi des contrats de pêche (15 CV) 2 par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fonctionnement annuel des </w:t>
            </w:r>
            <w:r w:rsidRPr="00BF6D64">
              <w:rPr>
                <w:rFonts w:ascii="Calibri" w:eastAsia="Times New Roman" w:hAnsi="Calibri" w:cs="Times New Roman"/>
                <w:color w:val="000000"/>
                <w:sz w:val="18"/>
                <w:szCs w:val="18"/>
                <w:lang w:eastAsia="en-US"/>
              </w:rPr>
              <w:t>hors-bord</w:t>
            </w:r>
            <w:r w:rsidR="00711C89">
              <w:rPr>
                <w:rFonts w:ascii="Calibri" w:eastAsia="Times New Roman" w:hAnsi="Calibri" w:cs="Times New Roman"/>
                <w:color w:val="000000"/>
                <w:sz w:val="18"/>
                <w:szCs w:val="18"/>
                <w:lang w:eastAsia="en-US"/>
              </w:rPr>
              <w:t>s</w:t>
            </w:r>
            <w:r w:rsidRPr="00ED144B">
              <w:rPr>
                <w:rFonts w:ascii="Calibri" w:eastAsia="Times New Roman" w:hAnsi="Calibri" w:cs="Times New Roman"/>
                <w:color w:val="000000"/>
                <w:sz w:val="18"/>
                <w:szCs w:val="18"/>
                <w:lang w:eastAsia="en-US"/>
              </w:rPr>
              <w:t xml:space="preserve"> (2 tournées par an)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16,000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4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rPr>
                <w:rFonts w:ascii="Calibri" w:eastAsia="Times New Roman" w:hAnsi="Calibri" w:cs="Times New Roman"/>
                <w:b/>
                <w:bCs/>
                <w:sz w:val="18"/>
                <w:szCs w:val="18"/>
                <w:lang w:eastAsia="en-US"/>
              </w:rPr>
            </w:pPr>
            <w:r w:rsidRPr="00ED144B">
              <w:rPr>
                <w:rFonts w:ascii="Calibri" w:eastAsia="Times New Roman" w:hAnsi="Calibri" w:cs="Times New Roman"/>
                <w:b/>
                <w:bCs/>
                <w:sz w:val="18"/>
                <w:szCs w:val="18"/>
                <w:lang w:eastAsia="en-US"/>
              </w:rPr>
              <w:t xml:space="preserve">sous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154,800  </w:t>
            </w:r>
          </w:p>
        </w:tc>
        <w:tc>
          <w:tcPr>
            <w:tcW w:w="98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Réalisation des investissements structurants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District du Mai-Ndombe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5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entretien des routes à 400 dollars</w:t>
            </w:r>
            <w:r>
              <w:rPr>
                <w:rFonts w:ascii="Calibri" w:eastAsia="Times New Roman" w:hAnsi="Calibri" w:cs="Times New Roman"/>
                <w:color w:val="000000"/>
                <w:sz w:val="18"/>
                <w:szCs w:val="18"/>
                <w:lang w:eastAsia="en-US"/>
              </w:rPr>
              <w:t xml:space="preserve"> par an soit 33 dollars/km/mois</w:t>
            </w:r>
            <w:r w:rsidRPr="00ED144B">
              <w:rPr>
                <w:rFonts w:ascii="Calibri" w:eastAsia="Times New Roman" w:hAnsi="Calibri" w:cs="Times New Roman"/>
                <w:color w:val="000000"/>
                <w:sz w:val="18"/>
                <w:szCs w:val="18"/>
                <w:lang w:eastAsia="en-US"/>
              </w:rPr>
              <w:t>, 500 km de points chauds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km/an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5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construction de ponts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5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équipements de transfor</w:t>
            </w:r>
            <w:r>
              <w:rPr>
                <w:rFonts w:ascii="Calibri" w:eastAsia="Times New Roman" w:hAnsi="Calibri" w:cs="Times New Roman"/>
                <w:color w:val="000000"/>
                <w:sz w:val="18"/>
                <w:szCs w:val="18"/>
                <w:lang w:eastAsia="en-US"/>
              </w:rPr>
              <w:t>mation des produits agricoles (</w:t>
            </w:r>
            <w:r w:rsidRPr="00ED144B">
              <w:rPr>
                <w:rFonts w:ascii="Calibri" w:eastAsia="Times New Roman" w:hAnsi="Calibri" w:cs="Times New Roman"/>
                <w:color w:val="000000"/>
                <w:sz w:val="18"/>
                <w:szCs w:val="18"/>
                <w:lang w:eastAsia="en-US"/>
              </w:rPr>
              <w:t>4 par territoire)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unité</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55"/>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District des Plateaux</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540"/>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4</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entretien des routes à 500 dollars</w:t>
            </w:r>
            <w:r>
              <w:rPr>
                <w:rFonts w:ascii="Calibri" w:eastAsia="Times New Roman" w:hAnsi="Calibri" w:cs="Times New Roman"/>
                <w:color w:val="000000"/>
                <w:sz w:val="18"/>
                <w:szCs w:val="18"/>
                <w:lang w:eastAsia="en-US"/>
              </w:rPr>
              <w:t xml:space="preserve"> par an soit 33 dollars/km/mois</w:t>
            </w:r>
            <w:r w:rsidRPr="00ED144B">
              <w:rPr>
                <w:rFonts w:ascii="Calibri" w:eastAsia="Times New Roman" w:hAnsi="Calibri" w:cs="Times New Roman"/>
                <w:color w:val="000000"/>
                <w:sz w:val="18"/>
                <w:szCs w:val="18"/>
                <w:lang w:eastAsia="en-US"/>
              </w:rPr>
              <w:t>, 200 km de points chauds</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km/an</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200</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980"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540"/>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5</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construction de ponts dont redressement de Ngamboko entre Yumbi et Bolobo</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508,788  </w:t>
            </w:r>
          </w:p>
        </w:tc>
        <w:tc>
          <w:tcPr>
            <w:tcW w:w="1139"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55"/>
        </w:trPr>
        <w:tc>
          <w:tcPr>
            <w:tcW w:w="49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6</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bac de Lediba</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113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280,000  </w:t>
            </w:r>
          </w:p>
        </w:tc>
        <w:tc>
          <w:tcPr>
            <w:tcW w:w="980" w:type="dxa"/>
            <w:tcBorders>
              <w:top w:val="single" w:sz="4" w:space="0" w:color="auto"/>
              <w:left w:val="nil"/>
              <w:bottom w:val="nil"/>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single" w:sz="4" w:space="0" w:color="auto"/>
              <w:left w:val="nil"/>
              <w:bottom w:val="nil"/>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single" w:sz="4" w:space="0" w:color="auto"/>
              <w:left w:val="nil"/>
              <w:bottom w:val="nil"/>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D</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Aide aux CLD à planifier la meilleure gestion des Ressources naturelles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avec ONG pour création ou renforcement des CLD et réalisation des PDD</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9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  </w:t>
            </w:r>
          </w:p>
        </w:tc>
        <w:tc>
          <w:tcPr>
            <w:tcW w:w="113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95"/>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frais d'atelier de programmation</w:t>
            </w:r>
            <w:r w:rsidR="00EA7F75">
              <w:rPr>
                <w:rFonts w:ascii="Calibri" w:eastAsia="Times New Roman" w:hAnsi="Calibri" w:cs="Times New Roman"/>
                <w:color w:val="000000"/>
                <w:sz w:val="18"/>
                <w:szCs w:val="18"/>
                <w:lang w:eastAsia="en-US"/>
              </w:rPr>
              <w:t xml:space="preserve"> et de suivi évaluation des PSG</w:t>
            </w:r>
            <w:r w:rsidRPr="00ED144B">
              <w:rPr>
                <w:rFonts w:ascii="Calibri" w:eastAsia="Times New Roman" w:hAnsi="Calibri" w:cs="Times New Roman"/>
                <w:color w:val="000000"/>
                <w:sz w:val="18"/>
                <w:szCs w:val="18"/>
                <w:lang w:eastAsia="en-US"/>
              </w:rPr>
              <w:t xml:space="preserve"> de CLD</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CLD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enregistrement des statuts, des plans, des contrats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par institution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0  </w:t>
            </w:r>
          </w:p>
        </w:tc>
        <w:tc>
          <w:tcPr>
            <w:tcW w:w="980" w:type="dxa"/>
            <w:tcBorders>
              <w:top w:val="nil"/>
              <w:left w:val="single" w:sz="4" w:space="0" w:color="auto"/>
              <w:bottom w:val="nil"/>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nil"/>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nil"/>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E</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A</w:t>
            </w:r>
            <w:r w:rsidR="00EA7F75">
              <w:rPr>
                <w:rFonts w:ascii="Calibri" w:eastAsia="Times New Roman" w:hAnsi="Calibri" w:cs="Times New Roman"/>
                <w:b/>
                <w:bCs/>
                <w:color w:val="000000"/>
                <w:sz w:val="18"/>
                <w:szCs w:val="18"/>
                <w:lang w:eastAsia="en-US"/>
              </w:rPr>
              <w:t>ppui aux investissements des PSG</w:t>
            </w:r>
            <w:r w:rsidRPr="00ED144B">
              <w:rPr>
                <w:rFonts w:ascii="Calibri" w:eastAsia="Times New Roman" w:hAnsi="Calibri" w:cs="Times New Roman"/>
                <w:b/>
                <w:bCs/>
                <w:color w:val="000000"/>
                <w:sz w:val="18"/>
                <w:szCs w:val="18"/>
                <w:lang w:eastAsia="en-US"/>
              </w:rPr>
              <w:t xml:space="preserve"> de CLD et à la recherche développement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lastRenderedPageBreak/>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contrats ONG appui technique sectoriel 3 par territoire, 5 ans : pêche, agriculture, foret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territoire/an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single" w:sz="4" w:space="0" w:color="auto"/>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équipement des pépinières agroforestières de CLD (</w:t>
            </w:r>
            <w:r w:rsidRPr="00BF6D64">
              <w:rPr>
                <w:rFonts w:ascii="Calibri" w:eastAsia="Times New Roman" w:hAnsi="Calibri" w:cs="Times New Roman"/>
                <w:color w:val="000000"/>
                <w:sz w:val="18"/>
                <w:szCs w:val="18"/>
                <w:lang w:eastAsia="en-US"/>
              </w:rPr>
              <w:t>râteaux</w:t>
            </w:r>
            <w:r w:rsidRPr="00ED144B">
              <w:rPr>
                <w:rFonts w:ascii="Calibri" w:eastAsia="Times New Roman" w:hAnsi="Calibri" w:cs="Times New Roman"/>
                <w:color w:val="000000"/>
                <w:sz w:val="18"/>
                <w:szCs w:val="18"/>
                <w:lang w:eastAsia="en-US"/>
              </w:rPr>
              <w:t>, brouettes…) pour 600 pépinières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pépinière</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semences pour les pépinières agroforestières une pour deux villages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432,000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création de parcs à bois manioc tous les CLD (y compris achat bouture) 1/2 ha par CLD</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CLD</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220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52,800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achat de semences de maïs amélioré pour 1/2 ha de champ de multiplication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kg</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25</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18,000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8</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mise en place de la cogestion de la pêche responsable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55"/>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9</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appuis aux organisations de pêcheurs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an</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55"/>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autres investissements programmés par les PDD</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500,000  </w:t>
            </w:r>
          </w:p>
        </w:tc>
        <w:tc>
          <w:tcPr>
            <w:tcW w:w="113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1,042,800  </w:t>
            </w:r>
          </w:p>
        </w:tc>
        <w:tc>
          <w:tcPr>
            <w:tcW w:w="980"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F</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Contrats pour paiement au Résultat</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Développement de l'agriculture en </w:t>
            </w:r>
            <w:r w:rsidRPr="00BF6D64">
              <w:rPr>
                <w:rFonts w:ascii="Calibri" w:eastAsia="Times New Roman" w:hAnsi="Calibri" w:cs="Times New Roman"/>
                <w:color w:val="000000"/>
                <w:sz w:val="18"/>
                <w:szCs w:val="18"/>
                <w:lang w:eastAsia="en-US"/>
              </w:rPr>
              <w:t>savane</w:t>
            </w:r>
            <w:r w:rsidRPr="00ED144B">
              <w:rPr>
                <w:rFonts w:ascii="Calibri" w:eastAsia="Times New Roman" w:hAnsi="Calibri" w:cs="Times New Roman"/>
                <w:color w:val="000000"/>
                <w:sz w:val="18"/>
                <w:szCs w:val="18"/>
                <w:lang w:eastAsia="en-US"/>
              </w:rPr>
              <w:t xml:space="preserve"> (Modèle 1)</w:t>
            </w:r>
          </w:p>
        </w:tc>
        <w:tc>
          <w:tcPr>
            <w:tcW w:w="1160" w:type="dxa"/>
            <w:tcBorders>
              <w:top w:val="nil"/>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nil"/>
              <w:left w:val="nil"/>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  </w:t>
            </w:r>
          </w:p>
        </w:tc>
        <w:tc>
          <w:tcPr>
            <w:tcW w:w="1139" w:type="dxa"/>
            <w:tcBorders>
              <w:top w:val="nil"/>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20,000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480,000  </w:t>
            </w:r>
          </w:p>
        </w:tc>
        <w:tc>
          <w:tcPr>
            <w:tcW w:w="980" w:type="dxa"/>
            <w:tcBorders>
              <w:top w:val="nil"/>
              <w:left w:val="single" w:sz="4" w:space="0" w:color="auto"/>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Développement de l'agriculture en </w:t>
            </w:r>
            <w:r w:rsidRPr="00BF6D64">
              <w:rPr>
                <w:rFonts w:ascii="Calibri" w:eastAsia="Times New Roman" w:hAnsi="Calibri" w:cs="Times New Roman"/>
                <w:color w:val="000000"/>
                <w:sz w:val="18"/>
                <w:szCs w:val="18"/>
                <w:lang w:eastAsia="en-US"/>
              </w:rPr>
              <w:t>savane</w:t>
            </w:r>
            <w:r w:rsidRPr="00ED144B">
              <w:rPr>
                <w:rFonts w:ascii="Calibri" w:eastAsia="Times New Roman" w:hAnsi="Calibri" w:cs="Times New Roman"/>
                <w:color w:val="000000"/>
                <w:sz w:val="18"/>
                <w:szCs w:val="18"/>
                <w:lang w:eastAsia="en-US"/>
              </w:rPr>
              <w:t xml:space="preserve"> (Modèle 2)</w:t>
            </w:r>
          </w:p>
        </w:tc>
        <w:tc>
          <w:tcPr>
            <w:tcW w:w="1160"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  </w:t>
            </w:r>
          </w:p>
        </w:tc>
        <w:tc>
          <w:tcPr>
            <w:tcW w:w="1139"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600,000  </w:t>
            </w:r>
          </w:p>
        </w:tc>
        <w:tc>
          <w:tcPr>
            <w:tcW w:w="980" w:type="dxa"/>
            <w:tcBorders>
              <w:top w:val="single" w:sz="4" w:space="0" w:color="auto"/>
              <w:left w:val="single" w:sz="4" w:space="0" w:color="auto"/>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Développement de l'agriculture en </w:t>
            </w:r>
            <w:r w:rsidRPr="00BF6D64">
              <w:rPr>
                <w:rFonts w:ascii="Calibri" w:eastAsia="Times New Roman" w:hAnsi="Calibri" w:cs="Times New Roman"/>
                <w:color w:val="000000"/>
                <w:sz w:val="18"/>
                <w:szCs w:val="18"/>
                <w:lang w:eastAsia="en-US"/>
              </w:rPr>
              <w:t>savane</w:t>
            </w:r>
            <w:r w:rsidRPr="00ED144B">
              <w:rPr>
                <w:rFonts w:ascii="Calibri" w:eastAsia="Times New Roman" w:hAnsi="Calibri" w:cs="Times New Roman"/>
                <w:color w:val="000000"/>
                <w:sz w:val="18"/>
                <w:szCs w:val="18"/>
                <w:lang w:eastAsia="en-US"/>
              </w:rPr>
              <w:t xml:space="preserve"> (Modèle 3)</w:t>
            </w:r>
          </w:p>
        </w:tc>
        <w:tc>
          <w:tcPr>
            <w:tcW w:w="1160"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230  </w:t>
            </w:r>
          </w:p>
        </w:tc>
        <w:tc>
          <w:tcPr>
            <w:tcW w:w="1139"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460,000  </w:t>
            </w:r>
          </w:p>
        </w:tc>
        <w:tc>
          <w:tcPr>
            <w:tcW w:w="980" w:type="dxa"/>
            <w:tcBorders>
              <w:top w:val="single" w:sz="4" w:space="0" w:color="auto"/>
              <w:left w:val="single" w:sz="4" w:space="0" w:color="auto"/>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48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Développement des cultures pérennes en alternative aux cultures vivrières sur jachère brulis</w:t>
            </w:r>
          </w:p>
        </w:tc>
        <w:tc>
          <w:tcPr>
            <w:tcW w:w="1160"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260  </w:t>
            </w:r>
          </w:p>
        </w:tc>
        <w:tc>
          <w:tcPr>
            <w:tcW w:w="1139"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1,040,000  </w:t>
            </w:r>
          </w:p>
        </w:tc>
        <w:tc>
          <w:tcPr>
            <w:tcW w:w="980" w:type="dxa"/>
            <w:tcBorders>
              <w:top w:val="single" w:sz="4" w:space="0" w:color="auto"/>
              <w:left w:val="single" w:sz="4" w:space="0" w:color="auto"/>
              <w:bottom w:val="nil"/>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single" w:sz="4" w:space="0" w:color="auto"/>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single" w:sz="4" w:space="0" w:color="auto"/>
              <w:left w:val="nil"/>
              <w:bottom w:val="nil"/>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w:t>
            </w:r>
          </w:p>
        </w:tc>
        <w:tc>
          <w:tcPr>
            <w:tcW w:w="6621"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Mise en défens de </w:t>
            </w:r>
            <w:r w:rsidRPr="00BF6D64">
              <w:rPr>
                <w:rFonts w:ascii="Calibri" w:eastAsia="Times New Roman" w:hAnsi="Calibri" w:cs="Times New Roman"/>
                <w:color w:val="000000"/>
                <w:sz w:val="18"/>
                <w:szCs w:val="18"/>
                <w:lang w:eastAsia="en-US"/>
              </w:rPr>
              <w:t>forêts</w:t>
            </w:r>
            <w:r w:rsidRPr="00ED144B">
              <w:rPr>
                <w:rFonts w:ascii="Calibri" w:eastAsia="Times New Roman" w:hAnsi="Calibri" w:cs="Times New Roman"/>
                <w:color w:val="000000"/>
                <w:sz w:val="18"/>
                <w:szCs w:val="18"/>
                <w:lang w:eastAsia="en-US"/>
              </w:rPr>
              <w:t xml:space="preserve"> </w:t>
            </w:r>
            <w:r w:rsidRPr="00BF6D64">
              <w:rPr>
                <w:rFonts w:ascii="Calibri" w:eastAsia="Times New Roman" w:hAnsi="Calibri" w:cs="Times New Roman"/>
                <w:color w:val="000000"/>
                <w:sz w:val="18"/>
                <w:szCs w:val="18"/>
                <w:lang w:eastAsia="en-US"/>
              </w:rPr>
              <w:t>à</w:t>
            </w:r>
            <w:r w:rsidRPr="00ED144B">
              <w:rPr>
                <w:rFonts w:ascii="Calibri" w:eastAsia="Times New Roman" w:hAnsi="Calibri" w:cs="Times New Roman"/>
                <w:color w:val="000000"/>
                <w:sz w:val="18"/>
                <w:szCs w:val="18"/>
                <w:lang w:eastAsia="en-US"/>
              </w:rPr>
              <w:t xml:space="preserve"> haute valeur de conservation</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ha</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30  </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10,000</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120,000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single" w:sz="4" w:space="0" w:color="auto"/>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2,700,000  </w:t>
            </w:r>
          </w:p>
        </w:tc>
        <w:tc>
          <w:tcPr>
            <w:tcW w:w="98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G</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Soutien au </w:t>
            </w:r>
            <w:r w:rsidRPr="00BF6D64">
              <w:rPr>
                <w:rFonts w:ascii="Calibri" w:eastAsia="Times New Roman" w:hAnsi="Calibri" w:cs="Times New Roman"/>
                <w:b/>
                <w:bCs/>
                <w:color w:val="000000"/>
                <w:sz w:val="18"/>
                <w:szCs w:val="18"/>
                <w:lang w:eastAsia="en-US"/>
              </w:rPr>
              <w:t>développement</w:t>
            </w:r>
            <w:r w:rsidRPr="00ED144B">
              <w:rPr>
                <w:rFonts w:ascii="Calibri" w:eastAsia="Times New Roman" w:hAnsi="Calibri" w:cs="Times New Roman"/>
                <w:b/>
                <w:bCs/>
                <w:color w:val="000000"/>
                <w:sz w:val="18"/>
                <w:szCs w:val="18"/>
                <w:lang w:eastAsia="en-US"/>
              </w:rPr>
              <w:t xml:space="preserve"> de </w:t>
            </w:r>
            <w:r w:rsidRPr="00BF6D64">
              <w:rPr>
                <w:rFonts w:ascii="Calibri" w:eastAsia="Times New Roman" w:hAnsi="Calibri" w:cs="Times New Roman"/>
                <w:b/>
                <w:bCs/>
                <w:color w:val="000000"/>
                <w:sz w:val="18"/>
                <w:szCs w:val="18"/>
                <w:lang w:eastAsia="en-US"/>
              </w:rPr>
              <w:t>filières</w:t>
            </w:r>
            <w:r w:rsidRPr="00ED144B">
              <w:rPr>
                <w:rFonts w:ascii="Calibri" w:eastAsia="Times New Roman" w:hAnsi="Calibri" w:cs="Times New Roman"/>
                <w:b/>
                <w:bCs/>
                <w:color w:val="000000"/>
                <w:sz w:val="18"/>
                <w:szCs w:val="18"/>
                <w:lang w:eastAsia="en-US"/>
              </w:rPr>
              <w:t xml:space="preserve"> (café, cacao, hévéa, huile de palme)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F2F2F2"/>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aval des filières dont appui aux commerçants et équipements </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xml:space="preserve">100,000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Assistance technique à l'animation de filière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250,000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sz w:val="18"/>
                <w:szCs w:val="18"/>
                <w:lang w:eastAsia="en-US"/>
              </w:rPr>
            </w:pPr>
            <w:r w:rsidRPr="00ED144B">
              <w:rPr>
                <w:rFonts w:ascii="Calibri" w:eastAsia="Times New Roman" w:hAnsi="Calibri" w:cs="Times New Roman"/>
                <w:sz w:val="18"/>
                <w:szCs w:val="18"/>
                <w:lang w:eastAsia="en-US"/>
              </w:rPr>
              <w:t xml:space="preserve">100,000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200,000  </w:t>
            </w:r>
          </w:p>
        </w:tc>
        <w:tc>
          <w:tcPr>
            <w:tcW w:w="980"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684"/>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H</w:t>
            </w:r>
          </w:p>
        </w:tc>
        <w:tc>
          <w:tcPr>
            <w:tcW w:w="6621" w:type="dxa"/>
            <w:tcBorders>
              <w:top w:val="nil"/>
              <w:left w:val="nil"/>
              <w:bottom w:val="single" w:sz="4" w:space="0" w:color="auto"/>
              <w:right w:val="single" w:sz="4" w:space="0" w:color="auto"/>
            </w:tcBorders>
            <w:shd w:val="clear" w:color="000000" w:fill="FFFFFF"/>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I</w:t>
            </w:r>
            <w:r w:rsidR="00BF6D64" w:rsidRPr="00ED144B">
              <w:rPr>
                <w:rFonts w:ascii="Calibri" w:eastAsia="Times New Roman" w:hAnsi="Calibri" w:cs="Times New Roman"/>
                <w:b/>
                <w:bCs/>
                <w:color w:val="000000"/>
                <w:sz w:val="18"/>
                <w:szCs w:val="18"/>
                <w:lang w:eastAsia="en-US"/>
              </w:rPr>
              <w:t xml:space="preserve">nitiation au </w:t>
            </w:r>
            <w:r w:rsidR="00BF6D64" w:rsidRPr="00BF6D64">
              <w:rPr>
                <w:rFonts w:ascii="Calibri" w:eastAsia="Times New Roman" w:hAnsi="Calibri" w:cs="Times New Roman"/>
                <w:b/>
                <w:bCs/>
                <w:color w:val="000000"/>
                <w:sz w:val="18"/>
                <w:szCs w:val="18"/>
                <w:lang w:eastAsia="en-US"/>
              </w:rPr>
              <w:t>planning</w:t>
            </w:r>
            <w:r w:rsidR="00BF6D64" w:rsidRPr="00ED144B">
              <w:rPr>
                <w:rFonts w:ascii="Calibri" w:eastAsia="Times New Roman" w:hAnsi="Calibri" w:cs="Times New Roman"/>
                <w:b/>
                <w:bCs/>
                <w:color w:val="000000"/>
                <w:sz w:val="18"/>
                <w:szCs w:val="18"/>
                <w:lang w:eastAsia="en-US"/>
              </w:rPr>
              <w:t xml:space="preserve"> familial (contrats avec ONG locale) et à la prévention d'Ebola et du VIH SIDA</w:t>
            </w:r>
          </w:p>
        </w:tc>
        <w:tc>
          <w:tcPr>
            <w:tcW w:w="1160" w:type="dxa"/>
            <w:tcBorders>
              <w:top w:val="nil"/>
              <w:left w:val="nil"/>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provision annuelle par territoire</w:t>
            </w:r>
          </w:p>
        </w:tc>
        <w:tc>
          <w:tcPr>
            <w:tcW w:w="998" w:type="dxa"/>
            <w:tcBorders>
              <w:top w:val="nil"/>
              <w:left w:val="nil"/>
              <w:bottom w:val="single" w:sz="4" w:space="0" w:color="auto"/>
              <w:right w:val="nil"/>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50,000</w:t>
            </w:r>
          </w:p>
        </w:tc>
        <w:tc>
          <w:tcPr>
            <w:tcW w:w="1139" w:type="dxa"/>
            <w:tcBorders>
              <w:top w:val="nil"/>
              <w:left w:val="single" w:sz="4" w:space="0" w:color="auto"/>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100,000  </w:t>
            </w:r>
          </w:p>
        </w:tc>
        <w:tc>
          <w:tcPr>
            <w:tcW w:w="980" w:type="dxa"/>
            <w:tcBorders>
              <w:top w:val="nil"/>
              <w:left w:val="single" w:sz="4" w:space="0" w:color="auto"/>
              <w:bottom w:val="single" w:sz="4" w:space="0" w:color="auto"/>
              <w:right w:val="nil"/>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FFFFFF"/>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100,000  </w:t>
            </w:r>
          </w:p>
        </w:tc>
        <w:tc>
          <w:tcPr>
            <w:tcW w:w="980"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Plan pour les Peuples Autochtones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Consultation pour identifier les </w:t>
            </w:r>
            <w:r w:rsidRPr="00BF6D64">
              <w:rPr>
                <w:rFonts w:ascii="Calibri" w:eastAsia="Times New Roman" w:hAnsi="Calibri" w:cs="Times New Roman"/>
                <w:color w:val="000000"/>
                <w:sz w:val="18"/>
                <w:szCs w:val="18"/>
                <w:lang w:eastAsia="en-US"/>
              </w:rPr>
              <w:t>priorités</w:t>
            </w:r>
            <w:r w:rsidRPr="00ED144B">
              <w:rPr>
                <w:rFonts w:ascii="Calibri" w:eastAsia="Times New Roman" w:hAnsi="Calibri" w:cs="Times New Roman"/>
                <w:color w:val="000000"/>
                <w:sz w:val="18"/>
                <w:szCs w:val="18"/>
                <w:lang w:eastAsia="en-US"/>
              </w:rPr>
              <w:t xml:space="preserve"> des PDPAs existants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BF6D64">
              <w:rPr>
                <w:rFonts w:ascii="Calibri" w:eastAsia="Times New Roman" w:hAnsi="Calibri" w:cs="Times New Roman"/>
                <w:color w:val="000000"/>
                <w:sz w:val="18"/>
                <w:szCs w:val="18"/>
                <w:lang w:eastAsia="en-US"/>
              </w:rPr>
              <w:t>Réalisation</w:t>
            </w:r>
            <w:r w:rsidRPr="00ED144B">
              <w:rPr>
                <w:rFonts w:ascii="Calibri" w:eastAsia="Times New Roman" w:hAnsi="Calibri" w:cs="Times New Roman"/>
                <w:color w:val="000000"/>
                <w:sz w:val="18"/>
                <w:szCs w:val="18"/>
                <w:lang w:eastAsia="en-US"/>
              </w:rPr>
              <w:t xml:space="preserve"> de micro-projets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700,000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280,000  </w:t>
            </w:r>
          </w:p>
        </w:tc>
        <w:tc>
          <w:tcPr>
            <w:tcW w:w="980"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9D9D9"/>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ous total </w:t>
            </w:r>
          </w:p>
        </w:tc>
        <w:tc>
          <w:tcPr>
            <w:tcW w:w="1160"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280,000  </w:t>
            </w:r>
          </w:p>
        </w:tc>
        <w:tc>
          <w:tcPr>
            <w:tcW w:w="980"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D9D9D9"/>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ACTIVITES</w:t>
            </w:r>
          </w:p>
        </w:tc>
        <w:tc>
          <w:tcPr>
            <w:tcW w:w="1160"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4,873,600  </w:t>
            </w:r>
          </w:p>
        </w:tc>
        <w:tc>
          <w:tcPr>
            <w:tcW w:w="980"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4,873,600  </w:t>
            </w:r>
          </w:p>
        </w:tc>
        <w:tc>
          <w:tcPr>
            <w:tcW w:w="67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54%</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VI </w:t>
            </w:r>
          </w:p>
        </w:tc>
        <w:tc>
          <w:tcPr>
            <w:tcW w:w="498"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711C89"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S</w:t>
            </w:r>
            <w:r w:rsidR="00BF6D64" w:rsidRPr="00ED144B">
              <w:rPr>
                <w:rFonts w:ascii="Calibri" w:eastAsia="Times New Roman" w:hAnsi="Calibri" w:cs="Times New Roman"/>
                <w:b/>
                <w:bCs/>
                <w:color w:val="000000"/>
                <w:sz w:val="18"/>
                <w:szCs w:val="18"/>
                <w:lang w:eastAsia="en-US"/>
              </w:rPr>
              <w:t xml:space="preserve">upervision et suivi évaluation </w:t>
            </w:r>
            <w:r w:rsidR="00BF6D64">
              <w:rPr>
                <w:rFonts w:ascii="Calibri" w:eastAsia="Times New Roman" w:hAnsi="Calibri" w:cs="Times New Roman"/>
                <w:b/>
                <w:bCs/>
                <w:color w:val="000000"/>
                <w:sz w:val="18"/>
                <w:szCs w:val="18"/>
                <w:lang w:eastAsia="en-US"/>
              </w:rPr>
              <w:t>réalisés</w:t>
            </w:r>
            <w:r w:rsidR="00BF6D64" w:rsidRPr="00ED144B">
              <w:rPr>
                <w:rFonts w:ascii="Calibri" w:eastAsia="Times New Roman" w:hAnsi="Calibri" w:cs="Times New Roman"/>
                <w:b/>
                <w:bCs/>
                <w:color w:val="000000"/>
                <w:sz w:val="18"/>
                <w:szCs w:val="18"/>
                <w:lang w:eastAsia="en-US"/>
              </w:rPr>
              <w:t xml:space="preserve"> par l'UC-PIF</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renforcement de  l'UC-PIF avec un expert en suivi évaluation</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51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lastRenderedPageBreak/>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renforcement de  l'UC-PIF avec un expert GIS et gestion de base de </w:t>
            </w:r>
            <w:r w:rsidRPr="00BF6D64">
              <w:rPr>
                <w:rFonts w:ascii="Calibri" w:eastAsia="Times New Roman" w:hAnsi="Calibri" w:cs="Times New Roman"/>
                <w:color w:val="000000"/>
                <w:sz w:val="18"/>
                <w:szCs w:val="18"/>
                <w:lang w:eastAsia="en-US"/>
              </w:rPr>
              <w:t>données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24</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96,000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51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3</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per diem et frais de déplacement de l'équipe de suivi évaluation et GIS: une mission terrain tous les 4 mois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jour</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15</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36,000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4</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réunions du Comité de Pilotage du Projet tous les six mois</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réunion </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32,000  </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6</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suivi évaluation externe comptable des ALE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par 6 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15,000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2</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60,000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Ateliers, formations, édition, etc. (Réserve)</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forfait</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200,000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0.4</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80,000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7</w:t>
            </w:r>
          </w:p>
        </w:tc>
        <w:tc>
          <w:tcPr>
            <w:tcW w:w="6621"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Fonctionnement de l'UC-PIF au-delà de la date de clôture du PGPAF</w:t>
            </w:r>
          </w:p>
        </w:tc>
        <w:tc>
          <w:tcPr>
            <w:tcW w:w="1160"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mois</w:t>
            </w:r>
          </w:p>
        </w:tc>
        <w:tc>
          <w:tcPr>
            <w:tcW w:w="998"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40,000  </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w:t>
            </w:r>
          </w:p>
        </w:tc>
        <w:tc>
          <w:tcPr>
            <w:tcW w:w="953"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18</w:t>
            </w:r>
          </w:p>
        </w:tc>
        <w:tc>
          <w:tcPr>
            <w:tcW w:w="1237" w:type="dxa"/>
            <w:tcBorders>
              <w:top w:val="nil"/>
              <w:left w:val="nil"/>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xml:space="preserve">720,000  </w:t>
            </w:r>
          </w:p>
        </w:tc>
        <w:tc>
          <w:tcPr>
            <w:tcW w:w="1296" w:type="dxa"/>
            <w:tcBorders>
              <w:top w:val="nil"/>
              <w:left w:val="single" w:sz="4" w:space="0" w:color="auto"/>
              <w:bottom w:val="single" w:sz="4" w:space="0" w:color="auto"/>
              <w:right w:val="nil"/>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79" w:type="dxa"/>
            <w:tcBorders>
              <w:top w:val="nil"/>
              <w:left w:val="single" w:sz="4" w:space="0" w:color="auto"/>
              <w:bottom w:val="single" w:sz="4" w:space="0" w:color="auto"/>
              <w:right w:val="single" w:sz="4" w:space="0" w:color="auto"/>
            </w:tcBorders>
            <w:shd w:val="clear" w:color="auto" w:fill="auto"/>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r>
      <w:tr w:rsidR="00BF6D64" w:rsidRPr="00BF6D64" w:rsidTr="00ED144B">
        <w:trPr>
          <w:trHeight w:val="240"/>
        </w:trPr>
        <w:tc>
          <w:tcPr>
            <w:tcW w:w="49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498"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TOTAL SUPERVISION</w:t>
            </w:r>
          </w:p>
        </w:tc>
        <w:tc>
          <w:tcPr>
            <w:tcW w:w="1160"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1237" w:type="dxa"/>
            <w:tcBorders>
              <w:top w:val="nil"/>
              <w:left w:val="nil"/>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nil"/>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1,120,000  </w:t>
            </w:r>
          </w:p>
        </w:tc>
        <w:tc>
          <w:tcPr>
            <w:tcW w:w="1296" w:type="dxa"/>
            <w:tcBorders>
              <w:top w:val="nil"/>
              <w:left w:val="single" w:sz="4" w:space="0" w:color="auto"/>
              <w:bottom w:val="single" w:sz="4" w:space="0" w:color="auto"/>
              <w:right w:val="nil"/>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1,120,000  </w:t>
            </w:r>
          </w:p>
        </w:tc>
        <w:tc>
          <w:tcPr>
            <w:tcW w:w="679" w:type="dxa"/>
            <w:tcBorders>
              <w:top w:val="nil"/>
              <w:left w:val="single" w:sz="4" w:space="0" w:color="auto"/>
              <w:bottom w:val="single" w:sz="4" w:space="0" w:color="auto"/>
              <w:right w:val="single" w:sz="4" w:space="0" w:color="auto"/>
            </w:tcBorders>
            <w:shd w:val="clear" w:color="000000" w:fill="DCE6F1"/>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12%</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VII</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4805DD"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T</w:t>
            </w:r>
            <w:r w:rsidR="00BF6D64" w:rsidRPr="00ED144B">
              <w:rPr>
                <w:rFonts w:ascii="Calibri" w:eastAsia="Times New Roman" w:hAnsi="Calibri" w:cs="Times New Roman"/>
                <w:b/>
                <w:bCs/>
                <w:color w:val="000000"/>
                <w:sz w:val="18"/>
                <w:szCs w:val="18"/>
                <w:lang w:eastAsia="en-US"/>
              </w:rPr>
              <w:t xml:space="preserve">otal coûts éligibles </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7,423,040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1,120,000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8,543,040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95%</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VIII</w:t>
            </w:r>
          </w:p>
        </w:tc>
        <w:tc>
          <w:tcPr>
            <w:tcW w:w="498"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4805DD"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I</w:t>
            </w:r>
            <w:r w:rsidR="00BF6D64" w:rsidRPr="00ED144B">
              <w:rPr>
                <w:rFonts w:ascii="Calibri" w:eastAsia="Times New Roman" w:hAnsi="Calibri" w:cs="Times New Roman"/>
                <w:b/>
                <w:bCs/>
                <w:color w:val="000000"/>
                <w:sz w:val="18"/>
                <w:szCs w:val="18"/>
                <w:lang w:eastAsia="en-US"/>
              </w:rPr>
              <w:t>mprévus sur total coûts éligibles</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nil"/>
              <w:left w:val="nil"/>
              <w:bottom w:val="nil"/>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color w:val="000000"/>
                <w:sz w:val="18"/>
                <w:szCs w:val="18"/>
                <w:lang w:eastAsia="en-US"/>
              </w:rPr>
            </w:pPr>
            <w:r w:rsidRPr="00ED144B">
              <w:rPr>
                <w:rFonts w:ascii="Calibri" w:eastAsia="Times New Roman" w:hAnsi="Calibri" w:cs="Times New Roman"/>
                <w:color w:val="000000"/>
                <w:sz w:val="18"/>
                <w:szCs w:val="18"/>
                <w:lang w:eastAsia="en-US"/>
              </w:rPr>
              <w:t>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115,602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115,602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w:t>
            </w:r>
          </w:p>
        </w:tc>
      </w:tr>
      <w:tr w:rsidR="00BF6D64" w:rsidRPr="00BF6D64" w:rsidTr="00ED144B">
        <w:trPr>
          <w:trHeight w:val="240"/>
        </w:trPr>
        <w:tc>
          <w:tcPr>
            <w:tcW w:w="499"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IX</w:t>
            </w:r>
          </w:p>
        </w:tc>
        <w:tc>
          <w:tcPr>
            <w:tcW w:w="4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4805DD" w:rsidP="00BF6D64">
            <w:pPr>
              <w:spacing w:after="0" w:line="240" w:lineRule="auto"/>
              <w:rPr>
                <w:rFonts w:ascii="Calibri" w:eastAsia="Times New Roman" w:hAnsi="Calibri" w:cs="Times New Roman"/>
                <w:b/>
                <w:bCs/>
                <w:color w:val="000000"/>
                <w:sz w:val="18"/>
                <w:szCs w:val="18"/>
                <w:lang w:eastAsia="en-US"/>
              </w:rPr>
            </w:pPr>
            <w:r>
              <w:rPr>
                <w:rFonts w:ascii="Calibri" w:eastAsia="Times New Roman" w:hAnsi="Calibri" w:cs="Times New Roman"/>
                <w:b/>
                <w:bCs/>
                <w:color w:val="000000"/>
                <w:sz w:val="18"/>
                <w:szCs w:val="18"/>
                <w:lang w:eastAsia="en-US"/>
              </w:rPr>
              <w:t>F</w:t>
            </w:r>
            <w:r w:rsidR="00BF6D64" w:rsidRPr="00ED144B">
              <w:rPr>
                <w:rFonts w:ascii="Calibri" w:eastAsia="Times New Roman" w:hAnsi="Calibri" w:cs="Times New Roman"/>
                <w:b/>
                <w:bCs/>
                <w:color w:val="000000"/>
                <w:sz w:val="18"/>
                <w:szCs w:val="18"/>
                <w:lang w:eastAsia="en-US"/>
              </w:rPr>
              <w:t>rais généraux  sur total coûts éligibles 5%</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single" w:sz="4" w:space="0" w:color="auto"/>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371,152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371,152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4%</w:t>
            </w:r>
          </w:p>
        </w:tc>
      </w:tr>
      <w:tr w:rsidR="004805DD" w:rsidRPr="00BF6D64" w:rsidTr="00BF6D64">
        <w:trPr>
          <w:trHeight w:val="240"/>
        </w:trPr>
        <w:tc>
          <w:tcPr>
            <w:tcW w:w="499"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X</w:t>
            </w:r>
          </w:p>
        </w:tc>
        <w:tc>
          <w:tcPr>
            <w:tcW w:w="498"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6621"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TOTAL</w:t>
            </w:r>
          </w:p>
        </w:tc>
        <w:tc>
          <w:tcPr>
            <w:tcW w:w="1160"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98"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139"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953" w:type="dxa"/>
            <w:tcBorders>
              <w:top w:val="nil"/>
              <w:left w:val="nil"/>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w:t>
            </w:r>
          </w:p>
        </w:tc>
        <w:tc>
          <w:tcPr>
            <w:tcW w:w="1237" w:type="dxa"/>
            <w:tcBorders>
              <w:top w:val="nil"/>
              <w:left w:val="nil"/>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7,794,192  </w:t>
            </w:r>
          </w:p>
        </w:tc>
        <w:tc>
          <w:tcPr>
            <w:tcW w:w="980"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1,235,602  </w:t>
            </w:r>
          </w:p>
        </w:tc>
        <w:tc>
          <w:tcPr>
            <w:tcW w:w="1296" w:type="dxa"/>
            <w:tcBorders>
              <w:top w:val="nil"/>
              <w:left w:val="single" w:sz="4" w:space="0" w:color="auto"/>
              <w:bottom w:val="single" w:sz="4" w:space="0" w:color="auto"/>
              <w:right w:val="nil"/>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 xml:space="preserve">9,029,794  </w:t>
            </w:r>
          </w:p>
        </w:tc>
        <w:tc>
          <w:tcPr>
            <w:tcW w:w="679" w:type="dxa"/>
            <w:tcBorders>
              <w:top w:val="nil"/>
              <w:left w:val="single" w:sz="4" w:space="0" w:color="auto"/>
              <w:bottom w:val="single" w:sz="4" w:space="0" w:color="auto"/>
              <w:right w:val="single" w:sz="4" w:space="0" w:color="auto"/>
            </w:tcBorders>
            <w:shd w:val="clear" w:color="000000" w:fill="8DB4E2"/>
            <w:vAlign w:val="center"/>
            <w:hideMark/>
          </w:tcPr>
          <w:p w:rsidR="00BF6D64" w:rsidRPr="00ED144B" w:rsidRDefault="00BF6D64" w:rsidP="00BF6D64">
            <w:pPr>
              <w:spacing w:after="0" w:line="240" w:lineRule="auto"/>
              <w:jc w:val="center"/>
              <w:rPr>
                <w:rFonts w:ascii="Calibri" w:eastAsia="Times New Roman" w:hAnsi="Calibri" w:cs="Times New Roman"/>
                <w:b/>
                <w:bCs/>
                <w:color w:val="000000"/>
                <w:sz w:val="18"/>
                <w:szCs w:val="18"/>
                <w:lang w:eastAsia="en-US"/>
              </w:rPr>
            </w:pPr>
            <w:r w:rsidRPr="00ED144B">
              <w:rPr>
                <w:rFonts w:ascii="Calibri" w:eastAsia="Times New Roman" w:hAnsi="Calibri" w:cs="Times New Roman"/>
                <w:b/>
                <w:bCs/>
                <w:color w:val="000000"/>
                <w:sz w:val="18"/>
                <w:szCs w:val="18"/>
                <w:lang w:eastAsia="en-US"/>
              </w:rPr>
              <w:t>100%</w:t>
            </w:r>
          </w:p>
        </w:tc>
      </w:tr>
    </w:tbl>
    <w:p w:rsidR="00472FFD" w:rsidRDefault="00472FFD" w:rsidP="00EF6F07">
      <w:pPr>
        <w:rPr>
          <w:lang w:val="en-US"/>
        </w:rPr>
      </w:pPr>
    </w:p>
    <w:p w:rsidR="00472FFD" w:rsidRDefault="00472FFD">
      <w:pPr>
        <w:spacing w:after="160" w:line="259" w:lineRule="auto"/>
        <w:rPr>
          <w:lang w:val="en-US"/>
        </w:rPr>
      </w:pPr>
      <w:r>
        <w:rPr>
          <w:lang w:val="en-US"/>
        </w:rPr>
        <w:br w:type="page"/>
      </w:r>
    </w:p>
    <w:p w:rsidR="00472FFD" w:rsidRDefault="00472FFD" w:rsidP="00EF6F07">
      <w:pPr>
        <w:rPr>
          <w:lang w:val="en-US"/>
        </w:rPr>
        <w:sectPr w:rsidR="00472FFD" w:rsidSect="000F0563">
          <w:pgSz w:w="16838" w:h="11906" w:orient="landscape"/>
          <w:pgMar w:top="1411" w:right="278" w:bottom="1411" w:left="270" w:header="706" w:footer="706" w:gutter="0"/>
          <w:cols w:space="708"/>
          <w:docGrid w:linePitch="360"/>
        </w:sectPr>
      </w:pPr>
    </w:p>
    <w:p w:rsidR="00BF6D64" w:rsidRPr="00ED144B" w:rsidRDefault="00472FFD" w:rsidP="00EF6F07">
      <w:pPr>
        <w:rPr>
          <w:b/>
          <w:color w:val="2E74B5" w:themeColor="accent1" w:themeShade="BF"/>
        </w:rPr>
      </w:pPr>
      <w:r>
        <w:rPr>
          <w:b/>
          <w:color w:val="2E74B5" w:themeColor="accent1" w:themeShade="BF"/>
        </w:rPr>
        <w:lastRenderedPageBreak/>
        <w:t>ANNEXE 8 -</w:t>
      </w:r>
      <w:r w:rsidRPr="00ED144B">
        <w:rPr>
          <w:b/>
          <w:color w:val="2E74B5" w:themeColor="accent1" w:themeShade="BF"/>
        </w:rPr>
        <w:t xml:space="preserve"> Exemple de Contrat  à mettre en place entre les CLD et le PIREDD Mai-Ndombe</w:t>
      </w:r>
    </w:p>
    <w:p w:rsidR="00433B5E" w:rsidRPr="00D94F69" w:rsidRDefault="00433B5E" w:rsidP="00433B5E">
      <w:pPr>
        <w:jc w:val="center"/>
        <w:rPr>
          <w:rFonts w:ascii="Calibri" w:hAnsi="Calibri" w:cs="Calibri"/>
          <w:b/>
          <w:sz w:val="28"/>
          <w:szCs w:val="28"/>
        </w:rPr>
      </w:pPr>
    </w:p>
    <w:p w:rsidR="00433B5E" w:rsidRPr="00D94F69" w:rsidRDefault="00433B5E" w:rsidP="00433B5E">
      <w:pPr>
        <w:jc w:val="center"/>
        <w:rPr>
          <w:rFonts w:ascii="Calibri" w:hAnsi="Calibri" w:cs="Calibri"/>
          <w:b/>
          <w:sz w:val="28"/>
          <w:szCs w:val="28"/>
        </w:rPr>
      </w:pPr>
      <w:r>
        <w:rPr>
          <w:noProof/>
        </w:rPr>
        <w:drawing>
          <wp:anchor distT="0" distB="0" distL="114300" distR="114300" simplePos="0" relativeHeight="251675648" behindDoc="0" locked="0" layoutInCell="1" allowOverlap="1">
            <wp:simplePos x="0" y="0"/>
            <wp:positionH relativeFrom="column">
              <wp:posOffset>-4445</wp:posOffset>
            </wp:positionH>
            <wp:positionV relativeFrom="paragraph">
              <wp:posOffset>161290</wp:posOffset>
            </wp:positionV>
            <wp:extent cx="1099820" cy="1057275"/>
            <wp:effectExtent l="0" t="0" r="5080" b="9525"/>
            <wp:wrapSquare wrapText="bothSides"/>
            <wp:docPr id="17" name="Picture 17" descr="http://pme-rdc.com/nouvelles_armoiries_r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me-rdc.com/nouvelles_armoiries_rdc.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9820" cy="1057275"/>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4824730</wp:posOffset>
            </wp:positionH>
            <wp:positionV relativeFrom="paragraph">
              <wp:posOffset>49530</wp:posOffset>
            </wp:positionV>
            <wp:extent cx="933450" cy="933450"/>
            <wp:effectExtent l="0" t="0" r="0" b="0"/>
            <wp:wrapSquare wrapText="bothSides"/>
            <wp:docPr id="16" name="Picture 16" descr="http://dutron.files.wordpress.com/2008/10/logo-banque-mondi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tron.files.wordpress.com/2008/10/logo-banque-mondial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433B5E" w:rsidRPr="00D94F69" w:rsidRDefault="00433B5E" w:rsidP="00433B5E">
      <w:pPr>
        <w:jc w:val="center"/>
        <w:rPr>
          <w:rFonts w:ascii="Calibri" w:hAnsi="Calibri" w:cs="Calibri"/>
          <w:b/>
          <w:sz w:val="28"/>
          <w:szCs w:val="28"/>
        </w:rPr>
      </w:pPr>
    </w:p>
    <w:p w:rsidR="00433B5E" w:rsidRPr="00D94F69" w:rsidRDefault="00433B5E" w:rsidP="00433B5E">
      <w:pPr>
        <w:pStyle w:val="NormalWeb"/>
        <w:spacing w:before="0" w:beforeAutospacing="0" w:after="0"/>
        <w:rPr>
          <w:rFonts w:ascii="Calibri" w:hAnsi="Calibri" w:cs="Calibri"/>
          <w:b/>
          <w:bCs/>
          <w:lang w:val="fr-FR"/>
        </w:rPr>
      </w:pPr>
    </w:p>
    <w:p w:rsidR="00433B5E" w:rsidRDefault="00433B5E" w:rsidP="00433B5E">
      <w:pPr>
        <w:pStyle w:val="NormalWeb"/>
        <w:spacing w:before="0" w:beforeAutospacing="0" w:after="0"/>
        <w:jc w:val="center"/>
        <w:rPr>
          <w:rFonts w:ascii="Calibri" w:hAnsi="Calibri" w:cs="Calibri"/>
          <w:b/>
          <w:bCs/>
          <w:u w:val="single"/>
          <w:lang w:val="fr-FR"/>
        </w:rPr>
      </w:pPr>
    </w:p>
    <w:p w:rsidR="00433B5E" w:rsidRPr="00ED144B" w:rsidRDefault="00433B5E" w:rsidP="00ED144B">
      <w:pPr>
        <w:spacing w:line="360" w:lineRule="auto"/>
        <w:jc w:val="center"/>
        <w:rPr>
          <w:b/>
          <w:color w:val="0070C0"/>
          <w:sz w:val="36"/>
          <w:szCs w:val="40"/>
        </w:rPr>
      </w:pPr>
      <w:r w:rsidRPr="00322429">
        <w:rPr>
          <w:b/>
          <w:color w:val="0070C0"/>
          <w:sz w:val="36"/>
          <w:szCs w:val="40"/>
        </w:rPr>
        <w:t>REPUBLIQUE DEMOCRATIQUE DU CONGO</w:t>
      </w:r>
    </w:p>
    <w:p w:rsidR="00433B5E" w:rsidRPr="00FD5CBD" w:rsidRDefault="00433B5E" w:rsidP="00433B5E">
      <w:pPr>
        <w:spacing w:line="360" w:lineRule="auto"/>
        <w:jc w:val="center"/>
        <w:rPr>
          <w:b/>
          <w:color w:val="008000"/>
          <w:sz w:val="32"/>
          <w:szCs w:val="36"/>
        </w:rPr>
      </w:pPr>
      <w:r w:rsidRPr="00322429">
        <w:rPr>
          <w:b/>
          <w:color w:val="008000"/>
          <w:sz w:val="32"/>
          <w:szCs w:val="36"/>
        </w:rPr>
        <w:t xml:space="preserve">MINISTERE DE L’ENVIRONNEMENT, CONSERVATION DE LA NATURE ET </w:t>
      </w:r>
      <w:bookmarkStart w:id="84" w:name="_Toc431899541"/>
      <w:r>
        <w:rPr>
          <w:b/>
          <w:color w:val="008000"/>
          <w:sz w:val="32"/>
          <w:szCs w:val="36"/>
        </w:rPr>
        <w:t>DEVELOPPEMENT DURABLE (MECN-DD)</w:t>
      </w:r>
    </w:p>
    <w:p w:rsidR="00433B5E" w:rsidRDefault="00433B5E" w:rsidP="00433B5E">
      <w:pPr>
        <w:spacing w:line="360" w:lineRule="auto"/>
        <w:jc w:val="center"/>
        <w:rPr>
          <w:b/>
          <w:color w:val="0070C0"/>
          <w:sz w:val="28"/>
          <w:szCs w:val="40"/>
        </w:rPr>
      </w:pPr>
    </w:p>
    <w:bookmarkEnd w:id="84"/>
    <w:p w:rsidR="00433B5E" w:rsidRPr="00D36533" w:rsidRDefault="00433B5E" w:rsidP="00433B5E">
      <w:pPr>
        <w:spacing w:line="360" w:lineRule="auto"/>
        <w:jc w:val="center"/>
        <w:rPr>
          <w:b/>
          <w:sz w:val="28"/>
          <w:szCs w:val="36"/>
        </w:rPr>
      </w:pPr>
      <w:r w:rsidRPr="00D36533">
        <w:rPr>
          <w:b/>
          <w:sz w:val="28"/>
          <w:szCs w:val="36"/>
        </w:rPr>
        <w:t>PROGRAMME D'INVESTISSEMENT POUR LA FORET (PIF)</w:t>
      </w:r>
    </w:p>
    <w:p w:rsidR="00433B5E" w:rsidRPr="00D36533" w:rsidRDefault="00433B5E" w:rsidP="00433B5E">
      <w:pPr>
        <w:spacing w:line="360" w:lineRule="auto"/>
        <w:rPr>
          <w:b/>
          <w:sz w:val="28"/>
          <w:szCs w:val="36"/>
        </w:rPr>
      </w:pPr>
    </w:p>
    <w:p w:rsidR="00433B5E" w:rsidRPr="00D36533" w:rsidRDefault="00433B5E" w:rsidP="00433B5E">
      <w:pPr>
        <w:spacing w:line="360" w:lineRule="auto"/>
        <w:jc w:val="center"/>
        <w:rPr>
          <w:b/>
          <w:sz w:val="28"/>
          <w:szCs w:val="36"/>
        </w:rPr>
      </w:pPr>
      <w:r w:rsidRPr="00D36533">
        <w:rPr>
          <w:b/>
          <w:sz w:val="28"/>
          <w:szCs w:val="36"/>
        </w:rPr>
        <w:t xml:space="preserve">PROJET DE GESTION AMELIOREE DES PAYSAGES FORESTIERS (PGAF) </w:t>
      </w:r>
    </w:p>
    <w:p w:rsidR="00433B5E" w:rsidRPr="00D36533" w:rsidRDefault="00433B5E" w:rsidP="00433B5E">
      <w:pPr>
        <w:spacing w:line="360" w:lineRule="auto"/>
        <w:jc w:val="center"/>
        <w:rPr>
          <w:b/>
          <w:sz w:val="28"/>
          <w:szCs w:val="36"/>
        </w:rPr>
      </w:pPr>
    </w:p>
    <w:p w:rsidR="00433B5E" w:rsidRDefault="00433B5E" w:rsidP="00433B5E">
      <w:pPr>
        <w:spacing w:line="360" w:lineRule="auto"/>
        <w:jc w:val="center"/>
        <w:rPr>
          <w:b/>
          <w:sz w:val="28"/>
          <w:szCs w:val="36"/>
        </w:rPr>
      </w:pPr>
      <w:r w:rsidRPr="00D36533">
        <w:rPr>
          <w:b/>
          <w:sz w:val="28"/>
          <w:szCs w:val="36"/>
        </w:rPr>
        <w:t xml:space="preserve">COMPOSANTE I : </w:t>
      </w:r>
      <w:r>
        <w:rPr>
          <w:b/>
          <w:sz w:val="28"/>
          <w:szCs w:val="36"/>
        </w:rPr>
        <w:t>PIREDD PLATEAU</w:t>
      </w:r>
      <w:r w:rsidRPr="00D36533">
        <w:rPr>
          <w:b/>
          <w:sz w:val="28"/>
          <w:szCs w:val="36"/>
        </w:rPr>
        <w:t xml:space="preserve"> </w:t>
      </w:r>
    </w:p>
    <w:p w:rsidR="00433B5E" w:rsidRPr="00D36533" w:rsidRDefault="00260D67" w:rsidP="00433B5E">
      <w:pPr>
        <w:spacing w:line="360" w:lineRule="auto"/>
        <w:jc w:val="center"/>
        <w:rPr>
          <w:b/>
          <w:sz w:val="28"/>
          <w:szCs w:val="36"/>
        </w:rPr>
      </w:pPr>
      <w:r>
        <w:rPr>
          <w:rFonts w:ascii="Calibri" w:hAnsi="Calibri" w:cs="Calibri"/>
          <w:b/>
          <w:bCs/>
          <w:noProof/>
          <w:sz w:val="32"/>
          <w:u w:val="single"/>
        </w:rPr>
        <mc:AlternateContent>
          <mc:Choice Requires="wps">
            <w:drawing>
              <wp:anchor distT="0" distB="0" distL="114300" distR="114300" simplePos="0" relativeHeight="251677696" behindDoc="0" locked="0" layoutInCell="1" allowOverlap="1">
                <wp:simplePos x="0" y="0"/>
                <wp:positionH relativeFrom="column">
                  <wp:posOffset>170815</wp:posOffset>
                </wp:positionH>
                <wp:positionV relativeFrom="paragraph">
                  <wp:posOffset>533400</wp:posOffset>
                </wp:positionV>
                <wp:extent cx="5960745" cy="1405890"/>
                <wp:effectExtent l="19050" t="19050" r="20955" b="2286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1405890"/>
                        </a:xfrm>
                        <a:prstGeom prst="roundRect">
                          <a:avLst>
                            <a:gd name="adj" fmla="val 16667"/>
                          </a:avLst>
                        </a:prstGeom>
                        <a:solidFill>
                          <a:srgbClr val="E2EFD9"/>
                        </a:solidFill>
                        <a:ln w="63500" cmpd="thickThin"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745E" w:rsidRPr="00824BC2" w:rsidRDefault="0003745E" w:rsidP="00433B5E">
                            <w:pPr>
                              <w:jc w:val="center"/>
                              <w:rPr>
                                <w:szCs w:val="26"/>
                              </w:rPr>
                            </w:pPr>
                          </w:p>
                          <w:p w:rsidR="0003745E" w:rsidRDefault="0003745E" w:rsidP="00433B5E">
                            <w:pPr>
                              <w:jc w:val="center"/>
                              <w:rPr>
                                <w:b/>
                                <w:sz w:val="32"/>
                                <w:szCs w:val="36"/>
                                <w:u w:val="single"/>
                              </w:rPr>
                            </w:pPr>
                            <w:r w:rsidRPr="00FD5CBD">
                              <w:rPr>
                                <w:b/>
                                <w:sz w:val="32"/>
                                <w:szCs w:val="36"/>
                                <w:u w:val="single"/>
                              </w:rPr>
                              <w:t>CONTRAT DE PA</w:t>
                            </w:r>
                            <w:r>
                              <w:rPr>
                                <w:b/>
                                <w:sz w:val="32"/>
                                <w:szCs w:val="36"/>
                                <w:u w:val="single"/>
                              </w:rPr>
                              <w:t>I</w:t>
                            </w:r>
                            <w:r w:rsidRPr="00FD5CBD">
                              <w:rPr>
                                <w:b/>
                                <w:sz w:val="32"/>
                                <w:szCs w:val="36"/>
                                <w:u w:val="single"/>
                              </w:rPr>
                              <w:t>EMENT POUR SERVICES ENVIRONMENTAUX</w:t>
                            </w:r>
                          </w:p>
                          <w:p w:rsidR="0003745E" w:rsidRPr="00FD5CBD" w:rsidRDefault="0003745E" w:rsidP="00433B5E">
                            <w:pPr>
                              <w:jc w:val="center"/>
                              <w:rPr>
                                <w:b/>
                                <w:sz w:val="32"/>
                                <w:szCs w:val="36"/>
                                <w:u w:val="single"/>
                              </w:rPr>
                            </w:pPr>
                            <w:r>
                              <w:rPr>
                                <w:b/>
                                <w:sz w:val="32"/>
                                <w:szCs w:val="36"/>
                                <w:u w:val="single"/>
                              </w:rPr>
                              <w:t>ACTIVITE : REBOISEMENT</w:t>
                            </w:r>
                          </w:p>
                          <w:p w:rsidR="0003745E" w:rsidRPr="00824BC2" w:rsidRDefault="0003745E" w:rsidP="00433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7" style="position:absolute;left:0;text-align:left;margin-left:13.45pt;margin-top:42pt;width:469.35pt;height:11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o67wIAAOgFAAAOAAAAZHJzL2Uyb0RvYy54bWysVNtu2zAMfR+wfxD0ntpO7FyMOkWuw4Bd&#10;irbDnhVJjrXKkicpdbph/z5KdrO0fRmGJYAgWhR1eHjIy6tjLdEDN1ZoVeDkIsaIK6qZUPsCf7nb&#10;DqYYWUcUI1IrXuBHbvHV/O2by7bJ+VBXWjJuEARRNm+bAlfONXkUWVrxmtgL3XAFh6U2NXFgmn3E&#10;DGkhei2jYRyPo1Yb1hhNubXwdd0d4nmIX5acus9lablDssCAzYXVhHXn12h+SfK9IU0laA+D/AOK&#10;mggFj55CrYkj6GDEq1C1oEZbXboLqutIl6WgPOQA2STxi2xuK9LwkAuQY5sTTfb/haWfHq4NEgxq&#10;l2GkSA01utEHxThDN8AeUXvJEZwBUW1jc/C/ba6NT9U2HzS9t0jpVQVufGGMbitOGMBLvH/07II3&#10;LFxFu/ajZvAMOTgdODuWpvYBgQ10DKV5PJWGHx2i8DGbjeNJChApnCVpnE1noXgRyZ+uN8a6d1zX&#10;yG8KbHwWPoXwBnn4YF0oEOuzJOwbRmUtodwPRKJkPB5PAmqS984Q+ylmyFdLwbZCymCY/W4lDYKr&#10;Bd4MN9v1rL9sz92kQm2Bx6MsBvHRugGeHSjt/q4CvSAi99A01JkA8dlFex4/W86W61ACgPTMLSQZ&#10;NOyJ3ygW9o4I2e3BXyqPl4deAA6CA7Da0+H5DTr9udhmwPBoOphMstEgHW3iwXK6XQ0WK6Bmslmu&#10;lpvklweapHklGONqE2Lap7ZJ0r+TZd/AneBPjXMC6NHqg+PmtmItYsLXcpTNhgkGAzp3OIn975w9&#10;ZLT7KlwV+sVL51WFpmP/7yt0ig4SPWPGWy9z6zyOoBzv2bMWdO2l3LWEO+6OXQf5+F7mO80eQeiA&#10;KqgZxiNsKm1+YNTCqCmw/X4ghmMk3ytollmSpn42BSPNJkMwzPnJ7vyEKAqhQEfAQNiuXDfPDo0R&#10;+wpeSkL+Si+gwUrhKx4Qd6h6A8ZJyKkffX5endvB68+Anv8GAAD//wMAUEsDBBQABgAIAAAAIQDs&#10;vVuZ3QAAAAkBAAAPAAAAZHJzL2Rvd25yZXYueG1sTI/BTsMwEETvSPyDtUjcqE1orTZkUxWinDgg&#10;SsV5G5skIl5HsduGv8ec4Dia0cybYju7QZztFHrPCPcLBcJy403PLcLhvb5bgwiR2NDg2SJ82wDb&#10;8vqqoNz4C7/Z8z62IpVwyAmhi3HMpQxNZx2FhR8tJ+/TT45iklMrzUSXVO4GmSmlpaOe00JHo33u&#10;bPO1PzmEV9VUIXvKavXxQvqwm6va6Qrx9mbePYKIdo5/YfjFT+hQJqajP7EJYkDI9CYlEdbLdCn5&#10;G73SII4ID2q1BFkW8v+D8gcAAP//AwBQSwECLQAUAAYACAAAACEAtoM4kv4AAADhAQAAEwAAAAAA&#10;AAAAAAAAAAAAAAAAW0NvbnRlbnRfVHlwZXNdLnhtbFBLAQItABQABgAIAAAAIQA4/SH/1gAAAJQB&#10;AAALAAAAAAAAAAAAAAAAAC8BAABfcmVscy8ucmVsc1BLAQItABQABgAIAAAAIQAIS8o67wIAAOgF&#10;AAAOAAAAAAAAAAAAAAAAAC4CAABkcnMvZTJvRG9jLnhtbFBLAQItABQABgAIAAAAIQDsvVuZ3QAA&#10;AAkBAAAPAAAAAAAAAAAAAAAAAEkFAABkcnMvZG93bnJldi54bWxQSwUGAAAAAAQABADzAAAAUwYA&#10;AAAA&#10;" fillcolor="#e2efd9" strokecolor="#5b9bd5" strokeweight="5pt">
                <v:stroke linestyle="thickThin"/>
                <v:shadow color="#868686"/>
                <v:textbox>
                  <w:txbxContent>
                    <w:p w:rsidR="0003745E" w:rsidRPr="00824BC2" w:rsidRDefault="0003745E" w:rsidP="00433B5E">
                      <w:pPr>
                        <w:jc w:val="center"/>
                        <w:rPr>
                          <w:szCs w:val="26"/>
                        </w:rPr>
                      </w:pPr>
                    </w:p>
                    <w:p w:rsidR="0003745E" w:rsidRDefault="0003745E" w:rsidP="00433B5E">
                      <w:pPr>
                        <w:jc w:val="center"/>
                        <w:rPr>
                          <w:b/>
                          <w:sz w:val="32"/>
                          <w:szCs w:val="36"/>
                          <w:u w:val="single"/>
                        </w:rPr>
                      </w:pPr>
                      <w:r w:rsidRPr="00FD5CBD">
                        <w:rPr>
                          <w:b/>
                          <w:sz w:val="32"/>
                          <w:szCs w:val="36"/>
                          <w:u w:val="single"/>
                        </w:rPr>
                        <w:t>CONTRAT DE PA</w:t>
                      </w:r>
                      <w:r>
                        <w:rPr>
                          <w:b/>
                          <w:sz w:val="32"/>
                          <w:szCs w:val="36"/>
                          <w:u w:val="single"/>
                        </w:rPr>
                        <w:t>I</w:t>
                      </w:r>
                      <w:r w:rsidRPr="00FD5CBD">
                        <w:rPr>
                          <w:b/>
                          <w:sz w:val="32"/>
                          <w:szCs w:val="36"/>
                          <w:u w:val="single"/>
                        </w:rPr>
                        <w:t>EMENT POUR SERVICES ENVIRONMENTAUX</w:t>
                      </w:r>
                    </w:p>
                    <w:p w:rsidR="0003745E" w:rsidRPr="00FD5CBD" w:rsidRDefault="0003745E" w:rsidP="00433B5E">
                      <w:pPr>
                        <w:jc w:val="center"/>
                        <w:rPr>
                          <w:b/>
                          <w:sz w:val="32"/>
                          <w:szCs w:val="36"/>
                          <w:u w:val="single"/>
                        </w:rPr>
                      </w:pPr>
                      <w:r>
                        <w:rPr>
                          <w:b/>
                          <w:sz w:val="32"/>
                          <w:szCs w:val="36"/>
                          <w:u w:val="single"/>
                        </w:rPr>
                        <w:t>ACTIVITE : REBOISEMENT</w:t>
                      </w:r>
                    </w:p>
                    <w:p w:rsidR="0003745E" w:rsidRPr="00824BC2" w:rsidRDefault="0003745E" w:rsidP="00433B5E"/>
                  </w:txbxContent>
                </v:textbox>
              </v:roundrect>
            </w:pict>
          </mc:Fallback>
        </mc:AlternateContent>
      </w:r>
    </w:p>
    <w:p w:rsidR="00433B5E" w:rsidRPr="00D94F69" w:rsidRDefault="00433B5E" w:rsidP="00433B5E">
      <w:pPr>
        <w:pStyle w:val="NormalWeb"/>
        <w:spacing w:before="0" w:beforeAutospacing="0" w:after="0"/>
        <w:rPr>
          <w:rFonts w:ascii="Calibri" w:hAnsi="Calibri" w:cs="Calibri"/>
          <w:b/>
          <w:bCs/>
          <w:u w:val="single"/>
          <w:lang w:val="fr-FR"/>
        </w:rPr>
      </w:pPr>
      <w:r w:rsidRPr="00CE2142">
        <w:rPr>
          <w:rFonts w:ascii="Calibri" w:hAnsi="Calibri" w:cs="Calibri"/>
          <w:b/>
          <w:bCs/>
          <w:sz w:val="36"/>
          <w:u w:val="single"/>
          <w:lang w:val="fr-FR"/>
        </w:rPr>
        <w:br w:type="page"/>
      </w:r>
      <w:r w:rsidRPr="00D94F69">
        <w:rPr>
          <w:rFonts w:ascii="Calibri" w:hAnsi="Calibri" w:cs="Calibri"/>
          <w:b/>
          <w:bCs/>
          <w:u w:val="single"/>
          <w:lang w:val="fr-FR"/>
        </w:rPr>
        <w:lastRenderedPageBreak/>
        <w:t xml:space="preserve"> </w:t>
      </w:r>
    </w:p>
    <w:p w:rsidR="00433B5E" w:rsidRPr="00D94F69" w:rsidRDefault="00433B5E" w:rsidP="00433B5E">
      <w:pPr>
        <w:pStyle w:val="NormalWeb"/>
        <w:spacing w:before="0" w:beforeAutospacing="0" w:after="0"/>
        <w:jc w:val="center"/>
        <w:rPr>
          <w:rFonts w:ascii="Calibri" w:eastAsia="Times New Roman" w:hAnsi="Calibri" w:cs="Calibri"/>
          <w:b/>
          <w:bCs/>
          <w:szCs w:val="20"/>
          <w:u w:val="single"/>
          <w:lang w:val="fr-FR"/>
        </w:rPr>
      </w:pPr>
      <w:r w:rsidRPr="00D94F69">
        <w:rPr>
          <w:rFonts w:ascii="Calibri" w:eastAsia="Times New Roman" w:hAnsi="Calibri" w:cs="Calibri"/>
          <w:b/>
          <w:bCs/>
          <w:szCs w:val="20"/>
          <w:u w:val="single"/>
          <w:lang w:val="fr-FR"/>
        </w:rPr>
        <w:t xml:space="preserve"> </w:t>
      </w:r>
    </w:p>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Entre les soussignés</w:t>
      </w:r>
    </w:p>
    <w:p w:rsidR="00433B5E" w:rsidRPr="00ED144B" w:rsidRDefault="00433B5E" w:rsidP="00ED144B">
      <w:pPr>
        <w:spacing w:after="0"/>
        <w:jc w:val="both"/>
        <w:rPr>
          <w:rFonts w:ascii="Calibri" w:hAnsi="Calibri" w:cs="Calibri"/>
          <w:sz w:val="20"/>
          <w:szCs w:val="20"/>
        </w:rPr>
      </w:pPr>
    </w:p>
    <w:p w:rsidR="00433B5E" w:rsidRPr="00ED144B" w:rsidRDefault="00433B5E" w:rsidP="00ED144B">
      <w:pPr>
        <w:spacing w:after="0"/>
        <w:jc w:val="both"/>
        <w:rPr>
          <w:rFonts w:ascii="Calibri" w:hAnsi="Calibri" w:cs="Calibri"/>
          <w:bCs/>
          <w:sz w:val="20"/>
          <w:szCs w:val="20"/>
        </w:rPr>
      </w:pPr>
      <w:r w:rsidRPr="00ED144B">
        <w:rPr>
          <w:rFonts w:ascii="Calibri" w:hAnsi="Calibri" w:cs="Calibri"/>
          <w:sz w:val="20"/>
          <w:szCs w:val="20"/>
        </w:rPr>
        <w:t xml:space="preserve">Le Comité Local de Développement du Village </w:t>
      </w:r>
      <w:r w:rsidRPr="000D66EF">
        <w:rPr>
          <w:rFonts w:ascii="Calibri" w:hAnsi="Calibri" w:cs="Calibri"/>
          <w:sz w:val="20"/>
          <w:szCs w:val="20"/>
        </w:rPr>
        <w:t>XXX</w:t>
      </w:r>
      <w:r w:rsidRPr="00ED144B">
        <w:rPr>
          <w:rFonts w:ascii="Calibri" w:hAnsi="Calibri" w:cs="Calibri"/>
          <w:sz w:val="20"/>
          <w:szCs w:val="20"/>
        </w:rPr>
        <w:t xml:space="preserve"> T</w:t>
      </w:r>
      <w:r w:rsidRPr="000D66EF">
        <w:rPr>
          <w:rFonts w:ascii="Calibri" w:hAnsi="Calibri" w:cs="Calibri"/>
          <w:sz w:val="20"/>
          <w:szCs w:val="20"/>
        </w:rPr>
        <w:t>erroir XXX</w:t>
      </w:r>
      <w:r w:rsidRPr="00ED144B">
        <w:rPr>
          <w:rFonts w:ascii="Calibri" w:hAnsi="Calibri" w:cs="Calibri"/>
          <w:sz w:val="20"/>
          <w:szCs w:val="20"/>
        </w:rPr>
        <w:t xml:space="preserve">, </w:t>
      </w:r>
      <w:r w:rsidRPr="000D66EF">
        <w:rPr>
          <w:rFonts w:ascii="Calibri" w:hAnsi="Calibri" w:cs="Calibri"/>
          <w:sz w:val="20"/>
          <w:szCs w:val="20"/>
        </w:rPr>
        <w:t xml:space="preserve">Secteur/Chefferie XXX, Territoire </w:t>
      </w:r>
      <w:r w:rsidRPr="00ED144B">
        <w:rPr>
          <w:rFonts w:ascii="Calibri" w:hAnsi="Calibri" w:cs="Calibri"/>
          <w:sz w:val="20"/>
          <w:szCs w:val="20"/>
        </w:rPr>
        <w:t>XX</w:t>
      </w:r>
      <w:r w:rsidRPr="000D66EF">
        <w:rPr>
          <w:rFonts w:ascii="Calibri" w:hAnsi="Calibri" w:cs="Calibri"/>
          <w:sz w:val="20"/>
          <w:szCs w:val="20"/>
        </w:rPr>
        <w:t xml:space="preserve">X, </w:t>
      </w:r>
      <w:r w:rsidRPr="00ED144B">
        <w:rPr>
          <w:rFonts w:ascii="Calibri" w:hAnsi="Calibri" w:cs="Calibri"/>
          <w:sz w:val="20"/>
          <w:szCs w:val="20"/>
        </w:rPr>
        <w:t>représenté par:</w:t>
      </w:r>
      <w:r w:rsidRPr="00ED144B">
        <w:rPr>
          <w:rFonts w:ascii="Calibri" w:hAnsi="Calibri" w:cs="Calibri"/>
          <w:bCs/>
          <w:sz w:val="20"/>
          <w:szCs w:val="20"/>
        </w:rPr>
        <w:t xml:space="preserve"> </w:t>
      </w:r>
    </w:p>
    <w:p w:rsidR="00433B5E" w:rsidRPr="00ED144B" w:rsidRDefault="00433B5E" w:rsidP="002E3A02">
      <w:pPr>
        <w:pStyle w:val="ListParagraph"/>
        <w:numPr>
          <w:ilvl w:val="0"/>
          <w:numId w:val="58"/>
        </w:numPr>
        <w:contextualSpacing/>
        <w:jc w:val="both"/>
        <w:rPr>
          <w:rFonts w:cs="Calibri"/>
          <w:bCs/>
          <w:sz w:val="20"/>
          <w:szCs w:val="20"/>
        </w:rPr>
      </w:pPr>
      <w:r w:rsidRPr="00ED144B">
        <w:rPr>
          <w:rFonts w:cs="Calibri"/>
          <w:bCs/>
          <w:sz w:val="20"/>
          <w:szCs w:val="20"/>
        </w:rPr>
        <w:t xml:space="preserve">Président : </w:t>
      </w:r>
      <w:r w:rsidRPr="000D66EF">
        <w:rPr>
          <w:rFonts w:cs="Calibri"/>
          <w:bCs/>
          <w:sz w:val="20"/>
          <w:szCs w:val="20"/>
        </w:rPr>
        <w:tab/>
      </w:r>
      <w:r w:rsidRPr="000D66EF">
        <w:rPr>
          <w:rFonts w:cs="Calibri"/>
          <w:sz w:val="20"/>
          <w:szCs w:val="20"/>
        </w:rPr>
        <w:t>XXX</w:t>
      </w:r>
    </w:p>
    <w:p w:rsidR="00433B5E" w:rsidRPr="00ED144B" w:rsidRDefault="00433B5E" w:rsidP="002E3A02">
      <w:pPr>
        <w:pStyle w:val="ListParagraph"/>
        <w:numPr>
          <w:ilvl w:val="0"/>
          <w:numId w:val="58"/>
        </w:numPr>
        <w:contextualSpacing/>
        <w:jc w:val="both"/>
        <w:rPr>
          <w:rFonts w:cs="Calibri"/>
          <w:bCs/>
          <w:sz w:val="20"/>
          <w:szCs w:val="20"/>
        </w:rPr>
      </w:pPr>
      <w:r w:rsidRPr="00ED144B">
        <w:rPr>
          <w:rFonts w:cs="Calibri"/>
          <w:bCs/>
          <w:sz w:val="20"/>
          <w:szCs w:val="20"/>
        </w:rPr>
        <w:t xml:space="preserve">Secrétaire : </w:t>
      </w:r>
      <w:r w:rsidRPr="000D66EF">
        <w:rPr>
          <w:rFonts w:cs="Calibri"/>
          <w:bCs/>
          <w:sz w:val="20"/>
          <w:szCs w:val="20"/>
        </w:rPr>
        <w:tab/>
      </w:r>
      <w:r w:rsidRPr="00ED144B">
        <w:rPr>
          <w:rFonts w:cs="Calibri"/>
          <w:sz w:val="20"/>
          <w:szCs w:val="20"/>
        </w:rPr>
        <w:t>X</w:t>
      </w:r>
      <w:r w:rsidRPr="000D66EF">
        <w:rPr>
          <w:rFonts w:cs="Calibri"/>
          <w:sz w:val="20"/>
          <w:szCs w:val="20"/>
        </w:rPr>
        <w:t>XX</w:t>
      </w:r>
    </w:p>
    <w:p w:rsidR="00433B5E" w:rsidRPr="00ED144B" w:rsidRDefault="00433B5E" w:rsidP="002E3A02">
      <w:pPr>
        <w:pStyle w:val="ListParagraph"/>
        <w:numPr>
          <w:ilvl w:val="0"/>
          <w:numId w:val="58"/>
        </w:numPr>
        <w:contextualSpacing/>
        <w:jc w:val="both"/>
        <w:rPr>
          <w:rFonts w:cs="Calibri"/>
          <w:bCs/>
          <w:sz w:val="20"/>
          <w:szCs w:val="20"/>
        </w:rPr>
      </w:pPr>
      <w:r w:rsidRPr="000D66EF">
        <w:rPr>
          <w:rFonts w:cs="Calibri"/>
          <w:bCs/>
          <w:sz w:val="20"/>
          <w:szCs w:val="20"/>
        </w:rPr>
        <w:t xml:space="preserve">Conseiller : </w:t>
      </w:r>
      <w:r w:rsidRPr="000D66EF">
        <w:rPr>
          <w:rFonts w:cs="Calibri"/>
          <w:bCs/>
          <w:sz w:val="20"/>
          <w:szCs w:val="20"/>
        </w:rPr>
        <w:tab/>
        <w:t>XXX</w:t>
      </w:r>
    </w:p>
    <w:p w:rsidR="00433B5E" w:rsidRPr="00ED144B" w:rsidRDefault="00433B5E" w:rsidP="00ED144B">
      <w:pPr>
        <w:pStyle w:val="ListParagraph"/>
        <w:ind w:left="360"/>
        <w:jc w:val="both"/>
        <w:rPr>
          <w:rFonts w:cs="Calibri"/>
          <w:bCs/>
          <w:sz w:val="20"/>
          <w:szCs w:val="20"/>
        </w:rPr>
      </w:pPr>
      <w:r w:rsidRPr="00ED144B">
        <w:rPr>
          <w:rFonts w:cs="Calibri"/>
          <w:bCs/>
          <w:sz w:val="20"/>
          <w:szCs w:val="20"/>
        </w:rPr>
        <w:t xml:space="preserve"> </w:t>
      </w:r>
    </w:p>
    <w:p w:rsidR="00433B5E" w:rsidRPr="00ED144B" w:rsidRDefault="00433B5E" w:rsidP="00ED144B">
      <w:pPr>
        <w:pStyle w:val="ListParagraph"/>
        <w:ind w:left="360"/>
        <w:jc w:val="both"/>
        <w:rPr>
          <w:rFonts w:cs="Calibri"/>
          <w:sz w:val="20"/>
          <w:szCs w:val="20"/>
        </w:rPr>
      </w:pPr>
    </w:p>
    <w:p w:rsidR="00433B5E" w:rsidRPr="00ED144B" w:rsidRDefault="00433B5E" w:rsidP="00ED144B">
      <w:pPr>
        <w:spacing w:after="0"/>
        <w:jc w:val="both"/>
        <w:rPr>
          <w:rFonts w:ascii="Calibri" w:hAnsi="Calibri" w:cs="Calibri"/>
          <w:sz w:val="20"/>
          <w:szCs w:val="20"/>
          <w:shd w:val="clear" w:color="auto" w:fill="FFFFFF"/>
        </w:rPr>
      </w:pPr>
      <w:r w:rsidRPr="00ED144B">
        <w:rPr>
          <w:rFonts w:ascii="Calibri" w:hAnsi="Calibri" w:cs="Calibri"/>
          <w:sz w:val="20"/>
          <w:szCs w:val="20"/>
          <w:shd w:val="clear" w:color="auto" w:fill="FFFFFF"/>
        </w:rPr>
        <w:t xml:space="preserve">Et  l’’Unité de Coordination du Programme d’Investissement pour la Forêt (UC-PIF), </w:t>
      </w:r>
    </w:p>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xml:space="preserve">Représenté par : </w:t>
      </w:r>
    </w:p>
    <w:p w:rsidR="00433B5E" w:rsidRPr="00ED144B" w:rsidRDefault="00433B5E" w:rsidP="00ED144B">
      <w:pPr>
        <w:spacing w:after="0"/>
        <w:jc w:val="both"/>
        <w:rPr>
          <w:rFonts w:ascii="Calibri" w:hAnsi="Calibri" w:cs="Calibri"/>
          <w:bCs/>
          <w:sz w:val="20"/>
          <w:szCs w:val="20"/>
        </w:rPr>
      </w:pPr>
      <w:r w:rsidRPr="00ED144B">
        <w:rPr>
          <w:rFonts w:ascii="Calibri" w:hAnsi="Calibri" w:cs="Calibri"/>
          <w:sz w:val="20"/>
          <w:szCs w:val="20"/>
        </w:rPr>
        <w:t xml:space="preserve">Le  Coordinateur de l’UC-PIF </w:t>
      </w:r>
    </w:p>
    <w:p w:rsidR="00433B5E" w:rsidRPr="00ED144B" w:rsidRDefault="00433B5E" w:rsidP="00ED144B">
      <w:pPr>
        <w:tabs>
          <w:tab w:val="left" w:pos="0"/>
        </w:tabs>
        <w:spacing w:before="40" w:after="0" w:line="288" w:lineRule="auto"/>
        <w:jc w:val="both"/>
        <w:rPr>
          <w:rFonts w:ascii="Calibri" w:hAnsi="Calibri" w:cs="Calibri"/>
          <w:sz w:val="20"/>
          <w:szCs w:val="20"/>
        </w:rPr>
      </w:pPr>
    </w:p>
    <w:p w:rsidR="00433B5E" w:rsidRPr="00ED144B" w:rsidRDefault="00433B5E" w:rsidP="00ED144B">
      <w:pPr>
        <w:tabs>
          <w:tab w:val="left" w:pos="0"/>
        </w:tabs>
        <w:spacing w:before="40" w:after="0" w:line="288" w:lineRule="auto"/>
        <w:jc w:val="both"/>
        <w:rPr>
          <w:rFonts w:ascii="Calibri" w:hAnsi="Calibri" w:cs="Calibri"/>
          <w:b/>
          <w:bCs/>
          <w:sz w:val="20"/>
          <w:szCs w:val="20"/>
        </w:rPr>
      </w:pPr>
      <w:r w:rsidRPr="00ED144B">
        <w:rPr>
          <w:rFonts w:ascii="Calibri" w:hAnsi="Calibri" w:cs="Calibri"/>
          <w:b/>
          <w:bCs/>
          <w:sz w:val="20"/>
          <w:szCs w:val="20"/>
        </w:rPr>
        <w:t>PREAMBULE</w:t>
      </w:r>
    </w:p>
    <w:p w:rsidR="00433B5E" w:rsidRPr="00ED144B" w:rsidRDefault="00433B5E" w:rsidP="002E3A02">
      <w:pPr>
        <w:pStyle w:val="ListParagraph"/>
        <w:numPr>
          <w:ilvl w:val="1"/>
          <w:numId w:val="59"/>
        </w:numPr>
        <w:tabs>
          <w:tab w:val="num" w:pos="851"/>
        </w:tabs>
        <w:spacing w:before="40" w:line="288" w:lineRule="auto"/>
        <w:contextualSpacing/>
        <w:jc w:val="both"/>
        <w:rPr>
          <w:rFonts w:cs="Calibri"/>
          <w:sz w:val="20"/>
          <w:szCs w:val="20"/>
        </w:rPr>
      </w:pPr>
      <w:r w:rsidRPr="00ED144B">
        <w:rPr>
          <w:rFonts w:cs="Calibri"/>
          <w:sz w:val="20"/>
          <w:szCs w:val="20"/>
        </w:rPr>
        <w:t xml:space="preserve">Les fonds de ce contrat  ont été alloués par le Programme d’Investissement pour la Foret (PIF), avec  la Banque Mondiale en qualité d’Organe d’exécution du Fonds Stratégique pour le Climat. Ayant une expertise avérée et une expérience de plus de 10 ans dans la zone du </w:t>
      </w:r>
      <w:r w:rsidRPr="000D66EF">
        <w:rPr>
          <w:rFonts w:cs="Calibri"/>
          <w:sz w:val="20"/>
          <w:szCs w:val="20"/>
        </w:rPr>
        <w:t>PIREDD Plateau</w:t>
      </w:r>
      <w:r w:rsidRPr="00ED144B">
        <w:rPr>
          <w:rFonts w:cs="Calibri"/>
          <w:sz w:val="20"/>
          <w:szCs w:val="20"/>
        </w:rPr>
        <w:t>, le Fonds Mondial pour la Nature (WWF) a été sélectionné par le Ministère de l’Environnement, Conservation de la Nature et Développement Durable (</w:t>
      </w:r>
      <w:r w:rsidRPr="000D66EF">
        <w:rPr>
          <w:rFonts w:cs="Calibri"/>
          <w:sz w:val="20"/>
          <w:szCs w:val="20"/>
        </w:rPr>
        <w:t>MECN</w:t>
      </w:r>
      <w:r w:rsidRPr="00ED144B">
        <w:rPr>
          <w:rFonts w:cs="Calibri"/>
          <w:sz w:val="20"/>
          <w:szCs w:val="20"/>
        </w:rPr>
        <w:t>DD) comme Maître d’Ouvrage Délégué (MOD) de la Composante I du PGAPF.</w:t>
      </w:r>
    </w:p>
    <w:p w:rsidR="00433B5E" w:rsidRPr="00ED144B" w:rsidRDefault="00433B5E" w:rsidP="002E3A02">
      <w:pPr>
        <w:pStyle w:val="ListParagraph"/>
        <w:numPr>
          <w:ilvl w:val="1"/>
          <w:numId w:val="59"/>
        </w:numPr>
        <w:tabs>
          <w:tab w:val="num" w:pos="851"/>
        </w:tabs>
        <w:spacing w:before="40" w:line="288" w:lineRule="auto"/>
        <w:contextualSpacing/>
        <w:jc w:val="both"/>
        <w:rPr>
          <w:rFonts w:cs="Calibri"/>
          <w:sz w:val="20"/>
          <w:szCs w:val="20"/>
        </w:rPr>
      </w:pPr>
      <w:r w:rsidRPr="00ED144B">
        <w:rPr>
          <w:rFonts w:cs="Calibri"/>
          <w:sz w:val="20"/>
          <w:szCs w:val="20"/>
        </w:rPr>
        <w:t>Les activités, objet du présent contrat, résultent de la collaboration entre le CLD et le WWF. La communauté adhère donc volontairement à la vision et objectif du PIREDD</w:t>
      </w:r>
      <w:r w:rsidRPr="000D66EF">
        <w:rPr>
          <w:rFonts w:cs="Calibri"/>
          <w:sz w:val="20"/>
          <w:szCs w:val="20"/>
        </w:rPr>
        <w:t xml:space="preserve"> Plateau</w:t>
      </w:r>
      <w:r w:rsidRPr="00ED144B">
        <w:rPr>
          <w:rFonts w:cs="Calibri"/>
          <w:sz w:val="20"/>
          <w:szCs w:val="20"/>
        </w:rPr>
        <w:t xml:space="preserve"> et s’engage à la mise en œuvre des activités afin d’en tirer tous les bénéfices qui en résulteraient.</w:t>
      </w:r>
    </w:p>
    <w:p w:rsidR="00433B5E" w:rsidRPr="00ED144B" w:rsidRDefault="00433B5E" w:rsidP="002E3A02">
      <w:pPr>
        <w:pStyle w:val="ListParagraph"/>
        <w:numPr>
          <w:ilvl w:val="1"/>
          <w:numId w:val="59"/>
        </w:numPr>
        <w:tabs>
          <w:tab w:val="num" w:pos="851"/>
        </w:tabs>
        <w:spacing w:before="40" w:line="288" w:lineRule="auto"/>
        <w:contextualSpacing/>
        <w:jc w:val="both"/>
        <w:rPr>
          <w:rFonts w:cs="Calibri"/>
          <w:sz w:val="20"/>
          <w:szCs w:val="20"/>
        </w:rPr>
      </w:pPr>
      <w:r w:rsidRPr="00ED144B">
        <w:rPr>
          <w:rFonts w:cs="Calibri"/>
          <w:sz w:val="20"/>
          <w:szCs w:val="20"/>
        </w:rPr>
        <w:t xml:space="preserve">Toutes les parties (y compris les ménages individuels impliqués) conviennent que cette initiative est mise en œuvre à travers le CLD et que le CLD est le partenaire et l’interlocuteur de l’UC-PIF (et par délégation  du WWF) et de l’administration du Territoire/Secteur. Toutefois, les parties s’accordent que certaines activités pourraient être exécutées au niveau des ménages. Dans ce cas, le CLD restera responsable de la gestion des transactions entre l’UC-PIF et lesdits ménages. </w:t>
      </w:r>
    </w:p>
    <w:p w:rsidR="00433B5E" w:rsidRPr="00ED144B" w:rsidRDefault="00433B5E" w:rsidP="002E3A02">
      <w:pPr>
        <w:pStyle w:val="ListParagraph"/>
        <w:numPr>
          <w:ilvl w:val="1"/>
          <w:numId w:val="59"/>
        </w:numPr>
        <w:tabs>
          <w:tab w:val="num" w:pos="851"/>
        </w:tabs>
        <w:spacing w:before="40" w:line="288" w:lineRule="auto"/>
        <w:contextualSpacing/>
        <w:jc w:val="both"/>
        <w:rPr>
          <w:rFonts w:cs="Calibri"/>
          <w:sz w:val="20"/>
          <w:szCs w:val="20"/>
        </w:rPr>
      </w:pPr>
      <w:r w:rsidRPr="00ED144B">
        <w:rPr>
          <w:rFonts w:cs="Calibri"/>
          <w:sz w:val="20"/>
          <w:szCs w:val="20"/>
        </w:rPr>
        <w:t>Les préalables pour l’octroi de ce contrat sont les suivants:</w:t>
      </w:r>
    </w:p>
    <w:p w:rsidR="00433B5E" w:rsidRPr="00ED144B" w:rsidRDefault="00433B5E" w:rsidP="002E3A02">
      <w:pPr>
        <w:pStyle w:val="ListParagraph"/>
        <w:numPr>
          <w:ilvl w:val="0"/>
          <w:numId w:val="60"/>
        </w:numPr>
        <w:tabs>
          <w:tab w:val="left" w:pos="0"/>
        </w:tabs>
        <w:spacing w:before="40" w:line="288" w:lineRule="auto"/>
        <w:contextualSpacing/>
        <w:jc w:val="both"/>
        <w:rPr>
          <w:rFonts w:cs="Calibri"/>
          <w:sz w:val="20"/>
          <w:szCs w:val="20"/>
        </w:rPr>
      </w:pPr>
      <w:r w:rsidRPr="00ED144B">
        <w:rPr>
          <w:rFonts w:cs="Calibri"/>
          <w:sz w:val="20"/>
          <w:szCs w:val="20"/>
        </w:rPr>
        <w:t>Le CLD doit être reconnu par l’administration du Territoire/Secteur avec une autorisation de fonctionnement en bonne et due forme ;</w:t>
      </w:r>
    </w:p>
    <w:p w:rsidR="00433B5E" w:rsidRPr="00ED144B" w:rsidRDefault="00433B5E" w:rsidP="002E3A02">
      <w:pPr>
        <w:pStyle w:val="ListParagraph"/>
        <w:numPr>
          <w:ilvl w:val="0"/>
          <w:numId w:val="60"/>
        </w:numPr>
        <w:tabs>
          <w:tab w:val="left" w:pos="0"/>
        </w:tabs>
        <w:spacing w:before="40" w:line="288" w:lineRule="auto"/>
        <w:contextualSpacing/>
        <w:jc w:val="both"/>
        <w:rPr>
          <w:rFonts w:cs="Calibri"/>
          <w:sz w:val="20"/>
          <w:szCs w:val="20"/>
        </w:rPr>
      </w:pPr>
      <w:r w:rsidRPr="00ED144B">
        <w:rPr>
          <w:rFonts w:cs="Calibri"/>
          <w:sz w:val="20"/>
          <w:szCs w:val="20"/>
        </w:rPr>
        <w:t>Le CLD doit avoir un comité de gestion  fonctionnel ;</w:t>
      </w:r>
    </w:p>
    <w:p w:rsidR="00433B5E" w:rsidRPr="00ED144B" w:rsidRDefault="00433B5E" w:rsidP="002E3A02">
      <w:pPr>
        <w:pStyle w:val="ListParagraph"/>
        <w:numPr>
          <w:ilvl w:val="0"/>
          <w:numId w:val="60"/>
        </w:numPr>
        <w:tabs>
          <w:tab w:val="left" w:pos="0"/>
        </w:tabs>
        <w:spacing w:before="40" w:line="288" w:lineRule="auto"/>
        <w:contextualSpacing/>
        <w:jc w:val="both"/>
        <w:rPr>
          <w:rFonts w:cs="Calibri"/>
          <w:sz w:val="20"/>
          <w:szCs w:val="20"/>
        </w:rPr>
      </w:pPr>
      <w:r w:rsidRPr="00ED144B">
        <w:rPr>
          <w:rFonts w:cs="Calibri"/>
          <w:sz w:val="20"/>
          <w:szCs w:val="20"/>
        </w:rPr>
        <w:t xml:space="preserve">Le CLD doit disposer d’une  convention de collaboration signée avec le  WWF ; </w:t>
      </w:r>
    </w:p>
    <w:p w:rsidR="00433B5E" w:rsidRPr="00ED144B" w:rsidRDefault="00433B5E" w:rsidP="002E3A02">
      <w:pPr>
        <w:pStyle w:val="ListParagraph"/>
        <w:numPr>
          <w:ilvl w:val="0"/>
          <w:numId w:val="60"/>
        </w:numPr>
        <w:tabs>
          <w:tab w:val="left" w:pos="0"/>
        </w:tabs>
        <w:spacing w:before="40" w:line="288" w:lineRule="auto"/>
        <w:contextualSpacing/>
        <w:jc w:val="both"/>
        <w:rPr>
          <w:rFonts w:cs="Calibri"/>
          <w:sz w:val="20"/>
          <w:szCs w:val="20"/>
        </w:rPr>
      </w:pPr>
      <w:r w:rsidRPr="00ED144B">
        <w:rPr>
          <w:rFonts w:cs="Calibri"/>
          <w:sz w:val="20"/>
          <w:szCs w:val="20"/>
        </w:rPr>
        <w:t>Le CLD doit détenir un acte de cession de terre  signé par le Chef de terre et contresigné par le chef de  village;</w:t>
      </w:r>
    </w:p>
    <w:p w:rsidR="00433B5E" w:rsidRPr="00ED144B" w:rsidRDefault="00433B5E" w:rsidP="002E3A02">
      <w:pPr>
        <w:pStyle w:val="ListParagraph"/>
        <w:numPr>
          <w:ilvl w:val="0"/>
          <w:numId w:val="60"/>
        </w:numPr>
        <w:tabs>
          <w:tab w:val="left" w:pos="0"/>
        </w:tabs>
        <w:spacing w:before="40" w:line="288" w:lineRule="auto"/>
        <w:contextualSpacing/>
        <w:jc w:val="both"/>
        <w:rPr>
          <w:rFonts w:cs="Calibri"/>
          <w:sz w:val="20"/>
          <w:szCs w:val="20"/>
        </w:rPr>
      </w:pPr>
      <w:r w:rsidRPr="00ED144B">
        <w:rPr>
          <w:rFonts w:cs="Calibri"/>
          <w:sz w:val="20"/>
          <w:szCs w:val="20"/>
        </w:rPr>
        <w:t xml:space="preserve">Les activités doivent être intégrées dans un  Plan de Gestion des Ressources Naturelles  élaboré dans le cadre du </w:t>
      </w:r>
      <w:r w:rsidRPr="000D66EF">
        <w:rPr>
          <w:rFonts w:cs="Calibri"/>
          <w:sz w:val="20"/>
          <w:szCs w:val="20"/>
        </w:rPr>
        <w:t>PIREDD Plateau</w:t>
      </w:r>
      <w:r w:rsidRPr="00ED144B">
        <w:rPr>
          <w:rFonts w:cs="Calibri"/>
          <w:sz w:val="20"/>
          <w:szCs w:val="20"/>
        </w:rPr>
        <w:t xml:space="preserve"> ;</w:t>
      </w:r>
    </w:p>
    <w:p w:rsidR="00433B5E" w:rsidRPr="00ED144B" w:rsidRDefault="00433B5E" w:rsidP="00ED144B">
      <w:pPr>
        <w:spacing w:after="0"/>
        <w:jc w:val="both"/>
        <w:rPr>
          <w:rFonts w:ascii="Calibri" w:hAnsi="Calibri" w:cs="Calibri"/>
          <w:b/>
          <w:sz w:val="20"/>
          <w:szCs w:val="20"/>
        </w:rPr>
      </w:pPr>
    </w:p>
    <w:p w:rsidR="00433B5E" w:rsidRPr="00ED144B" w:rsidRDefault="00433B5E" w:rsidP="00ED144B">
      <w:pPr>
        <w:spacing w:after="0"/>
        <w:jc w:val="both"/>
        <w:rPr>
          <w:rFonts w:ascii="Calibri" w:hAnsi="Calibri" w:cs="Calibri"/>
          <w:b/>
          <w:sz w:val="20"/>
          <w:szCs w:val="20"/>
        </w:rPr>
      </w:pPr>
      <w:r w:rsidRPr="00ED144B">
        <w:rPr>
          <w:rFonts w:ascii="Calibri" w:hAnsi="Calibri" w:cs="Calibri"/>
          <w:b/>
          <w:sz w:val="20"/>
          <w:szCs w:val="20"/>
        </w:rPr>
        <w:t>Les parties conviennent de ce qui suit :</w:t>
      </w:r>
    </w:p>
    <w:p w:rsidR="00433B5E" w:rsidRPr="00ED144B" w:rsidRDefault="00433B5E" w:rsidP="00ED144B">
      <w:pPr>
        <w:spacing w:after="0"/>
        <w:jc w:val="both"/>
        <w:rPr>
          <w:rFonts w:ascii="Calibri" w:hAnsi="Calibri" w:cs="Calibri"/>
          <w:b/>
          <w:sz w:val="20"/>
          <w:szCs w:val="20"/>
        </w:rPr>
      </w:pPr>
    </w:p>
    <w:p w:rsidR="00433B5E" w:rsidRPr="00ED144B" w:rsidRDefault="00433B5E" w:rsidP="00ED144B">
      <w:pPr>
        <w:spacing w:after="0"/>
        <w:jc w:val="both"/>
        <w:rPr>
          <w:rFonts w:ascii="Calibri" w:hAnsi="Calibri" w:cs="Calibri"/>
          <w:b/>
          <w:bCs/>
          <w:sz w:val="20"/>
          <w:szCs w:val="20"/>
        </w:rPr>
      </w:pPr>
      <w:r w:rsidRPr="00ED144B">
        <w:rPr>
          <w:rFonts w:ascii="Calibri" w:hAnsi="Calibri" w:cs="Calibri"/>
          <w:b/>
          <w:bCs/>
          <w:sz w:val="20"/>
          <w:szCs w:val="20"/>
        </w:rPr>
        <w:t>TITRE I : DES OBJECTIFS</w:t>
      </w:r>
    </w:p>
    <w:p w:rsidR="00433B5E" w:rsidRPr="00ED144B" w:rsidRDefault="00433B5E" w:rsidP="00ED144B">
      <w:pPr>
        <w:spacing w:after="0"/>
        <w:jc w:val="both"/>
        <w:rPr>
          <w:rFonts w:ascii="Calibri" w:hAnsi="Calibri" w:cs="Calibri"/>
          <w:b/>
          <w:bCs/>
          <w:sz w:val="20"/>
          <w:szCs w:val="20"/>
        </w:rPr>
      </w:pPr>
    </w:p>
    <w:p w:rsidR="00433B5E" w:rsidRPr="00ED144B" w:rsidRDefault="00433B5E" w:rsidP="00ED144B">
      <w:pPr>
        <w:spacing w:after="0"/>
        <w:jc w:val="both"/>
        <w:rPr>
          <w:rFonts w:ascii="Calibri" w:hAnsi="Calibri" w:cs="Calibri"/>
          <w:b/>
          <w:sz w:val="20"/>
          <w:szCs w:val="20"/>
        </w:rPr>
      </w:pPr>
      <w:r w:rsidRPr="00ED144B">
        <w:rPr>
          <w:rFonts w:ascii="Calibri" w:hAnsi="Calibri" w:cs="Calibri"/>
          <w:b/>
          <w:sz w:val="20"/>
          <w:szCs w:val="20"/>
        </w:rPr>
        <w:t>Article 1 </w:t>
      </w:r>
    </w:p>
    <w:p w:rsidR="00433B5E" w:rsidRPr="00ED144B" w:rsidRDefault="00433B5E" w:rsidP="00ED144B">
      <w:pPr>
        <w:pStyle w:val="NormalWeb"/>
        <w:spacing w:before="0" w:beforeAutospacing="0" w:after="0" w:afterAutospacing="0"/>
        <w:jc w:val="both"/>
        <w:rPr>
          <w:rFonts w:ascii="Calibri" w:hAnsi="Calibri" w:cs="Calibri"/>
          <w:sz w:val="20"/>
          <w:szCs w:val="20"/>
          <w:lang w:val="fr-FR"/>
        </w:rPr>
      </w:pPr>
      <w:r w:rsidRPr="00ED144B">
        <w:rPr>
          <w:rFonts w:ascii="Calibri" w:hAnsi="Calibri" w:cs="Calibri"/>
          <w:bCs/>
          <w:sz w:val="20"/>
          <w:szCs w:val="20"/>
          <w:lang w:val="fr-FR"/>
        </w:rPr>
        <w:t>Le présent Contrat  a pour objectif la mise en place de X</w:t>
      </w:r>
      <w:r w:rsidRPr="000D66EF">
        <w:rPr>
          <w:rFonts w:ascii="Calibri" w:hAnsi="Calibri" w:cs="Calibri"/>
          <w:bCs/>
          <w:sz w:val="20"/>
          <w:szCs w:val="20"/>
          <w:lang w:val="fr-FR"/>
        </w:rPr>
        <w:t>XX</w:t>
      </w:r>
      <w:r w:rsidRPr="00ED144B">
        <w:rPr>
          <w:rFonts w:ascii="Calibri" w:hAnsi="Calibri" w:cs="Calibri"/>
          <w:bCs/>
          <w:sz w:val="20"/>
          <w:szCs w:val="20"/>
          <w:lang w:val="fr-FR"/>
        </w:rPr>
        <w:t xml:space="preserve"> ha </w:t>
      </w:r>
      <w:r w:rsidRPr="00ED144B">
        <w:rPr>
          <w:rFonts w:ascii="Calibri" w:hAnsi="Calibri" w:cs="Calibri"/>
          <w:sz w:val="20"/>
          <w:szCs w:val="20"/>
          <w:lang w:val="fr-FR"/>
        </w:rPr>
        <w:t>de boisement dans le Village X</w:t>
      </w:r>
      <w:r w:rsidRPr="000D66EF">
        <w:rPr>
          <w:rFonts w:ascii="Calibri" w:hAnsi="Calibri" w:cs="Calibri"/>
          <w:sz w:val="20"/>
          <w:szCs w:val="20"/>
          <w:lang w:val="fr-FR"/>
        </w:rPr>
        <w:t>XX</w:t>
      </w:r>
      <w:r w:rsidRPr="00ED144B">
        <w:rPr>
          <w:rFonts w:ascii="Calibri" w:hAnsi="Calibri" w:cs="Calibri"/>
          <w:bCs/>
          <w:sz w:val="20"/>
          <w:szCs w:val="20"/>
          <w:lang w:val="fr-FR"/>
        </w:rPr>
        <w:t xml:space="preserve"> Terroir </w:t>
      </w:r>
      <w:r w:rsidRPr="000D66EF">
        <w:rPr>
          <w:rFonts w:ascii="Calibri" w:hAnsi="Calibri" w:cs="Calibri"/>
          <w:sz w:val="20"/>
          <w:szCs w:val="20"/>
          <w:lang w:val="fr-FR"/>
        </w:rPr>
        <w:t>XXX</w:t>
      </w:r>
      <w:r w:rsidRPr="00ED144B">
        <w:rPr>
          <w:rFonts w:ascii="Calibri" w:hAnsi="Calibri" w:cs="Calibri"/>
          <w:sz w:val="20"/>
          <w:szCs w:val="20"/>
          <w:lang w:val="fr-FR"/>
        </w:rPr>
        <w:t xml:space="preserve"> au plus tard le 30 novembre 2016, selon les modalités d’exécution prévues par le Contrat. </w:t>
      </w:r>
    </w:p>
    <w:p w:rsidR="00433B5E" w:rsidRPr="00ED144B" w:rsidRDefault="00433B5E" w:rsidP="00ED144B">
      <w:pPr>
        <w:pStyle w:val="NormalWeb"/>
        <w:spacing w:before="0" w:beforeAutospacing="0" w:after="0" w:afterAutospacing="0"/>
        <w:jc w:val="both"/>
        <w:rPr>
          <w:rFonts w:ascii="Calibri" w:hAnsi="Calibri" w:cs="Calibri"/>
          <w:sz w:val="20"/>
          <w:szCs w:val="20"/>
          <w:lang w:val="fr-FR"/>
        </w:rPr>
      </w:pPr>
    </w:p>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xml:space="preserve">Pour ce faire une production de plantules de bonne qualité est à exécuter  selon </w:t>
      </w:r>
      <w:r w:rsidR="00DB7C24" w:rsidRPr="000D66EF">
        <w:rPr>
          <w:rFonts w:ascii="Calibri" w:hAnsi="Calibri" w:cs="Calibri"/>
          <w:sz w:val="20"/>
          <w:szCs w:val="20"/>
        </w:rPr>
        <w:t>le tableau ci-dessous :</w:t>
      </w:r>
    </w:p>
    <w:p w:rsidR="00433B5E" w:rsidRPr="00ED144B" w:rsidRDefault="00433B5E" w:rsidP="00ED144B">
      <w:pPr>
        <w:pStyle w:val="ListParagraph"/>
        <w:jc w:val="both"/>
        <w:rPr>
          <w:rFonts w:cs="Calibri"/>
          <w:sz w:val="20"/>
          <w:szCs w:val="20"/>
        </w:rPr>
      </w:pP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1"/>
        <w:gridCol w:w="2384"/>
        <w:gridCol w:w="3495"/>
      </w:tblGrid>
      <w:tr w:rsidR="00433B5E" w:rsidRPr="000D66EF" w:rsidTr="0009077D">
        <w:trPr>
          <w:jc w:val="center"/>
        </w:trPr>
        <w:tc>
          <w:tcPr>
            <w:tcW w:w="2201" w:type="dxa"/>
            <w:shd w:val="clear" w:color="auto" w:fill="auto"/>
            <w:vAlign w:val="center"/>
          </w:tcPr>
          <w:p w:rsidR="00433B5E" w:rsidRPr="00ED144B" w:rsidRDefault="00433B5E" w:rsidP="00ED144B">
            <w:pPr>
              <w:pStyle w:val="ListParagraph"/>
              <w:ind w:left="0"/>
              <w:jc w:val="both"/>
              <w:rPr>
                <w:rFonts w:cs="Calibri"/>
                <w:b/>
                <w:sz w:val="20"/>
                <w:szCs w:val="20"/>
                <w:lang w:val="en-US" w:eastAsia="en-US"/>
              </w:rPr>
            </w:pPr>
            <w:r w:rsidRPr="00ED144B">
              <w:rPr>
                <w:rFonts w:cs="Calibri"/>
                <w:b/>
                <w:sz w:val="20"/>
                <w:szCs w:val="20"/>
                <w:lang w:val="en-US" w:eastAsia="en-US"/>
              </w:rPr>
              <w:t>Essences</w:t>
            </w:r>
          </w:p>
        </w:tc>
        <w:tc>
          <w:tcPr>
            <w:tcW w:w="2384" w:type="dxa"/>
            <w:tcBorders>
              <w:right w:val="single" w:sz="4" w:space="0" w:color="auto"/>
            </w:tcBorders>
            <w:shd w:val="clear" w:color="auto" w:fill="auto"/>
            <w:vAlign w:val="center"/>
          </w:tcPr>
          <w:p w:rsidR="00433B5E" w:rsidRPr="00ED144B" w:rsidRDefault="00433B5E" w:rsidP="00ED144B">
            <w:pPr>
              <w:pStyle w:val="ListParagraph"/>
              <w:ind w:left="0"/>
              <w:jc w:val="both"/>
              <w:rPr>
                <w:rFonts w:cs="Calibri"/>
                <w:b/>
                <w:sz w:val="20"/>
                <w:szCs w:val="20"/>
                <w:lang w:eastAsia="en-US"/>
              </w:rPr>
            </w:pPr>
            <w:r w:rsidRPr="00ED144B">
              <w:rPr>
                <w:rFonts w:cs="Calibri"/>
                <w:b/>
                <w:sz w:val="20"/>
                <w:szCs w:val="20"/>
                <w:lang w:eastAsia="en-US"/>
              </w:rPr>
              <w:t>Nombre d’hectares</w:t>
            </w:r>
          </w:p>
        </w:tc>
        <w:tc>
          <w:tcPr>
            <w:tcW w:w="3495" w:type="dxa"/>
            <w:tcBorders>
              <w:left w:val="single" w:sz="4" w:space="0" w:color="auto"/>
            </w:tcBorders>
            <w:shd w:val="clear" w:color="auto" w:fill="auto"/>
            <w:vAlign w:val="center"/>
          </w:tcPr>
          <w:p w:rsidR="00433B5E" w:rsidRPr="00ED144B" w:rsidRDefault="00433B5E" w:rsidP="00ED144B">
            <w:pPr>
              <w:pStyle w:val="ListParagraph"/>
              <w:ind w:left="0"/>
              <w:jc w:val="both"/>
              <w:rPr>
                <w:rFonts w:cs="Calibri"/>
                <w:b/>
                <w:sz w:val="20"/>
                <w:szCs w:val="20"/>
                <w:lang w:eastAsia="en-US"/>
              </w:rPr>
            </w:pPr>
            <w:r w:rsidRPr="00ED144B">
              <w:rPr>
                <w:rFonts w:cs="Calibri"/>
                <w:b/>
                <w:sz w:val="20"/>
                <w:szCs w:val="20"/>
                <w:lang w:eastAsia="en-US"/>
              </w:rPr>
              <w:t>Nombre plantules à produire</w:t>
            </w:r>
          </w:p>
        </w:tc>
      </w:tr>
      <w:tr w:rsidR="00433B5E" w:rsidRPr="000D66EF" w:rsidTr="0009077D">
        <w:trPr>
          <w:jc w:val="center"/>
        </w:trPr>
        <w:tc>
          <w:tcPr>
            <w:tcW w:w="2201" w:type="dxa"/>
            <w:shd w:val="clear" w:color="auto" w:fill="auto"/>
            <w:vAlign w:val="center"/>
          </w:tcPr>
          <w:p w:rsidR="00433B5E" w:rsidRPr="00ED144B" w:rsidRDefault="00433B5E" w:rsidP="00ED144B">
            <w:pPr>
              <w:pStyle w:val="ListParagraph"/>
              <w:ind w:left="0"/>
              <w:jc w:val="both"/>
              <w:rPr>
                <w:rFonts w:cs="Calibri"/>
                <w:sz w:val="20"/>
                <w:szCs w:val="20"/>
                <w:lang w:eastAsia="en-US"/>
              </w:rPr>
            </w:pPr>
            <w:r w:rsidRPr="00ED144B">
              <w:rPr>
                <w:rFonts w:cs="Calibri"/>
                <w:sz w:val="20"/>
                <w:szCs w:val="20"/>
                <w:lang w:val="en-US" w:eastAsia="en-US"/>
              </w:rPr>
              <w:t>…</w:t>
            </w:r>
            <w:r w:rsidRPr="00ED144B">
              <w:rPr>
                <w:rFonts w:cs="Calibri"/>
                <w:sz w:val="20"/>
                <w:szCs w:val="20"/>
                <w:lang w:eastAsia="en-US"/>
              </w:rPr>
              <w:t>….</w:t>
            </w:r>
          </w:p>
        </w:tc>
        <w:tc>
          <w:tcPr>
            <w:tcW w:w="2384" w:type="dxa"/>
            <w:tcBorders>
              <w:right w:val="single" w:sz="4" w:space="0" w:color="auto"/>
            </w:tcBorders>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3495" w:type="dxa"/>
            <w:tcBorders>
              <w:left w:val="single" w:sz="4" w:space="0" w:color="auto"/>
            </w:tcBorders>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cs="Calibri"/>
                <w:sz w:val="20"/>
                <w:szCs w:val="20"/>
                <w:lang w:val="en-US"/>
              </w:rPr>
              <w:t>…</w:t>
            </w:r>
            <w:r w:rsidRPr="00ED144B">
              <w:rPr>
                <w:rFonts w:cs="Calibri"/>
                <w:sz w:val="20"/>
                <w:szCs w:val="20"/>
              </w:rPr>
              <w:t>….</w:t>
            </w:r>
          </w:p>
        </w:tc>
      </w:tr>
      <w:tr w:rsidR="00433B5E" w:rsidRPr="000D66EF" w:rsidTr="0009077D">
        <w:trPr>
          <w:jc w:val="center"/>
        </w:trPr>
        <w:tc>
          <w:tcPr>
            <w:tcW w:w="2201"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2384" w:type="dxa"/>
            <w:tcBorders>
              <w:right w:val="single" w:sz="4" w:space="0" w:color="auto"/>
            </w:tcBorders>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3495" w:type="dxa"/>
            <w:tcBorders>
              <w:left w:val="single" w:sz="4" w:space="0" w:color="auto"/>
            </w:tcBorders>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cs="Calibri"/>
                <w:sz w:val="20"/>
                <w:szCs w:val="20"/>
                <w:lang w:val="en-US"/>
              </w:rPr>
              <w:t>…</w:t>
            </w:r>
            <w:r w:rsidRPr="00ED144B">
              <w:rPr>
                <w:rFonts w:cs="Calibri"/>
                <w:sz w:val="20"/>
                <w:szCs w:val="20"/>
              </w:rPr>
              <w:t>….</w:t>
            </w:r>
          </w:p>
        </w:tc>
      </w:tr>
      <w:tr w:rsidR="00433B5E" w:rsidRPr="000D66EF" w:rsidTr="0009077D">
        <w:trPr>
          <w:jc w:val="center"/>
        </w:trPr>
        <w:tc>
          <w:tcPr>
            <w:tcW w:w="2201" w:type="dxa"/>
            <w:shd w:val="clear" w:color="auto" w:fill="auto"/>
            <w:vAlign w:val="center"/>
          </w:tcPr>
          <w:p w:rsidR="00433B5E" w:rsidRPr="00ED144B" w:rsidRDefault="00433B5E" w:rsidP="00ED144B">
            <w:pPr>
              <w:pStyle w:val="ListParagraph"/>
              <w:ind w:left="0"/>
              <w:jc w:val="both"/>
              <w:rPr>
                <w:rFonts w:cs="Calibri"/>
                <w:b/>
                <w:sz w:val="20"/>
                <w:szCs w:val="20"/>
                <w:lang w:val="en-US" w:eastAsia="en-US"/>
              </w:rPr>
            </w:pPr>
            <w:r w:rsidRPr="00ED144B">
              <w:rPr>
                <w:rFonts w:cs="Calibri"/>
                <w:b/>
                <w:sz w:val="20"/>
                <w:szCs w:val="20"/>
                <w:lang w:val="en-US" w:eastAsia="en-US"/>
              </w:rPr>
              <w:t>Sous-total</w:t>
            </w:r>
          </w:p>
        </w:tc>
        <w:tc>
          <w:tcPr>
            <w:tcW w:w="2384" w:type="dxa"/>
            <w:tcBorders>
              <w:right w:val="single" w:sz="4" w:space="0" w:color="auto"/>
            </w:tcBorders>
            <w:shd w:val="clear" w:color="auto" w:fill="auto"/>
            <w:vAlign w:val="center"/>
          </w:tcPr>
          <w:p w:rsidR="00433B5E" w:rsidRPr="00ED144B" w:rsidRDefault="00433B5E" w:rsidP="00ED144B">
            <w:pPr>
              <w:pStyle w:val="ListParagraph"/>
              <w:ind w:left="0"/>
              <w:jc w:val="both"/>
              <w:rPr>
                <w:rFonts w:cs="Calibri"/>
                <w:b/>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3495" w:type="dxa"/>
            <w:tcBorders>
              <w:left w:val="single" w:sz="4" w:space="0" w:color="auto"/>
            </w:tcBorders>
            <w:shd w:val="clear" w:color="auto" w:fill="auto"/>
            <w:vAlign w:val="center"/>
          </w:tcPr>
          <w:p w:rsidR="00433B5E" w:rsidRPr="00ED144B" w:rsidRDefault="00433B5E" w:rsidP="00ED144B">
            <w:pPr>
              <w:spacing w:after="0"/>
              <w:jc w:val="both"/>
              <w:rPr>
                <w:rFonts w:ascii="Calibri" w:hAnsi="Calibri" w:cs="Calibri"/>
                <w:b/>
                <w:color w:val="000000"/>
                <w:sz w:val="20"/>
                <w:szCs w:val="20"/>
              </w:rPr>
            </w:pPr>
            <w:r w:rsidRPr="00ED144B">
              <w:rPr>
                <w:rFonts w:cs="Calibri"/>
                <w:sz w:val="20"/>
                <w:szCs w:val="20"/>
                <w:lang w:val="en-US"/>
              </w:rPr>
              <w:t>…</w:t>
            </w:r>
            <w:r w:rsidRPr="00ED144B">
              <w:rPr>
                <w:rFonts w:cs="Calibri"/>
                <w:sz w:val="20"/>
                <w:szCs w:val="20"/>
              </w:rPr>
              <w:t>….</w:t>
            </w:r>
          </w:p>
        </w:tc>
      </w:tr>
      <w:tr w:rsidR="00433B5E" w:rsidRPr="000D66EF" w:rsidTr="0009077D">
        <w:trPr>
          <w:jc w:val="center"/>
        </w:trPr>
        <w:tc>
          <w:tcPr>
            <w:tcW w:w="2201" w:type="dxa"/>
            <w:shd w:val="clear" w:color="auto" w:fill="auto"/>
            <w:vAlign w:val="center"/>
          </w:tcPr>
          <w:p w:rsidR="00433B5E" w:rsidRPr="00ED144B" w:rsidRDefault="00433B5E" w:rsidP="00ED144B">
            <w:pPr>
              <w:pStyle w:val="ListParagraph"/>
              <w:jc w:val="both"/>
              <w:rPr>
                <w:rFonts w:cs="Calibri"/>
                <w:sz w:val="20"/>
                <w:szCs w:val="20"/>
                <w:lang w:val="en-US" w:eastAsia="en-US"/>
              </w:rPr>
            </w:pPr>
            <w:r w:rsidRPr="00ED144B">
              <w:rPr>
                <w:rFonts w:cs="Calibri"/>
                <w:sz w:val="20"/>
                <w:szCs w:val="20"/>
                <w:lang w:val="en-US" w:eastAsia="en-US"/>
              </w:rPr>
              <w:t xml:space="preserve">Acacia </w:t>
            </w:r>
          </w:p>
        </w:tc>
        <w:tc>
          <w:tcPr>
            <w:tcW w:w="2384" w:type="dxa"/>
            <w:tcBorders>
              <w:right w:val="single" w:sz="4" w:space="0" w:color="auto"/>
            </w:tcBorders>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3495" w:type="dxa"/>
            <w:tcBorders>
              <w:left w:val="single" w:sz="4" w:space="0" w:color="auto"/>
            </w:tcBorders>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cs="Calibri"/>
                <w:sz w:val="20"/>
                <w:szCs w:val="20"/>
                <w:lang w:val="en-US"/>
              </w:rPr>
              <w:t>…</w:t>
            </w:r>
            <w:r w:rsidRPr="00ED144B">
              <w:rPr>
                <w:rFonts w:cs="Calibri"/>
                <w:sz w:val="20"/>
                <w:szCs w:val="20"/>
              </w:rPr>
              <w:t>….</w:t>
            </w:r>
          </w:p>
        </w:tc>
      </w:tr>
      <w:tr w:rsidR="00433B5E" w:rsidRPr="000D66EF" w:rsidTr="0009077D">
        <w:trPr>
          <w:jc w:val="center"/>
        </w:trPr>
        <w:tc>
          <w:tcPr>
            <w:tcW w:w="2201" w:type="dxa"/>
            <w:shd w:val="clear" w:color="auto" w:fill="auto"/>
            <w:vAlign w:val="center"/>
          </w:tcPr>
          <w:p w:rsidR="00433B5E" w:rsidRPr="00ED144B" w:rsidRDefault="00433B5E" w:rsidP="00ED144B">
            <w:pPr>
              <w:pStyle w:val="ListParagraph"/>
              <w:ind w:left="0"/>
              <w:jc w:val="both"/>
              <w:rPr>
                <w:rFonts w:cs="Calibri"/>
                <w:b/>
                <w:sz w:val="20"/>
                <w:szCs w:val="20"/>
                <w:lang w:val="en-US" w:eastAsia="en-US"/>
              </w:rPr>
            </w:pPr>
            <w:r w:rsidRPr="00ED144B">
              <w:rPr>
                <w:rFonts w:cs="Calibri"/>
                <w:b/>
                <w:sz w:val="20"/>
                <w:szCs w:val="20"/>
                <w:lang w:val="en-US" w:eastAsia="en-US"/>
              </w:rPr>
              <w:t>Total</w:t>
            </w:r>
          </w:p>
        </w:tc>
        <w:tc>
          <w:tcPr>
            <w:tcW w:w="2384" w:type="dxa"/>
            <w:tcBorders>
              <w:right w:val="single" w:sz="4" w:space="0" w:color="auto"/>
            </w:tcBorders>
            <w:shd w:val="clear" w:color="auto" w:fill="auto"/>
            <w:vAlign w:val="center"/>
          </w:tcPr>
          <w:p w:rsidR="00433B5E" w:rsidRPr="00ED144B" w:rsidRDefault="00433B5E" w:rsidP="00ED144B">
            <w:pPr>
              <w:pStyle w:val="ListParagraph"/>
              <w:ind w:left="0"/>
              <w:jc w:val="both"/>
              <w:rPr>
                <w:rFonts w:cs="Calibri"/>
                <w:b/>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3495" w:type="dxa"/>
            <w:tcBorders>
              <w:left w:val="single" w:sz="4" w:space="0" w:color="auto"/>
            </w:tcBorders>
            <w:shd w:val="clear" w:color="auto" w:fill="auto"/>
            <w:vAlign w:val="center"/>
          </w:tcPr>
          <w:p w:rsidR="00433B5E" w:rsidRPr="00ED144B" w:rsidRDefault="00433B5E" w:rsidP="00ED144B">
            <w:pPr>
              <w:spacing w:after="0"/>
              <w:jc w:val="both"/>
              <w:rPr>
                <w:rFonts w:ascii="Calibri" w:hAnsi="Calibri" w:cs="Calibri"/>
                <w:b/>
                <w:color w:val="000000"/>
                <w:sz w:val="20"/>
                <w:szCs w:val="20"/>
              </w:rPr>
            </w:pPr>
            <w:r w:rsidRPr="00ED144B">
              <w:rPr>
                <w:rFonts w:cs="Calibri"/>
                <w:sz w:val="20"/>
                <w:szCs w:val="20"/>
                <w:lang w:val="en-US"/>
              </w:rPr>
              <w:t>…</w:t>
            </w:r>
            <w:r w:rsidRPr="00ED144B">
              <w:rPr>
                <w:rFonts w:cs="Calibri"/>
                <w:sz w:val="20"/>
                <w:szCs w:val="20"/>
              </w:rPr>
              <w:t>….</w:t>
            </w:r>
          </w:p>
        </w:tc>
      </w:tr>
    </w:tbl>
    <w:p w:rsidR="00433B5E" w:rsidRPr="00ED144B" w:rsidRDefault="00433B5E" w:rsidP="00ED144B">
      <w:pPr>
        <w:spacing w:after="0"/>
        <w:jc w:val="both"/>
        <w:rPr>
          <w:rFonts w:ascii="Calibri" w:hAnsi="Calibri" w:cs="Calibri"/>
          <w:b/>
          <w:bCs/>
          <w:sz w:val="20"/>
          <w:szCs w:val="20"/>
        </w:rPr>
      </w:pPr>
    </w:p>
    <w:p w:rsidR="00433B5E" w:rsidRPr="00ED144B" w:rsidRDefault="00433B5E" w:rsidP="00ED144B">
      <w:pPr>
        <w:spacing w:after="0"/>
        <w:jc w:val="both"/>
        <w:rPr>
          <w:rFonts w:ascii="Calibri" w:hAnsi="Calibri" w:cs="Calibri"/>
          <w:b/>
          <w:bCs/>
          <w:sz w:val="20"/>
          <w:szCs w:val="20"/>
        </w:rPr>
      </w:pPr>
    </w:p>
    <w:p w:rsidR="00433B5E" w:rsidRPr="00ED144B" w:rsidRDefault="00433B5E" w:rsidP="00ED144B">
      <w:pPr>
        <w:spacing w:after="0"/>
        <w:jc w:val="both"/>
        <w:rPr>
          <w:rFonts w:ascii="Calibri" w:hAnsi="Calibri" w:cs="Calibri"/>
          <w:b/>
          <w:bCs/>
          <w:sz w:val="20"/>
          <w:szCs w:val="20"/>
        </w:rPr>
      </w:pPr>
      <w:r w:rsidRPr="00ED144B">
        <w:rPr>
          <w:rFonts w:ascii="Calibri" w:hAnsi="Calibri" w:cs="Calibri"/>
          <w:b/>
          <w:bCs/>
          <w:sz w:val="20"/>
          <w:szCs w:val="20"/>
        </w:rPr>
        <w:t>TITRE 2. DES ROLES ET DES RESPONSABILITES</w:t>
      </w:r>
    </w:p>
    <w:p w:rsidR="00433B5E" w:rsidRPr="00ED144B" w:rsidRDefault="00433B5E" w:rsidP="00ED144B">
      <w:pPr>
        <w:spacing w:after="0"/>
        <w:jc w:val="both"/>
        <w:rPr>
          <w:rFonts w:ascii="Calibri" w:hAnsi="Calibri" w:cs="Calibri"/>
          <w:bCs/>
          <w:sz w:val="20"/>
          <w:szCs w:val="20"/>
        </w:rPr>
      </w:pPr>
    </w:p>
    <w:p w:rsidR="00433B5E" w:rsidRPr="00ED144B" w:rsidRDefault="00433B5E" w:rsidP="00ED144B">
      <w:pPr>
        <w:spacing w:after="0"/>
        <w:jc w:val="both"/>
        <w:rPr>
          <w:rFonts w:ascii="Calibri" w:hAnsi="Calibri" w:cs="Calibri"/>
          <w:b/>
          <w:sz w:val="20"/>
          <w:szCs w:val="20"/>
        </w:rPr>
      </w:pPr>
      <w:r w:rsidRPr="00ED144B">
        <w:rPr>
          <w:rFonts w:ascii="Calibri" w:hAnsi="Calibri" w:cs="Calibri"/>
          <w:b/>
          <w:sz w:val="20"/>
          <w:szCs w:val="20"/>
        </w:rPr>
        <w:t>Article 2 </w:t>
      </w:r>
    </w:p>
    <w:p w:rsidR="00433B5E" w:rsidRPr="00ED144B" w:rsidRDefault="00433B5E" w:rsidP="00ED144B">
      <w:pPr>
        <w:spacing w:after="0"/>
        <w:jc w:val="both"/>
        <w:rPr>
          <w:rFonts w:ascii="Calibri" w:hAnsi="Calibri" w:cs="Calibri"/>
          <w:b/>
          <w:sz w:val="20"/>
          <w:szCs w:val="20"/>
          <w:u w:val="single"/>
        </w:rPr>
      </w:pPr>
      <w:r w:rsidRPr="00ED144B">
        <w:rPr>
          <w:rFonts w:ascii="Calibri" w:hAnsi="Calibri" w:cs="Calibri"/>
          <w:b/>
          <w:sz w:val="20"/>
          <w:szCs w:val="20"/>
          <w:u w:val="single"/>
        </w:rPr>
        <w:t xml:space="preserve">Dans le cadre de ce </w:t>
      </w:r>
      <w:r w:rsidRPr="00ED144B">
        <w:rPr>
          <w:rFonts w:ascii="Calibri" w:hAnsi="Calibri" w:cs="Calibri"/>
          <w:b/>
          <w:sz w:val="20"/>
          <w:szCs w:val="20"/>
        </w:rPr>
        <w:t>C</w:t>
      </w:r>
      <w:r w:rsidR="00DB7C24" w:rsidRPr="000D66EF">
        <w:rPr>
          <w:rFonts w:ascii="Calibri" w:hAnsi="Calibri" w:cs="Calibri"/>
          <w:b/>
          <w:sz w:val="20"/>
          <w:szCs w:val="20"/>
          <w:u w:val="single"/>
        </w:rPr>
        <w:t>ontrat, le WWF a</w:t>
      </w:r>
      <w:r w:rsidRPr="00ED144B">
        <w:rPr>
          <w:rFonts w:ascii="Calibri" w:hAnsi="Calibri" w:cs="Calibri"/>
          <w:b/>
          <w:sz w:val="20"/>
          <w:szCs w:val="20"/>
          <w:u w:val="single"/>
        </w:rPr>
        <w:t xml:space="preserve"> pour responsabilités : </w:t>
      </w:r>
    </w:p>
    <w:p w:rsidR="00433B5E" w:rsidRPr="00ED144B" w:rsidRDefault="00433B5E" w:rsidP="00ED144B">
      <w:pPr>
        <w:spacing w:after="0"/>
        <w:jc w:val="both"/>
        <w:rPr>
          <w:rFonts w:ascii="Calibri" w:hAnsi="Calibri" w:cs="Calibri"/>
          <w:sz w:val="20"/>
          <w:szCs w:val="20"/>
        </w:rPr>
      </w:pPr>
    </w:p>
    <w:p w:rsidR="00433B5E" w:rsidRPr="00ED144B" w:rsidRDefault="00433B5E" w:rsidP="002E3A02">
      <w:pPr>
        <w:pStyle w:val="ListParagraph"/>
        <w:numPr>
          <w:ilvl w:val="0"/>
          <w:numId w:val="62"/>
        </w:numPr>
        <w:spacing w:line="276" w:lineRule="auto"/>
        <w:contextualSpacing/>
        <w:jc w:val="both"/>
        <w:rPr>
          <w:rFonts w:cs="Calibri"/>
          <w:sz w:val="20"/>
          <w:szCs w:val="20"/>
        </w:rPr>
      </w:pPr>
      <w:r w:rsidRPr="00ED144B">
        <w:rPr>
          <w:rFonts w:cs="Calibri"/>
          <w:sz w:val="20"/>
          <w:szCs w:val="20"/>
        </w:rPr>
        <w:t>Assurer une formation des pépiniéristes, sur la conduite et l’installation des pépinières, et production des plants, avant le début des travaux ;</w:t>
      </w:r>
    </w:p>
    <w:p w:rsidR="00433B5E" w:rsidRPr="00ED144B" w:rsidRDefault="00433B5E" w:rsidP="002E3A02">
      <w:pPr>
        <w:pStyle w:val="ListParagraph"/>
        <w:numPr>
          <w:ilvl w:val="0"/>
          <w:numId w:val="62"/>
        </w:numPr>
        <w:spacing w:line="276" w:lineRule="auto"/>
        <w:contextualSpacing/>
        <w:jc w:val="both"/>
        <w:rPr>
          <w:rFonts w:cs="Calibri"/>
          <w:sz w:val="20"/>
          <w:szCs w:val="20"/>
        </w:rPr>
      </w:pPr>
      <w:r w:rsidRPr="00ED144B">
        <w:rPr>
          <w:rFonts w:cs="Calibri"/>
          <w:sz w:val="20"/>
          <w:szCs w:val="20"/>
        </w:rPr>
        <w:t>Diffuser les techniques d’agroforesterie aux ménages encadrés par le CLD ;</w:t>
      </w:r>
    </w:p>
    <w:p w:rsidR="00433B5E" w:rsidRPr="00ED144B" w:rsidRDefault="00433B5E" w:rsidP="002E3A02">
      <w:pPr>
        <w:pStyle w:val="ListParagraph"/>
        <w:numPr>
          <w:ilvl w:val="0"/>
          <w:numId w:val="62"/>
        </w:numPr>
        <w:spacing w:line="276" w:lineRule="auto"/>
        <w:contextualSpacing/>
        <w:jc w:val="both"/>
        <w:rPr>
          <w:rFonts w:cs="Calibri"/>
          <w:sz w:val="20"/>
          <w:szCs w:val="20"/>
        </w:rPr>
      </w:pPr>
      <w:r w:rsidRPr="00ED144B">
        <w:rPr>
          <w:rFonts w:cs="Calibri"/>
          <w:sz w:val="20"/>
          <w:szCs w:val="20"/>
        </w:rPr>
        <w:t>Apporter un encadrement et un accompagnement technique pendant toute la durée du Contrat ;</w:t>
      </w:r>
    </w:p>
    <w:p w:rsidR="00433B5E" w:rsidRPr="00ED144B" w:rsidRDefault="00433B5E" w:rsidP="002E3A02">
      <w:pPr>
        <w:pStyle w:val="ListParagraph"/>
        <w:numPr>
          <w:ilvl w:val="0"/>
          <w:numId w:val="62"/>
        </w:numPr>
        <w:spacing w:line="276" w:lineRule="auto"/>
        <w:contextualSpacing/>
        <w:jc w:val="both"/>
        <w:rPr>
          <w:rFonts w:cs="Calibri"/>
          <w:sz w:val="20"/>
          <w:szCs w:val="20"/>
        </w:rPr>
      </w:pPr>
      <w:r w:rsidRPr="00ED144B">
        <w:rPr>
          <w:rFonts w:cs="Calibri"/>
          <w:sz w:val="20"/>
          <w:szCs w:val="20"/>
        </w:rPr>
        <w:t>Apporter un appui financier couvrant les travaux nécessaires à la production de plantules et à l’installation des boisements ;</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t xml:space="preserve">Acheter les plantules en âge  de plantation, soit ayant atteint environ 15 à 30 cm de hauteur. Ces plantules feront l’objet d’une sélection par l’agroforestier du Territoire et le nombre sera consigné dans un Procès Verbale d’achat suivant </w:t>
      </w:r>
      <w:r w:rsidRPr="00ED144B">
        <w:rPr>
          <w:rFonts w:cs="Calibri"/>
          <w:b/>
          <w:sz w:val="20"/>
          <w:szCs w:val="20"/>
        </w:rPr>
        <w:t>le modèle en annexe 1</w:t>
      </w:r>
      <w:r w:rsidRPr="00ED144B">
        <w:rPr>
          <w:rFonts w:cs="Calibri"/>
          <w:sz w:val="20"/>
          <w:szCs w:val="20"/>
        </w:rPr>
        <w:t xml:space="preserve"> au prix de </w:t>
      </w:r>
      <w:r w:rsidRPr="00ED144B">
        <w:rPr>
          <w:rFonts w:cs="Calibri"/>
          <w:b/>
          <w:sz w:val="20"/>
          <w:szCs w:val="20"/>
        </w:rPr>
        <w:t xml:space="preserve">0,1 USD </w:t>
      </w:r>
      <w:r w:rsidRPr="00ED144B">
        <w:rPr>
          <w:rFonts w:cs="Calibri"/>
          <w:sz w:val="20"/>
          <w:szCs w:val="20"/>
        </w:rPr>
        <w:t>(Un centime de Dollar Américain)</w:t>
      </w:r>
      <w:r w:rsidRPr="00ED144B">
        <w:rPr>
          <w:rFonts w:cs="Calibri"/>
          <w:b/>
          <w:sz w:val="20"/>
          <w:szCs w:val="20"/>
        </w:rPr>
        <w:t xml:space="preserve"> par plantule </w:t>
      </w:r>
      <w:r w:rsidRPr="00ED144B">
        <w:rPr>
          <w:rFonts w:cs="Calibri"/>
          <w:sz w:val="20"/>
          <w:szCs w:val="20"/>
        </w:rPr>
        <w:t>(en cas de payement en Franc Congolais, le taux USD utilisé sera celui de la Banque).</w:t>
      </w:r>
      <w:r w:rsidRPr="00ED144B">
        <w:rPr>
          <w:rFonts w:cs="Calibri"/>
          <w:b/>
          <w:sz w:val="20"/>
          <w:szCs w:val="20"/>
        </w:rPr>
        <w:t xml:space="preserve"> </w:t>
      </w:r>
      <w:r w:rsidRPr="00ED144B">
        <w:rPr>
          <w:rFonts w:cs="Calibri"/>
          <w:sz w:val="20"/>
          <w:szCs w:val="20"/>
        </w:rPr>
        <w:t xml:space="preserve"> </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t xml:space="preserve">Acheter la surproduction des plants sous condition d’un accord commun .Le projet n’est pas obligé d’acheter tout le surplus des plants produits par le pépiniériste, mais une quantité suivant les besoins des planteurs choisis. L’achat de la surproduction fera l’objet d’un avenant au présent Contrat et repris dans le PV d’achat. </w:t>
      </w:r>
    </w:p>
    <w:p w:rsidR="00433B5E" w:rsidRPr="00ED144B" w:rsidRDefault="00433B5E" w:rsidP="002E3A02">
      <w:pPr>
        <w:pStyle w:val="ListParagraph"/>
        <w:numPr>
          <w:ilvl w:val="0"/>
          <w:numId w:val="63"/>
        </w:numPr>
        <w:spacing w:line="276" w:lineRule="auto"/>
        <w:contextualSpacing/>
        <w:jc w:val="both"/>
        <w:rPr>
          <w:rFonts w:cs="Calibri"/>
          <w:sz w:val="20"/>
          <w:szCs w:val="20"/>
          <w:lang w:val="fr-BE"/>
        </w:rPr>
      </w:pPr>
      <w:r w:rsidRPr="00ED144B">
        <w:rPr>
          <w:rFonts w:cs="Calibri"/>
          <w:sz w:val="20"/>
          <w:szCs w:val="20"/>
          <w:lang w:val="fr-BE"/>
        </w:rPr>
        <w:t xml:space="preserve">Pour l’accomplissement des tâches qui sont assignées dans le cadre de ce Contrat, il sera versé aux ménages à travers le CLD un montant total de </w:t>
      </w:r>
      <w:r w:rsidRPr="00ED144B">
        <w:rPr>
          <w:rFonts w:cs="Calibri"/>
          <w:b/>
          <w:sz w:val="20"/>
          <w:szCs w:val="20"/>
          <w:lang w:val="fr-BE"/>
        </w:rPr>
        <w:t>150 USD</w:t>
      </w:r>
      <w:r w:rsidRPr="00ED144B">
        <w:rPr>
          <w:rFonts w:cs="Calibri"/>
          <w:sz w:val="20"/>
          <w:szCs w:val="20"/>
          <w:lang w:val="fr-BE"/>
        </w:rPr>
        <w:t xml:space="preserve"> (cent-cinquante Dollars Américains) </w:t>
      </w:r>
      <w:r w:rsidRPr="00ED144B">
        <w:rPr>
          <w:rFonts w:cs="Calibri"/>
          <w:b/>
          <w:sz w:val="20"/>
          <w:szCs w:val="20"/>
          <w:lang w:val="fr-BE"/>
        </w:rPr>
        <w:t>pour</w:t>
      </w:r>
      <w:r w:rsidRPr="00ED144B">
        <w:rPr>
          <w:rFonts w:cs="Calibri"/>
          <w:sz w:val="20"/>
          <w:szCs w:val="20"/>
          <w:lang w:val="fr-BE"/>
        </w:rPr>
        <w:t xml:space="preserve"> </w:t>
      </w:r>
      <w:r w:rsidRPr="00ED144B">
        <w:rPr>
          <w:rFonts w:cs="Calibri"/>
          <w:b/>
          <w:sz w:val="20"/>
          <w:szCs w:val="20"/>
          <w:lang w:val="fr-BE"/>
        </w:rPr>
        <w:t>1 hectare planté</w:t>
      </w:r>
      <w:r w:rsidRPr="00ED144B">
        <w:rPr>
          <w:rFonts w:cs="Calibri"/>
          <w:sz w:val="20"/>
          <w:szCs w:val="20"/>
          <w:lang w:val="fr-BE"/>
        </w:rPr>
        <w:t xml:space="preserve">, entretenu et protégé, dont </w:t>
      </w:r>
      <w:r w:rsidRPr="00ED144B">
        <w:rPr>
          <w:rFonts w:cs="Calibri"/>
          <w:b/>
          <w:sz w:val="20"/>
          <w:szCs w:val="20"/>
          <w:lang w:val="fr-BE"/>
        </w:rPr>
        <w:t>5% pour les frais de fonctionnement  du CLD et 95% pour les ménages concernés</w:t>
      </w:r>
      <w:r w:rsidRPr="00ED144B">
        <w:rPr>
          <w:rFonts w:cs="Calibri"/>
          <w:sz w:val="20"/>
          <w:szCs w:val="20"/>
          <w:lang w:val="fr-BE"/>
        </w:rPr>
        <w:t>. Le montant total payé au ménage à travers le CLD sera calculé en fonction de la superficie totale réalisée et validée</w:t>
      </w:r>
      <w:r w:rsidR="00DB7C24" w:rsidRPr="000D66EF">
        <w:rPr>
          <w:rFonts w:cs="Calibri"/>
          <w:sz w:val="20"/>
          <w:szCs w:val="20"/>
          <w:lang w:val="fr-BE"/>
        </w:rPr>
        <w:t>.</w:t>
      </w:r>
    </w:p>
    <w:p w:rsidR="00433B5E" w:rsidRPr="00ED144B" w:rsidRDefault="00433B5E" w:rsidP="00ED144B">
      <w:pPr>
        <w:pStyle w:val="ListParagraph"/>
        <w:ind w:left="0"/>
        <w:jc w:val="both"/>
        <w:rPr>
          <w:rFonts w:cs="Calibri"/>
          <w:sz w:val="20"/>
          <w:szCs w:val="20"/>
          <w:lang w:val="fr-BE"/>
        </w:rPr>
      </w:pPr>
    </w:p>
    <w:p w:rsidR="00433B5E" w:rsidRPr="00ED144B" w:rsidRDefault="00433B5E" w:rsidP="00ED144B">
      <w:pPr>
        <w:spacing w:after="0"/>
        <w:jc w:val="both"/>
        <w:rPr>
          <w:rFonts w:ascii="Calibri" w:hAnsi="Calibri" w:cs="Calibri"/>
          <w:b/>
          <w:sz w:val="20"/>
          <w:szCs w:val="20"/>
          <w:u w:val="single"/>
        </w:rPr>
      </w:pPr>
      <w:r w:rsidRPr="00ED144B">
        <w:rPr>
          <w:rFonts w:ascii="Calibri" w:hAnsi="Calibri" w:cs="Calibri"/>
          <w:b/>
          <w:sz w:val="20"/>
          <w:szCs w:val="20"/>
          <w:u w:val="single"/>
        </w:rPr>
        <w:t>Dans le cadre du présent Contrat, le CLD a pour responsabilités :</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t xml:space="preserve">Encadrer les pépiniéristes pour la production de plantules ; </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t>Mettre en place des pépinières permanentes de production des plantules des espèces désignées selon les capacités, les normes et les dimensions exigées par le projet ;</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t>Assurer les opérations d’entretien des plantules, de remplacement et de protection  des plantules ;</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t>Ne pas modifier l’usage du sol sur lequel la pépinière est installée, avant la livraison des plantules au projet ;</w:t>
      </w:r>
    </w:p>
    <w:p w:rsidR="00433B5E" w:rsidRPr="00ED144B" w:rsidRDefault="00433B5E" w:rsidP="002E3A02">
      <w:pPr>
        <w:pStyle w:val="ListParagraph"/>
        <w:numPr>
          <w:ilvl w:val="0"/>
          <w:numId w:val="57"/>
        </w:numPr>
        <w:spacing w:before="120"/>
        <w:contextualSpacing/>
        <w:jc w:val="both"/>
        <w:rPr>
          <w:rFonts w:cs="Calibri"/>
          <w:sz w:val="20"/>
          <w:szCs w:val="20"/>
        </w:rPr>
      </w:pPr>
      <w:r w:rsidRPr="00ED144B">
        <w:rPr>
          <w:rFonts w:cs="Calibri"/>
          <w:sz w:val="20"/>
          <w:szCs w:val="20"/>
        </w:rPr>
        <w:t xml:space="preserve">Identifier les terrains à reboiser et encadrer les ménages pour la mise en place de boisements, ainsi que l’entretien et la protection contre le feu de brousse et autres ravageurs; </w:t>
      </w:r>
    </w:p>
    <w:p w:rsidR="00433B5E" w:rsidRPr="00ED144B" w:rsidRDefault="00433B5E" w:rsidP="002E3A02">
      <w:pPr>
        <w:pStyle w:val="ListParagraph"/>
        <w:numPr>
          <w:ilvl w:val="0"/>
          <w:numId w:val="57"/>
        </w:numPr>
        <w:spacing w:before="120"/>
        <w:contextualSpacing/>
        <w:jc w:val="both"/>
        <w:rPr>
          <w:rFonts w:cs="Calibri"/>
          <w:sz w:val="20"/>
          <w:szCs w:val="20"/>
        </w:rPr>
      </w:pPr>
      <w:r w:rsidRPr="00ED144B">
        <w:rPr>
          <w:rFonts w:cs="Calibri"/>
          <w:sz w:val="20"/>
          <w:szCs w:val="20"/>
        </w:rPr>
        <w:t xml:space="preserve">Faciliter la distribution des plantules aux ménages encadrés ; </w:t>
      </w:r>
    </w:p>
    <w:p w:rsidR="00433B5E" w:rsidRPr="00ED144B" w:rsidRDefault="00433B5E" w:rsidP="002E3A02">
      <w:pPr>
        <w:pStyle w:val="ListParagraph"/>
        <w:numPr>
          <w:ilvl w:val="0"/>
          <w:numId w:val="57"/>
        </w:numPr>
        <w:spacing w:before="120"/>
        <w:contextualSpacing/>
        <w:jc w:val="both"/>
        <w:rPr>
          <w:rFonts w:cs="Calibri"/>
          <w:sz w:val="20"/>
          <w:szCs w:val="20"/>
        </w:rPr>
      </w:pPr>
      <w:r w:rsidRPr="00ED144B">
        <w:rPr>
          <w:rFonts w:cs="Calibri"/>
          <w:sz w:val="20"/>
          <w:szCs w:val="20"/>
        </w:rPr>
        <w:t>Suivre la mise en place, regarnissage, entretien et protection de boisements réalisés par les ménages encadrés.</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t>Etre disponible et mettre à la disposition de l’équipe du projet des informations souhaitées lors des missions de suivi ;</w:t>
      </w:r>
    </w:p>
    <w:p w:rsidR="00433B5E" w:rsidRPr="00ED144B" w:rsidRDefault="00433B5E" w:rsidP="002E3A02">
      <w:pPr>
        <w:pStyle w:val="ListParagraph"/>
        <w:numPr>
          <w:ilvl w:val="0"/>
          <w:numId w:val="63"/>
        </w:numPr>
        <w:spacing w:line="276" w:lineRule="auto"/>
        <w:contextualSpacing/>
        <w:jc w:val="both"/>
        <w:rPr>
          <w:rFonts w:cs="Calibri"/>
          <w:sz w:val="20"/>
          <w:szCs w:val="20"/>
        </w:rPr>
      </w:pPr>
      <w:r w:rsidRPr="00ED144B">
        <w:rPr>
          <w:rFonts w:cs="Calibri"/>
          <w:sz w:val="20"/>
          <w:szCs w:val="20"/>
        </w:rPr>
        <w:lastRenderedPageBreak/>
        <w:t>Ne pas être à l’origine d’un conflit d’intérêt en adhérant aux mêmes activités que ceux faisant état du présent contrat proposés par tout autre intervenant différent du projet, au risque de compromettre l’atteinte des résultats escomptés de ce dernier ;</w:t>
      </w:r>
    </w:p>
    <w:p w:rsidR="00433B5E" w:rsidRPr="00ED144B" w:rsidRDefault="00433B5E" w:rsidP="002E3A02">
      <w:pPr>
        <w:pStyle w:val="ListParagraph"/>
        <w:numPr>
          <w:ilvl w:val="0"/>
          <w:numId w:val="62"/>
        </w:numPr>
        <w:spacing w:line="276" w:lineRule="auto"/>
        <w:contextualSpacing/>
        <w:jc w:val="both"/>
        <w:rPr>
          <w:rFonts w:cs="Calibri"/>
          <w:sz w:val="20"/>
          <w:szCs w:val="20"/>
        </w:rPr>
      </w:pPr>
      <w:r w:rsidRPr="00ED144B">
        <w:rPr>
          <w:rFonts w:cs="Calibri"/>
          <w:sz w:val="20"/>
          <w:szCs w:val="20"/>
        </w:rPr>
        <w:t xml:space="preserve">Faciliter et accompagner l’équipe du Projet </w:t>
      </w:r>
      <w:r w:rsidRPr="000D66EF">
        <w:rPr>
          <w:rFonts w:cs="Calibri"/>
          <w:sz w:val="20"/>
          <w:szCs w:val="20"/>
        </w:rPr>
        <w:t>PIREDD Plateau</w:t>
      </w:r>
      <w:r w:rsidRPr="00ED144B">
        <w:rPr>
          <w:rFonts w:cs="Calibri"/>
          <w:sz w:val="20"/>
          <w:szCs w:val="20"/>
        </w:rPr>
        <w:t xml:space="preserve"> sur terrain et rapporter tout incident qui compromettrait au respect des termes du présent contrat ;</w:t>
      </w:r>
    </w:p>
    <w:p w:rsidR="00433B5E" w:rsidRPr="00ED144B" w:rsidRDefault="00433B5E" w:rsidP="002E3A02">
      <w:pPr>
        <w:pStyle w:val="ListParagraph"/>
        <w:numPr>
          <w:ilvl w:val="0"/>
          <w:numId w:val="62"/>
        </w:numPr>
        <w:spacing w:line="276" w:lineRule="auto"/>
        <w:contextualSpacing/>
        <w:jc w:val="both"/>
        <w:rPr>
          <w:rFonts w:cs="Calibri"/>
          <w:sz w:val="20"/>
          <w:szCs w:val="20"/>
        </w:rPr>
      </w:pPr>
      <w:r w:rsidRPr="00ED144B">
        <w:rPr>
          <w:rFonts w:cs="Calibri"/>
          <w:sz w:val="20"/>
          <w:szCs w:val="20"/>
        </w:rPr>
        <w:t xml:space="preserve">Protéger les intérêts de Projet </w:t>
      </w:r>
      <w:r w:rsidRPr="000D66EF">
        <w:rPr>
          <w:rFonts w:cs="Calibri"/>
          <w:sz w:val="20"/>
          <w:szCs w:val="20"/>
        </w:rPr>
        <w:t>PIREDD Plateau</w:t>
      </w:r>
      <w:r w:rsidRPr="00ED144B">
        <w:rPr>
          <w:rFonts w:cs="Calibri"/>
          <w:sz w:val="20"/>
          <w:szCs w:val="20"/>
        </w:rPr>
        <w:t xml:space="preserve"> dans le milieu ;</w:t>
      </w:r>
    </w:p>
    <w:p w:rsidR="00433B5E" w:rsidRPr="00ED144B" w:rsidRDefault="00433B5E" w:rsidP="002E3A02">
      <w:pPr>
        <w:pStyle w:val="ListParagraph"/>
        <w:numPr>
          <w:ilvl w:val="0"/>
          <w:numId w:val="62"/>
        </w:numPr>
        <w:spacing w:line="276" w:lineRule="auto"/>
        <w:contextualSpacing/>
        <w:jc w:val="both"/>
        <w:rPr>
          <w:rFonts w:cs="Calibri"/>
          <w:sz w:val="20"/>
          <w:szCs w:val="20"/>
        </w:rPr>
      </w:pPr>
      <w:r w:rsidRPr="00ED144B">
        <w:rPr>
          <w:rFonts w:cs="Calibri"/>
          <w:sz w:val="20"/>
          <w:szCs w:val="20"/>
        </w:rPr>
        <w:t xml:space="preserve">Informer les ayants droits et la population des activités de projet et assurer la gestion des droits coutumiers ; </w:t>
      </w:r>
    </w:p>
    <w:p w:rsidR="00433B5E" w:rsidRPr="00ED144B" w:rsidRDefault="00433B5E" w:rsidP="00ED144B">
      <w:pPr>
        <w:spacing w:after="0"/>
        <w:jc w:val="both"/>
        <w:rPr>
          <w:rFonts w:ascii="Calibri" w:hAnsi="Calibri" w:cs="Calibri"/>
          <w:b/>
          <w:bCs/>
          <w:sz w:val="20"/>
          <w:szCs w:val="20"/>
        </w:rPr>
      </w:pPr>
      <w:r w:rsidRPr="00ED144B">
        <w:rPr>
          <w:rFonts w:ascii="Calibri" w:hAnsi="Calibri" w:cs="Calibri"/>
          <w:b/>
          <w:bCs/>
          <w:sz w:val="20"/>
          <w:szCs w:val="20"/>
        </w:rPr>
        <w:t xml:space="preserve">Article 3 : </w:t>
      </w:r>
    </w:p>
    <w:p w:rsidR="00433B5E" w:rsidRPr="00ED144B" w:rsidRDefault="00433B5E" w:rsidP="00ED144B">
      <w:pPr>
        <w:spacing w:after="0"/>
        <w:jc w:val="both"/>
        <w:rPr>
          <w:rFonts w:ascii="Calibri" w:hAnsi="Calibri" w:cs="Calibri"/>
          <w:bCs/>
          <w:sz w:val="20"/>
          <w:szCs w:val="20"/>
        </w:rPr>
      </w:pPr>
      <w:r w:rsidRPr="00ED144B">
        <w:rPr>
          <w:rFonts w:ascii="Calibri" w:hAnsi="Calibri" w:cs="Calibri"/>
          <w:bCs/>
          <w:sz w:val="20"/>
          <w:szCs w:val="20"/>
        </w:rPr>
        <w:t>Les deux parties s’engagent à :</w:t>
      </w:r>
    </w:p>
    <w:p w:rsidR="00433B5E" w:rsidRPr="00ED144B" w:rsidRDefault="00433B5E" w:rsidP="002E3A02">
      <w:pPr>
        <w:numPr>
          <w:ilvl w:val="0"/>
          <w:numId w:val="68"/>
        </w:numPr>
        <w:spacing w:after="0"/>
        <w:jc w:val="both"/>
        <w:rPr>
          <w:rFonts w:ascii="Calibri" w:hAnsi="Calibri" w:cs="Calibri"/>
          <w:sz w:val="20"/>
          <w:szCs w:val="20"/>
        </w:rPr>
      </w:pPr>
      <w:r w:rsidRPr="00ED144B">
        <w:rPr>
          <w:rFonts w:ascii="Calibri" w:hAnsi="Calibri" w:cs="Calibri"/>
          <w:bCs/>
          <w:sz w:val="20"/>
          <w:szCs w:val="20"/>
        </w:rPr>
        <w:t>Respecter les règles déontologiques dans le domaine des activités mises en œuvre par chaque partie, dont  le respect de l’autorité, la confidentialité, la courtoisie ;</w:t>
      </w:r>
    </w:p>
    <w:p w:rsidR="00433B5E" w:rsidRPr="00ED144B" w:rsidRDefault="00433B5E" w:rsidP="002E3A02">
      <w:pPr>
        <w:numPr>
          <w:ilvl w:val="0"/>
          <w:numId w:val="68"/>
        </w:numPr>
        <w:spacing w:after="0"/>
        <w:jc w:val="both"/>
        <w:rPr>
          <w:rFonts w:ascii="Calibri" w:hAnsi="Calibri" w:cs="Calibri"/>
          <w:sz w:val="20"/>
          <w:szCs w:val="20"/>
        </w:rPr>
      </w:pPr>
      <w:r w:rsidRPr="00ED144B">
        <w:rPr>
          <w:rFonts w:ascii="Calibri" w:hAnsi="Calibri" w:cs="Calibri"/>
          <w:bCs/>
          <w:sz w:val="20"/>
          <w:szCs w:val="20"/>
        </w:rPr>
        <w:t>S’informer mutuellement sur le déroulement des activités et toute autre information utile relative à la gestion des ressources naturelles et ses corollaires ;</w:t>
      </w:r>
    </w:p>
    <w:p w:rsidR="00433B5E" w:rsidRPr="00ED144B" w:rsidRDefault="00433B5E" w:rsidP="002E3A02">
      <w:pPr>
        <w:pStyle w:val="ListParagraph"/>
        <w:numPr>
          <w:ilvl w:val="0"/>
          <w:numId w:val="68"/>
        </w:numPr>
        <w:spacing w:line="259" w:lineRule="auto"/>
        <w:contextualSpacing/>
        <w:jc w:val="both"/>
        <w:rPr>
          <w:rFonts w:cs="Calibri"/>
          <w:sz w:val="20"/>
          <w:szCs w:val="20"/>
        </w:rPr>
      </w:pPr>
      <w:r w:rsidRPr="00ED144B">
        <w:rPr>
          <w:rFonts w:cs="Calibri"/>
          <w:sz w:val="20"/>
          <w:szCs w:val="20"/>
        </w:rPr>
        <w:t xml:space="preserve">S’assurer que la superficie indiquée dans le présent Contrat ne présente aucun conflit à la date de la signature du présent Contrat ; </w:t>
      </w:r>
    </w:p>
    <w:p w:rsidR="00433B5E" w:rsidRPr="00ED144B" w:rsidRDefault="00433B5E" w:rsidP="00ED144B">
      <w:pPr>
        <w:spacing w:after="0" w:line="259" w:lineRule="auto"/>
        <w:jc w:val="both"/>
        <w:rPr>
          <w:rFonts w:ascii="Calibri" w:hAnsi="Calibri" w:cs="Calibri"/>
          <w:sz w:val="20"/>
          <w:szCs w:val="20"/>
        </w:rPr>
      </w:pPr>
    </w:p>
    <w:p w:rsidR="00433B5E" w:rsidRPr="00ED144B" w:rsidRDefault="00433B5E" w:rsidP="00ED144B">
      <w:pPr>
        <w:spacing w:after="0" w:line="259" w:lineRule="auto"/>
        <w:jc w:val="both"/>
        <w:rPr>
          <w:rFonts w:ascii="Calibri" w:hAnsi="Calibri" w:cs="Calibri"/>
          <w:sz w:val="20"/>
          <w:szCs w:val="20"/>
        </w:rPr>
      </w:pPr>
      <w:r w:rsidRPr="00ED144B">
        <w:rPr>
          <w:rFonts w:ascii="Calibri" w:hAnsi="Calibri" w:cs="Calibri"/>
          <w:sz w:val="20"/>
          <w:szCs w:val="20"/>
        </w:rPr>
        <w:t>Le CLD s’engage à :</w:t>
      </w:r>
    </w:p>
    <w:p w:rsidR="00433B5E" w:rsidRPr="00ED144B" w:rsidRDefault="00433B5E" w:rsidP="00ED144B">
      <w:pPr>
        <w:spacing w:after="0" w:line="259" w:lineRule="auto"/>
        <w:jc w:val="both"/>
        <w:rPr>
          <w:rFonts w:ascii="Calibri" w:hAnsi="Calibri" w:cs="Calibri"/>
          <w:sz w:val="20"/>
          <w:szCs w:val="20"/>
        </w:rPr>
      </w:pPr>
    </w:p>
    <w:p w:rsidR="00433B5E" w:rsidRPr="00ED144B" w:rsidRDefault="00433B5E" w:rsidP="00ED144B">
      <w:pPr>
        <w:pStyle w:val="ListParagraph"/>
        <w:tabs>
          <w:tab w:val="left" w:pos="0"/>
        </w:tabs>
        <w:spacing w:before="40" w:line="288" w:lineRule="auto"/>
        <w:ind w:left="0"/>
        <w:jc w:val="both"/>
        <w:rPr>
          <w:rFonts w:cs="Calibri"/>
          <w:sz w:val="20"/>
          <w:szCs w:val="20"/>
        </w:rPr>
      </w:pPr>
      <w:r w:rsidRPr="00ED144B">
        <w:rPr>
          <w:rFonts w:cs="Calibri"/>
          <w:sz w:val="20"/>
          <w:szCs w:val="20"/>
        </w:rPr>
        <w:t>Le CLD et la communauté s’engagent à adhérer aux valeurs de conservation à savoir :</w:t>
      </w:r>
    </w:p>
    <w:p w:rsidR="00433B5E" w:rsidRPr="00ED144B" w:rsidRDefault="00433B5E" w:rsidP="002E3A02">
      <w:pPr>
        <w:pStyle w:val="ListParagraph"/>
        <w:numPr>
          <w:ilvl w:val="0"/>
          <w:numId w:val="71"/>
        </w:numPr>
        <w:tabs>
          <w:tab w:val="left" w:pos="0"/>
        </w:tabs>
        <w:spacing w:before="40" w:line="288" w:lineRule="auto"/>
        <w:contextualSpacing/>
        <w:jc w:val="both"/>
        <w:rPr>
          <w:rFonts w:cs="Calibri"/>
          <w:sz w:val="20"/>
          <w:szCs w:val="20"/>
        </w:rPr>
      </w:pPr>
      <w:r w:rsidRPr="00ED144B">
        <w:rPr>
          <w:rFonts w:cs="Calibri"/>
          <w:sz w:val="20"/>
          <w:szCs w:val="20"/>
        </w:rPr>
        <w:t xml:space="preserve">Respecter la loi sur la chasse, participer au suivi effectué dans le cadre du respect de la chasse coutumière et lutter contre le braconnage, </w:t>
      </w:r>
    </w:p>
    <w:p w:rsidR="00433B5E" w:rsidRPr="00ED144B" w:rsidRDefault="00433B5E" w:rsidP="002E3A02">
      <w:pPr>
        <w:pStyle w:val="ListParagraph"/>
        <w:numPr>
          <w:ilvl w:val="0"/>
          <w:numId w:val="71"/>
        </w:numPr>
        <w:tabs>
          <w:tab w:val="left" w:pos="0"/>
        </w:tabs>
        <w:spacing w:before="40" w:line="288" w:lineRule="auto"/>
        <w:contextualSpacing/>
        <w:jc w:val="both"/>
        <w:rPr>
          <w:rFonts w:cs="Calibri"/>
          <w:sz w:val="20"/>
          <w:szCs w:val="20"/>
        </w:rPr>
      </w:pPr>
      <w:r w:rsidRPr="00ED144B">
        <w:rPr>
          <w:rFonts w:cs="Calibri"/>
          <w:sz w:val="20"/>
          <w:szCs w:val="20"/>
        </w:rPr>
        <w:t xml:space="preserve">Dénoncer les auteurs des feux de brousses  </w:t>
      </w:r>
    </w:p>
    <w:p w:rsidR="00433B5E" w:rsidRPr="00ED144B" w:rsidRDefault="00433B5E" w:rsidP="002E3A02">
      <w:pPr>
        <w:pStyle w:val="ListParagraph"/>
        <w:numPr>
          <w:ilvl w:val="0"/>
          <w:numId w:val="71"/>
        </w:numPr>
        <w:tabs>
          <w:tab w:val="left" w:pos="0"/>
        </w:tabs>
        <w:spacing w:before="40" w:line="288" w:lineRule="auto"/>
        <w:contextualSpacing/>
        <w:jc w:val="both"/>
        <w:rPr>
          <w:rFonts w:cs="Calibri"/>
          <w:sz w:val="20"/>
          <w:szCs w:val="20"/>
        </w:rPr>
      </w:pPr>
      <w:r w:rsidRPr="00ED144B">
        <w:rPr>
          <w:rFonts w:cs="Calibri"/>
          <w:sz w:val="20"/>
          <w:szCs w:val="20"/>
        </w:rPr>
        <w:t>Respecter les dispositions de la loi sur la pêche,</w:t>
      </w:r>
    </w:p>
    <w:p w:rsidR="00433B5E" w:rsidRPr="00ED144B" w:rsidRDefault="00433B5E" w:rsidP="002E3A02">
      <w:pPr>
        <w:pStyle w:val="ListParagraph"/>
        <w:numPr>
          <w:ilvl w:val="0"/>
          <w:numId w:val="71"/>
        </w:numPr>
        <w:tabs>
          <w:tab w:val="left" w:pos="0"/>
        </w:tabs>
        <w:spacing w:before="40" w:line="288" w:lineRule="auto"/>
        <w:contextualSpacing/>
        <w:jc w:val="both"/>
        <w:rPr>
          <w:rFonts w:cs="Calibri"/>
          <w:sz w:val="20"/>
          <w:szCs w:val="20"/>
        </w:rPr>
      </w:pPr>
      <w:r w:rsidRPr="00ED144B">
        <w:rPr>
          <w:rFonts w:cs="Calibri"/>
          <w:sz w:val="20"/>
          <w:szCs w:val="20"/>
        </w:rPr>
        <w:t>Identifier et délimiter les zones de protection (frayères et sources d’eau) et les protéger effectivement ;</w:t>
      </w:r>
    </w:p>
    <w:p w:rsidR="00433B5E" w:rsidRPr="00ED144B" w:rsidRDefault="00433B5E" w:rsidP="002E3A02">
      <w:pPr>
        <w:pStyle w:val="ListParagraph"/>
        <w:numPr>
          <w:ilvl w:val="0"/>
          <w:numId w:val="71"/>
        </w:numPr>
        <w:tabs>
          <w:tab w:val="left" w:pos="0"/>
        </w:tabs>
        <w:spacing w:before="40" w:line="288" w:lineRule="auto"/>
        <w:contextualSpacing/>
        <w:jc w:val="both"/>
        <w:rPr>
          <w:rFonts w:cs="Calibri"/>
          <w:sz w:val="20"/>
          <w:szCs w:val="20"/>
        </w:rPr>
      </w:pPr>
      <w:r w:rsidRPr="00ED144B">
        <w:rPr>
          <w:rFonts w:cs="Calibri"/>
          <w:sz w:val="20"/>
          <w:szCs w:val="20"/>
        </w:rPr>
        <w:t>Faire le suivi et la surveillance des  forêts du Terroir;</w:t>
      </w:r>
    </w:p>
    <w:p w:rsidR="00433B5E" w:rsidRPr="00ED144B" w:rsidRDefault="00433B5E" w:rsidP="002E3A02">
      <w:pPr>
        <w:pStyle w:val="ListParagraph"/>
        <w:numPr>
          <w:ilvl w:val="0"/>
          <w:numId w:val="71"/>
        </w:numPr>
        <w:tabs>
          <w:tab w:val="left" w:pos="0"/>
        </w:tabs>
        <w:spacing w:before="40" w:line="288" w:lineRule="auto"/>
        <w:contextualSpacing/>
        <w:jc w:val="both"/>
        <w:rPr>
          <w:rFonts w:cs="Calibri"/>
          <w:sz w:val="20"/>
          <w:szCs w:val="20"/>
        </w:rPr>
      </w:pPr>
      <w:r w:rsidRPr="00ED144B">
        <w:rPr>
          <w:rFonts w:cs="Calibri"/>
          <w:sz w:val="20"/>
          <w:szCs w:val="20"/>
          <w:lang w:val="fr-CD"/>
        </w:rPr>
        <w:t>Respecter le Plan de Gestion de Ressources Naturelles ;</w:t>
      </w:r>
    </w:p>
    <w:p w:rsidR="00433B5E" w:rsidRPr="00ED144B" w:rsidRDefault="00433B5E" w:rsidP="00ED144B">
      <w:pPr>
        <w:spacing w:after="0" w:line="259" w:lineRule="auto"/>
        <w:jc w:val="both"/>
        <w:rPr>
          <w:rFonts w:ascii="Calibri" w:hAnsi="Calibri" w:cs="Calibri"/>
          <w:sz w:val="20"/>
          <w:szCs w:val="20"/>
        </w:rPr>
      </w:pPr>
    </w:p>
    <w:p w:rsidR="00433B5E" w:rsidRPr="00ED144B" w:rsidRDefault="00433B5E" w:rsidP="00ED144B">
      <w:pPr>
        <w:spacing w:after="0"/>
        <w:jc w:val="both"/>
        <w:rPr>
          <w:rFonts w:ascii="Calibri" w:hAnsi="Calibri" w:cs="Calibri"/>
          <w:b/>
          <w:bCs/>
          <w:sz w:val="20"/>
          <w:szCs w:val="20"/>
        </w:rPr>
      </w:pPr>
      <w:r w:rsidRPr="00ED144B">
        <w:rPr>
          <w:rFonts w:ascii="Calibri" w:hAnsi="Calibri" w:cs="Calibri"/>
          <w:b/>
          <w:bCs/>
          <w:sz w:val="20"/>
          <w:szCs w:val="20"/>
        </w:rPr>
        <w:t>TITRE 3. PLANNING DES ACTIVITES</w:t>
      </w:r>
    </w:p>
    <w:p w:rsidR="00433B5E" w:rsidRPr="00ED144B" w:rsidRDefault="00433B5E" w:rsidP="002E3A02">
      <w:pPr>
        <w:numPr>
          <w:ilvl w:val="0"/>
          <w:numId w:val="57"/>
        </w:numPr>
        <w:spacing w:after="0" w:line="240" w:lineRule="auto"/>
        <w:jc w:val="both"/>
        <w:rPr>
          <w:rFonts w:ascii="Calibri" w:hAnsi="Calibri" w:cs="Calibri"/>
          <w:sz w:val="20"/>
          <w:szCs w:val="20"/>
        </w:rPr>
      </w:pPr>
      <w:r w:rsidRPr="00ED144B">
        <w:rPr>
          <w:rFonts w:ascii="Calibri" w:hAnsi="Calibri" w:cs="Calibri"/>
          <w:sz w:val="20"/>
          <w:szCs w:val="20"/>
        </w:rPr>
        <w:t xml:space="preserve">Mettre en place des pépinières: </w:t>
      </w:r>
      <w:r w:rsidRPr="00ED144B">
        <w:rPr>
          <w:rFonts w:ascii="Calibri" w:hAnsi="Calibri" w:cs="Calibri"/>
          <w:b/>
          <w:sz w:val="20"/>
          <w:szCs w:val="20"/>
        </w:rPr>
        <w:t xml:space="preserve">juillet 2016 </w:t>
      </w:r>
      <w:r w:rsidRPr="00ED144B">
        <w:rPr>
          <w:rFonts w:ascii="Calibri" w:hAnsi="Calibri" w:cs="Calibri"/>
          <w:sz w:val="20"/>
          <w:szCs w:val="20"/>
        </w:rPr>
        <w:t xml:space="preserve">; </w:t>
      </w:r>
    </w:p>
    <w:p w:rsidR="00433B5E" w:rsidRPr="00ED144B" w:rsidRDefault="00433B5E" w:rsidP="002E3A02">
      <w:pPr>
        <w:numPr>
          <w:ilvl w:val="0"/>
          <w:numId w:val="57"/>
        </w:numPr>
        <w:spacing w:after="0" w:line="240" w:lineRule="auto"/>
        <w:jc w:val="both"/>
        <w:rPr>
          <w:rFonts w:ascii="Calibri" w:hAnsi="Calibri" w:cs="Calibri"/>
          <w:sz w:val="20"/>
          <w:szCs w:val="20"/>
        </w:rPr>
      </w:pPr>
      <w:r w:rsidRPr="00ED144B">
        <w:rPr>
          <w:rFonts w:ascii="Calibri" w:hAnsi="Calibri" w:cs="Calibri"/>
          <w:sz w:val="20"/>
          <w:szCs w:val="20"/>
        </w:rPr>
        <w:t xml:space="preserve">Produire des plantules de qualité à destination des ménages encadrés: </w:t>
      </w:r>
      <w:r w:rsidRPr="00ED144B">
        <w:rPr>
          <w:rFonts w:ascii="Calibri" w:hAnsi="Calibri" w:cs="Calibri"/>
          <w:b/>
          <w:sz w:val="20"/>
          <w:szCs w:val="20"/>
        </w:rPr>
        <w:t>juillet 2016 - octobre 2016</w:t>
      </w:r>
      <w:r w:rsidRPr="00ED144B">
        <w:rPr>
          <w:rFonts w:ascii="Calibri" w:hAnsi="Calibri" w:cs="Calibri"/>
          <w:sz w:val="20"/>
          <w:szCs w:val="20"/>
        </w:rPr>
        <w:t xml:space="preserve"> ;</w:t>
      </w:r>
    </w:p>
    <w:p w:rsidR="00433B5E" w:rsidRPr="00ED144B" w:rsidRDefault="00433B5E" w:rsidP="002E3A02">
      <w:pPr>
        <w:numPr>
          <w:ilvl w:val="0"/>
          <w:numId w:val="57"/>
        </w:numPr>
        <w:spacing w:after="0" w:line="240" w:lineRule="auto"/>
        <w:jc w:val="both"/>
        <w:rPr>
          <w:rFonts w:ascii="Calibri" w:hAnsi="Calibri" w:cs="Calibri"/>
          <w:sz w:val="20"/>
          <w:szCs w:val="20"/>
        </w:rPr>
      </w:pPr>
      <w:r w:rsidRPr="00ED144B">
        <w:rPr>
          <w:rFonts w:ascii="Calibri" w:hAnsi="Calibri" w:cs="Calibri"/>
          <w:sz w:val="20"/>
          <w:szCs w:val="20"/>
        </w:rPr>
        <w:t xml:space="preserve">Faciliter la distribution des plantules aux ménages: </w:t>
      </w:r>
      <w:r w:rsidRPr="00ED144B">
        <w:rPr>
          <w:rFonts w:ascii="Calibri" w:hAnsi="Calibri" w:cs="Calibri"/>
          <w:b/>
          <w:sz w:val="20"/>
          <w:szCs w:val="20"/>
        </w:rPr>
        <w:t>octobre 2016</w:t>
      </w:r>
      <w:r w:rsidRPr="00ED144B">
        <w:rPr>
          <w:rFonts w:ascii="Calibri" w:hAnsi="Calibri" w:cs="Calibri"/>
          <w:sz w:val="20"/>
          <w:szCs w:val="20"/>
        </w:rPr>
        <w:t>;</w:t>
      </w:r>
    </w:p>
    <w:p w:rsidR="00433B5E" w:rsidRPr="00ED144B" w:rsidRDefault="00433B5E" w:rsidP="002E3A02">
      <w:pPr>
        <w:numPr>
          <w:ilvl w:val="0"/>
          <w:numId w:val="57"/>
        </w:numPr>
        <w:spacing w:after="0" w:line="240" w:lineRule="auto"/>
        <w:jc w:val="both"/>
        <w:rPr>
          <w:rFonts w:ascii="Calibri" w:hAnsi="Calibri" w:cs="Calibri"/>
          <w:sz w:val="20"/>
          <w:szCs w:val="20"/>
        </w:rPr>
      </w:pPr>
      <w:r w:rsidRPr="00ED144B">
        <w:rPr>
          <w:rFonts w:ascii="Calibri" w:hAnsi="Calibri" w:cs="Calibri"/>
          <w:sz w:val="20"/>
          <w:szCs w:val="20"/>
        </w:rPr>
        <w:t xml:space="preserve">Suivi des ménages </w:t>
      </w:r>
      <w:r w:rsidR="00DB7C24" w:rsidRPr="000D66EF">
        <w:rPr>
          <w:rFonts w:ascii="Calibri" w:hAnsi="Calibri" w:cs="Calibri"/>
          <w:sz w:val="20"/>
          <w:szCs w:val="20"/>
        </w:rPr>
        <w:t>et</w:t>
      </w:r>
      <w:r w:rsidRPr="00ED144B">
        <w:rPr>
          <w:rFonts w:ascii="Calibri" w:hAnsi="Calibri" w:cs="Calibri"/>
          <w:sz w:val="20"/>
          <w:szCs w:val="20"/>
        </w:rPr>
        <w:t xml:space="preserve"> mise en place des boisements avec </w:t>
      </w:r>
      <w:r w:rsidR="00DB7C24" w:rsidRPr="000D66EF">
        <w:rPr>
          <w:rFonts w:ascii="Calibri" w:hAnsi="Calibri" w:cs="Calibri"/>
          <w:sz w:val="20"/>
          <w:szCs w:val="20"/>
        </w:rPr>
        <w:t>pare-feu</w:t>
      </w:r>
      <w:r w:rsidRPr="00ED144B">
        <w:rPr>
          <w:rFonts w:ascii="Calibri" w:hAnsi="Calibri" w:cs="Calibri"/>
          <w:sz w:val="20"/>
          <w:szCs w:val="20"/>
        </w:rPr>
        <w:t xml:space="preserve">: </w:t>
      </w:r>
      <w:r w:rsidRPr="00ED144B">
        <w:rPr>
          <w:rFonts w:ascii="Calibri" w:hAnsi="Calibri" w:cs="Calibri"/>
          <w:b/>
          <w:sz w:val="20"/>
          <w:szCs w:val="20"/>
        </w:rPr>
        <w:t>octobre 2016 - novembre 2016 ;</w:t>
      </w:r>
    </w:p>
    <w:p w:rsidR="00433B5E" w:rsidRPr="00ED144B" w:rsidRDefault="00433B5E" w:rsidP="002E3A02">
      <w:pPr>
        <w:numPr>
          <w:ilvl w:val="0"/>
          <w:numId w:val="57"/>
        </w:numPr>
        <w:spacing w:after="0" w:line="240" w:lineRule="auto"/>
        <w:jc w:val="both"/>
        <w:rPr>
          <w:rFonts w:ascii="Calibri" w:hAnsi="Calibri" w:cs="Calibri"/>
          <w:sz w:val="20"/>
          <w:szCs w:val="20"/>
        </w:rPr>
      </w:pPr>
      <w:r w:rsidRPr="00ED144B">
        <w:rPr>
          <w:rFonts w:ascii="Calibri" w:hAnsi="Calibri" w:cs="Calibri"/>
          <w:sz w:val="20"/>
          <w:szCs w:val="20"/>
        </w:rPr>
        <w:t xml:space="preserve">Regarnissage et entretien des plantations (et </w:t>
      </w:r>
      <w:r w:rsidR="00DB7C24" w:rsidRPr="000D66EF">
        <w:rPr>
          <w:rFonts w:ascii="Calibri" w:hAnsi="Calibri" w:cs="Calibri"/>
          <w:sz w:val="20"/>
          <w:szCs w:val="20"/>
        </w:rPr>
        <w:t>pare-feu</w:t>
      </w:r>
      <w:r w:rsidRPr="00ED144B">
        <w:rPr>
          <w:rFonts w:ascii="Calibri" w:hAnsi="Calibri" w:cs="Calibri"/>
          <w:sz w:val="20"/>
          <w:szCs w:val="20"/>
        </w:rPr>
        <w:t xml:space="preserve">), ainsi que la mise en place de </w:t>
      </w:r>
      <w:r w:rsidR="00DB7C24" w:rsidRPr="000D66EF">
        <w:rPr>
          <w:rFonts w:ascii="Calibri" w:hAnsi="Calibri" w:cs="Calibri"/>
          <w:sz w:val="20"/>
          <w:szCs w:val="20"/>
        </w:rPr>
        <w:t>pare-feu</w:t>
      </w:r>
      <w:r w:rsidRPr="00ED144B">
        <w:rPr>
          <w:rFonts w:ascii="Calibri" w:hAnsi="Calibri" w:cs="Calibri"/>
          <w:sz w:val="20"/>
          <w:szCs w:val="20"/>
        </w:rPr>
        <w:t xml:space="preserve">: </w:t>
      </w:r>
      <w:r w:rsidRPr="00ED144B">
        <w:rPr>
          <w:rFonts w:ascii="Calibri" w:hAnsi="Calibri" w:cs="Calibri"/>
          <w:b/>
          <w:sz w:val="20"/>
          <w:szCs w:val="20"/>
        </w:rPr>
        <w:t>mars 2017 - avril 2017</w:t>
      </w:r>
      <w:r w:rsidRPr="00ED144B">
        <w:rPr>
          <w:rFonts w:ascii="Calibri" w:hAnsi="Calibri" w:cs="Calibri"/>
          <w:sz w:val="20"/>
          <w:szCs w:val="20"/>
        </w:rPr>
        <w:t>;</w:t>
      </w:r>
    </w:p>
    <w:p w:rsidR="00433B5E" w:rsidRPr="00ED144B" w:rsidRDefault="00433B5E" w:rsidP="002E3A02">
      <w:pPr>
        <w:numPr>
          <w:ilvl w:val="0"/>
          <w:numId w:val="57"/>
        </w:numPr>
        <w:spacing w:after="0" w:line="240" w:lineRule="auto"/>
        <w:jc w:val="both"/>
        <w:rPr>
          <w:rFonts w:ascii="Calibri" w:hAnsi="Calibri" w:cs="Calibri"/>
          <w:sz w:val="20"/>
          <w:szCs w:val="20"/>
        </w:rPr>
      </w:pPr>
      <w:r w:rsidRPr="00ED144B">
        <w:rPr>
          <w:rFonts w:ascii="Calibri" w:hAnsi="Calibri" w:cs="Calibri"/>
          <w:sz w:val="20"/>
          <w:szCs w:val="20"/>
        </w:rPr>
        <w:t xml:space="preserve">Suivi de l’entretien et protection des plantations: </w:t>
      </w:r>
      <w:r w:rsidRPr="00ED144B">
        <w:rPr>
          <w:rFonts w:ascii="Calibri" w:hAnsi="Calibri" w:cs="Calibri"/>
          <w:b/>
          <w:sz w:val="20"/>
          <w:szCs w:val="20"/>
        </w:rPr>
        <w:t>mai 2017 - avril 2018</w:t>
      </w:r>
      <w:r w:rsidRPr="00ED144B">
        <w:rPr>
          <w:rFonts w:ascii="Calibri" w:hAnsi="Calibri" w:cs="Calibri"/>
          <w:sz w:val="20"/>
          <w:szCs w:val="20"/>
        </w:rPr>
        <w:t>;</w:t>
      </w:r>
    </w:p>
    <w:p w:rsidR="00433B5E" w:rsidRPr="00ED144B" w:rsidRDefault="00433B5E" w:rsidP="00ED144B">
      <w:pPr>
        <w:pStyle w:val="ListParagraph"/>
        <w:spacing w:line="259" w:lineRule="auto"/>
        <w:jc w:val="both"/>
        <w:rPr>
          <w:rFonts w:cs="Calibri"/>
          <w:sz w:val="20"/>
          <w:szCs w:val="20"/>
        </w:rPr>
      </w:pPr>
    </w:p>
    <w:p w:rsidR="00433B5E" w:rsidRPr="00ED144B" w:rsidRDefault="00433B5E" w:rsidP="00ED144B">
      <w:pPr>
        <w:spacing w:after="0"/>
        <w:jc w:val="both"/>
        <w:rPr>
          <w:rFonts w:ascii="Calibri" w:hAnsi="Calibri" w:cs="Calibri"/>
          <w:b/>
          <w:bCs/>
          <w:sz w:val="20"/>
          <w:szCs w:val="20"/>
        </w:rPr>
      </w:pPr>
      <w:r w:rsidRPr="00ED144B">
        <w:rPr>
          <w:rFonts w:ascii="Calibri" w:hAnsi="Calibri" w:cs="Calibri"/>
          <w:b/>
          <w:bCs/>
          <w:sz w:val="20"/>
          <w:szCs w:val="20"/>
        </w:rPr>
        <w:t xml:space="preserve">Article 4: </w:t>
      </w:r>
    </w:p>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Le présent Contrat peut être amendé sur consentement mutuel des deux parties contractantes. Les modifications apportées au texte original feront l’objet d’un avenant.</w:t>
      </w:r>
    </w:p>
    <w:p w:rsidR="000D66EF" w:rsidRDefault="000D66EF" w:rsidP="00ED144B">
      <w:pPr>
        <w:spacing w:after="0"/>
        <w:jc w:val="both"/>
        <w:rPr>
          <w:rFonts w:ascii="Calibri" w:hAnsi="Calibri" w:cs="Calibri"/>
          <w:b/>
          <w:sz w:val="20"/>
          <w:szCs w:val="20"/>
        </w:rPr>
      </w:pPr>
    </w:p>
    <w:p w:rsidR="00433B5E" w:rsidRPr="00ED144B" w:rsidRDefault="00433B5E" w:rsidP="00ED144B">
      <w:pPr>
        <w:spacing w:after="0"/>
        <w:jc w:val="both"/>
        <w:rPr>
          <w:rFonts w:ascii="Calibri" w:hAnsi="Calibri" w:cs="Calibri"/>
          <w:b/>
          <w:sz w:val="20"/>
          <w:szCs w:val="20"/>
        </w:rPr>
      </w:pPr>
      <w:r w:rsidRPr="00ED144B">
        <w:rPr>
          <w:rFonts w:ascii="Calibri" w:hAnsi="Calibri" w:cs="Calibri"/>
          <w:b/>
          <w:sz w:val="20"/>
          <w:szCs w:val="20"/>
        </w:rPr>
        <w:t>Article 5 :</w:t>
      </w:r>
    </w:p>
    <w:p w:rsidR="00433B5E" w:rsidRPr="00ED144B" w:rsidRDefault="00433B5E" w:rsidP="00ED144B">
      <w:pPr>
        <w:spacing w:after="0"/>
        <w:jc w:val="both"/>
        <w:rPr>
          <w:rFonts w:ascii="Calibri" w:hAnsi="Calibri" w:cs="Calibri"/>
          <w:sz w:val="20"/>
          <w:szCs w:val="20"/>
          <w:lang w:val="fr-CD"/>
        </w:rPr>
      </w:pPr>
      <w:r w:rsidRPr="00ED144B">
        <w:rPr>
          <w:rFonts w:ascii="Calibri" w:hAnsi="Calibri" w:cs="Calibri"/>
          <w:sz w:val="20"/>
          <w:szCs w:val="20"/>
          <w:lang w:val="fr-CD"/>
        </w:rPr>
        <w:t>L’accord sera appliqué conformément aux lois en vigueur en RDC. Tout litige qui n’aura pas été réglé à l’amiable sera soumis aux cours et tribunaux compétents.</w:t>
      </w:r>
    </w:p>
    <w:p w:rsidR="00433B5E" w:rsidRPr="00ED144B" w:rsidRDefault="00433B5E" w:rsidP="00ED144B">
      <w:pPr>
        <w:spacing w:after="0"/>
        <w:jc w:val="both"/>
        <w:rPr>
          <w:rFonts w:ascii="Calibri" w:hAnsi="Calibri" w:cs="Calibri"/>
          <w:sz w:val="20"/>
          <w:szCs w:val="20"/>
          <w:lang w:val="fr-CD"/>
        </w:rPr>
      </w:pPr>
    </w:p>
    <w:p w:rsidR="00433B5E" w:rsidRPr="00ED144B" w:rsidRDefault="00433B5E" w:rsidP="00ED144B">
      <w:pPr>
        <w:spacing w:after="0"/>
        <w:jc w:val="both"/>
        <w:rPr>
          <w:rFonts w:ascii="Calibri" w:hAnsi="Calibri" w:cs="Calibri"/>
          <w:b/>
          <w:sz w:val="20"/>
          <w:szCs w:val="20"/>
        </w:rPr>
      </w:pPr>
      <w:r w:rsidRPr="00ED144B">
        <w:rPr>
          <w:rFonts w:ascii="Calibri" w:hAnsi="Calibri" w:cs="Calibri"/>
          <w:b/>
          <w:sz w:val="20"/>
          <w:szCs w:val="20"/>
        </w:rPr>
        <w:t>Titre 4 : MOYENS FINANCIERS</w:t>
      </w:r>
    </w:p>
    <w:p w:rsidR="00433B5E" w:rsidRPr="00ED144B" w:rsidRDefault="00433B5E" w:rsidP="00ED144B">
      <w:pPr>
        <w:pStyle w:val="BodyText"/>
        <w:spacing w:before="40" w:line="288" w:lineRule="auto"/>
        <w:ind w:left="792"/>
        <w:jc w:val="both"/>
        <w:rPr>
          <w:rFonts w:ascii="Calibri" w:hAnsi="Calibri" w:cs="Calibri"/>
          <w:sz w:val="20"/>
          <w:szCs w:val="20"/>
          <w:lang w:val="fr-FR"/>
        </w:rPr>
      </w:pPr>
    </w:p>
    <w:p w:rsidR="00433B5E" w:rsidRPr="00ED144B" w:rsidRDefault="00433B5E" w:rsidP="00ED144B">
      <w:pPr>
        <w:spacing w:after="0"/>
        <w:jc w:val="both"/>
        <w:rPr>
          <w:rFonts w:ascii="Calibri" w:hAnsi="Calibri" w:cs="Calibri"/>
          <w:b/>
          <w:sz w:val="20"/>
          <w:szCs w:val="20"/>
          <w:lang w:val="fr-BE"/>
        </w:rPr>
      </w:pPr>
      <w:r w:rsidRPr="00ED144B">
        <w:rPr>
          <w:rFonts w:ascii="Calibri" w:hAnsi="Calibri" w:cs="Calibri"/>
          <w:b/>
          <w:sz w:val="20"/>
          <w:szCs w:val="20"/>
          <w:lang w:val="fr-BE"/>
        </w:rPr>
        <w:t>Article 6 :</w:t>
      </w:r>
    </w:p>
    <w:p w:rsidR="00433B5E" w:rsidRPr="00ED144B" w:rsidRDefault="00433B5E">
      <w:pPr>
        <w:pStyle w:val="TableContents"/>
        <w:rPr>
          <w:rFonts w:ascii="Calibri" w:hAnsi="Calibri" w:cs="Calibri"/>
          <w:sz w:val="20"/>
          <w:szCs w:val="20"/>
          <w:lang w:val="fr-FR"/>
        </w:rPr>
      </w:pPr>
      <w:r w:rsidRPr="00ED144B">
        <w:rPr>
          <w:rFonts w:ascii="Calibri" w:hAnsi="Calibri" w:cs="Calibri"/>
          <w:sz w:val="20"/>
          <w:szCs w:val="20"/>
          <w:lang w:val="fr-BE"/>
        </w:rPr>
        <w:t xml:space="preserve">Pour l’accomplissement des tâches pour la production de plantules qui vous sont assignées dans le cadre de cet Accord, le projet s’engage </w:t>
      </w:r>
      <w:r w:rsidRPr="00ED144B">
        <w:rPr>
          <w:rFonts w:ascii="Calibri" w:hAnsi="Calibri" w:cs="Calibri"/>
          <w:sz w:val="20"/>
          <w:szCs w:val="20"/>
          <w:lang w:val="fr-FR"/>
        </w:rPr>
        <w:t xml:space="preserve">à remettre la somme </w:t>
      </w:r>
      <w:r w:rsidRPr="00ED144B">
        <w:rPr>
          <w:rFonts w:ascii="Calibri" w:hAnsi="Calibri" w:cs="Calibri"/>
          <w:sz w:val="20"/>
          <w:szCs w:val="20"/>
          <w:lang w:val="fr-BE"/>
        </w:rPr>
        <w:t xml:space="preserve">de </w:t>
      </w:r>
      <w:r w:rsidRPr="00ED144B">
        <w:rPr>
          <w:rFonts w:ascii="Calibri" w:hAnsi="Calibri" w:cs="Calibri"/>
          <w:sz w:val="20"/>
          <w:szCs w:val="20"/>
          <w:lang w:val="fr-FR"/>
        </w:rPr>
        <w:t xml:space="preserve">0,1 USD (Un centime de Dollars Américaines) par plantule </w:t>
      </w:r>
      <w:r w:rsidRPr="00ED144B">
        <w:rPr>
          <w:rFonts w:ascii="Calibri" w:hAnsi="Calibri" w:cs="Calibri"/>
          <w:sz w:val="20"/>
          <w:szCs w:val="20"/>
          <w:lang w:val="fr-FR"/>
        </w:rPr>
        <w:lastRenderedPageBreak/>
        <w:t>au CLD</w:t>
      </w:r>
      <w:r w:rsidRPr="00ED144B">
        <w:rPr>
          <w:rFonts w:ascii="Calibri" w:hAnsi="Calibri" w:cs="Calibri"/>
          <w:sz w:val="20"/>
          <w:szCs w:val="20"/>
          <w:lang w:val="fr-BE"/>
        </w:rPr>
        <w:t xml:space="preserve">. </w:t>
      </w:r>
      <w:r w:rsidRPr="00ED144B">
        <w:rPr>
          <w:rFonts w:ascii="Calibri" w:hAnsi="Calibri" w:cs="Calibri"/>
          <w:sz w:val="20"/>
          <w:szCs w:val="20"/>
          <w:lang w:val="fr-FR"/>
        </w:rPr>
        <w:t xml:space="preserve">Ces plantules feront l’objet d’une sélection par l’agroforestier de territoire (WWF) suivant la fiche de suivi de pépinière en annexe 2 et le nombre consigné dans un PV d’achat suivant le modèle en annexe 1. Le PIF s’engage à remettre au CLD la somme de </w:t>
      </w:r>
      <w:r w:rsidR="00DB7C24" w:rsidRPr="00ED144B">
        <w:rPr>
          <w:rFonts w:ascii="Calibri" w:hAnsi="Calibri" w:cs="Calibri"/>
          <w:sz w:val="20"/>
          <w:szCs w:val="20"/>
          <w:lang w:val="fr-FR"/>
        </w:rPr>
        <w:t>XXX</w:t>
      </w:r>
      <w:r w:rsidRPr="00ED144B">
        <w:rPr>
          <w:rFonts w:ascii="Calibri" w:hAnsi="Calibri" w:cs="Calibri"/>
          <w:sz w:val="20"/>
          <w:szCs w:val="20"/>
          <w:lang w:val="fr-FR"/>
        </w:rPr>
        <w:t xml:space="preserve"> USD (</w:t>
      </w:r>
      <w:r w:rsidR="00DB7C24" w:rsidRPr="00ED144B">
        <w:rPr>
          <w:rFonts w:ascii="Calibri" w:hAnsi="Calibri" w:cs="Calibri"/>
          <w:sz w:val="20"/>
          <w:szCs w:val="20"/>
          <w:lang w:val="fr-FR"/>
        </w:rPr>
        <w:t>XXX Dollars Américain</w:t>
      </w:r>
      <w:r w:rsidRPr="00ED144B">
        <w:rPr>
          <w:rFonts w:ascii="Calibri" w:hAnsi="Calibri" w:cs="Calibri"/>
          <w:sz w:val="20"/>
          <w:szCs w:val="20"/>
          <w:lang w:val="fr-FR"/>
        </w:rPr>
        <w:t xml:space="preserve">s), selon les modalités ci-dessous pour la production des plants de bonne qualité: </w:t>
      </w:r>
    </w:p>
    <w:p w:rsidR="00433B5E" w:rsidRPr="00ED144B" w:rsidRDefault="00433B5E">
      <w:pPr>
        <w:pStyle w:val="TableContents"/>
        <w:rPr>
          <w:rFonts w:ascii="Calibri" w:hAnsi="Calibri" w:cs="Calibri"/>
          <w:sz w:val="20"/>
          <w:szCs w:val="20"/>
          <w:lang w:val="fr-FR"/>
        </w:rPr>
      </w:pPr>
    </w:p>
    <w:p w:rsidR="00433B5E" w:rsidRPr="00ED144B" w:rsidRDefault="00433B5E">
      <w:pPr>
        <w:pStyle w:val="TableContents"/>
        <w:rPr>
          <w:rFonts w:ascii="Calibri" w:hAnsi="Calibri" w:cs="Calibri"/>
          <w:sz w:val="20"/>
          <w:szCs w:val="20"/>
          <w:lang w:val="fr-FR"/>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1710"/>
        <w:gridCol w:w="1710"/>
        <w:gridCol w:w="1621"/>
      </w:tblGrid>
      <w:tr w:rsidR="00433B5E" w:rsidRPr="000D66EF" w:rsidTr="0009077D">
        <w:tc>
          <w:tcPr>
            <w:tcW w:w="3070" w:type="dxa"/>
            <w:shd w:val="clear" w:color="auto" w:fill="auto"/>
            <w:vAlign w:val="center"/>
          </w:tcPr>
          <w:p w:rsidR="00433B5E" w:rsidRPr="00ED144B" w:rsidRDefault="00433B5E">
            <w:pPr>
              <w:pStyle w:val="ListParagraph"/>
              <w:ind w:left="0"/>
              <w:jc w:val="center"/>
              <w:rPr>
                <w:rFonts w:cs="Calibri"/>
                <w:b/>
                <w:sz w:val="20"/>
                <w:szCs w:val="20"/>
                <w:lang w:eastAsia="en-US"/>
              </w:rPr>
            </w:pPr>
            <w:r w:rsidRPr="00ED144B">
              <w:rPr>
                <w:rFonts w:cs="Calibri"/>
                <w:b/>
                <w:sz w:val="20"/>
                <w:szCs w:val="20"/>
                <w:lang w:eastAsia="en-US"/>
              </w:rPr>
              <w:t>Essences</w:t>
            </w:r>
          </w:p>
        </w:tc>
        <w:tc>
          <w:tcPr>
            <w:tcW w:w="1710" w:type="dxa"/>
            <w:shd w:val="clear" w:color="auto" w:fill="auto"/>
            <w:vAlign w:val="center"/>
          </w:tcPr>
          <w:p w:rsidR="00433B5E" w:rsidRPr="00ED144B" w:rsidRDefault="00433B5E">
            <w:pPr>
              <w:pStyle w:val="ListParagraph"/>
              <w:ind w:left="0"/>
              <w:jc w:val="center"/>
              <w:rPr>
                <w:rFonts w:cs="Calibri"/>
                <w:b/>
                <w:sz w:val="20"/>
                <w:szCs w:val="20"/>
                <w:lang w:eastAsia="en-US"/>
              </w:rPr>
            </w:pPr>
            <w:r w:rsidRPr="00ED144B">
              <w:rPr>
                <w:rFonts w:cs="Calibri"/>
                <w:b/>
                <w:sz w:val="20"/>
                <w:szCs w:val="20"/>
                <w:lang w:eastAsia="en-US"/>
              </w:rPr>
              <w:t>Nombre de plantules à produire</w:t>
            </w:r>
          </w:p>
        </w:tc>
        <w:tc>
          <w:tcPr>
            <w:tcW w:w="1710" w:type="dxa"/>
            <w:shd w:val="clear" w:color="auto" w:fill="auto"/>
            <w:vAlign w:val="center"/>
          </w:tcPr>
          <w:p w:rsidR="00433B5E" w:rsidRPr="00ED144B" w:rsidRDefault="00433B5E">
            <w:pPr>
              <w:pStyle w:val="ListParagraph"/>
              <w:ind w:left="0"/>
              <w:jc w:val="center"/>
              <w:rPr>
                <w:rFonts w:cs="Calibri"/>
                <w:b/>
                <w:sz w:val="20"/>
                <w:szCs w:val="20"/>
                <w:lang w:eastAsia="en-US"/>
              </w:rPr>
            </w:pPr>
            <w:r w:rsidRPr="00ED144B">
              <w:rPr>
                <w:rFonts w:cs="Calibri"/>
                <w:b/>
                <w:sz w:val="20"/>
                <w:szCs w:val="20"/>
                <w:lang w:eastAsia="en-US"/>
              </w:rPr>
              <w:t>Prix unitaire (USD)</w:t>
            </w:r>
          </w:p>
        </w:tc>
        <w:tc>
          <w:tcPr>
            <w:tcW w:w="1621" w:type="dxa"/>
            <w:shd w:val="clear" w:color="auto" w:fill="auto"/>
            <w:vAlign w:val="center"/>
          </w:tcPr>
          <w:p w:rsidR="00433B5E" w:rsidRPr="00ED144B" w:rsidRDefault="00433B5E">
            <w:pPr>
              <w:pStyle w:val="ListParagraph"/>
              <w:ind w:left="0"/>
              <w:jc w:val="center"/>
              <w:rPr>
                <w:rFonts w:cs="Calibri"/>
                <w:b/>
                <w:sz w:val="20"/>
                <w:szCs w:val="20"/>
                <w:lang w:eastAsia="en-US"/>
              </w:rPr>
            </w:pPr>
            <w:r w:rsidRPr="00ED144B">
              <w:rPr>
                <w:rFonts w:cs="Calibri"/>
                <w:b/>
                <w:sz w:val="20"/>
                <w:szCs w:val="20"/>
                <w:lang w:eastAsia="en-US"/>
              </w:rPr>
              <w:t>Prix total (USD)</w:t>
            </w:r>
          </w:p>
        </w:tc>
      </w:tr>
      <w:tr w:rsidR="00433B5E" w:rsidRPr="000D66EF" w:rsidTr="0009077D">
        <w:tc>
          <w:tcPr>
            <w:tcW w:w="3070" w:type="dxa"/>
            <w:shd w:val="clear" w:color="auto" w:fill="auto"/>
            <w:vAlign w:val="center"/>
          </w:tcPr>
          <w:p w:rsidR="00433B5E" w:rsidRPr="00ED144B" w:rsidRDefault="00433B5E" w:rsidP="00ED144B">
            <w:pPr>
              <w:pStyle w:val="ListParagraph"/>
              <w:ind w:left="0"/>
              <w:jc w:val="both"/>
              <w:rPr>
                <w:rFonts w:cs="Calibri"/>
                <w:sz w:val="20"/>
                <w:szCs w:val="20"/>
                <w:lang w:eastAsia="en-US"/>
              </w:rPr>
            </w:pPr>
            <w:r w:rsidRPr="00ED144B">
              <w:rPr>
                <w:rFonts w:cs="Calibri"/>
                <w:sz w:val="20"/>
                <w:szCs w:val="20"/>
                <w:lang w:val="en-US" w:eastAsia="en-US"/>
              </w:rPr>
              <w:t>…</w:t>
            </w:r>
            <w:r w:rsidRPr="00ED144B">
              <w:rPr>
                <w:rFonts w:cs="Calibri"/>
                <w:sz w:val="20"/>
                <w:szCs w:val="20"/>
                <w:lang w:eastAsia="en-US"/>
              </w:rPr>
              <w:t>….</w:t>
            </w:r>
          </w:p>
        </w:tc>
        <w:tc>
          <w:tcPr>
            <w:tcW w:w="1710" w:type="dxa"/>
            <w:shd w:val="clear" w:color="auto" w:fill="auto"/>
            <w:vAlign w:val="center"/>
          </w:tcPr>
          <w:p w:rsidR="00433B5E" w:rsidRPr="00ED144B" w:rsidRDefault="00433B5E" w:rsidP="00ED144B">
            <w:pPr>
              <w:pStyle w:val="ListParagraph"/>
              <w:ind w:left="0"/>
              <w:jc w:val="both"/>
              <w:rPr>
                <w:rFonts w:cs="Calibri"/>
                <w:sz w:val="20"/>
                <w:szCs w:val="20"/>
                <w:lang w:eastAsia="en-US"/>
              </w:rPr>
            </w:pPr>
            <w:r w:rsidRPr="00ED144B">
              <w:rPr>
                <w:rFonts w:cs="Calibri"/>
                <w:sz w:val="20"/>
                <w:szCs w:val="20"/>
                <w:lang w:val="en-US" w:eastAsia="en-US"/>
              </w:rPr>
              <w:t>…</w:t>
            </w:r>
            <w:r w:rsidRPr="00ED144B">
              <w:rPr>
                <w:rFonts w:cs="Calibri"/>
                <w:sz w:val="20"/>
                <w:szCs w:val="20"/>
                <w:lang w:eastAsia="en-US"/>
              </w:rPr>
              <w:t>….</w:t>
            </w:r>
          </w:p>
        </w:tc>
        <w:tc>
          <w:tcPr>
            <w:tcW w:w="171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0,1</w:t>
            </w:r>
          </w:p>
        </w:tc>
        <w:tc>
          <w:tcPr>
            <w:tcW w:w="1621" w:type="dxa"/>
            <w:shd w:val="clear" w:color="auto" w:fill="auto"/>
            <w:vAlign w:val="center"/>
          </w:tcPr>
          <w:p w:rsidR="00433B5E" w:rsidRPr="00ED144B" w:rsidRDefault="00433B5E" w:rsidP="00ED144B">
            <w:pPr>
              <w:pStyle w:val="ListParagraph"/>
              <w:ind w:left="0"/>
              <w:jc w:val="both"/>
              <w:rPr>
                <w:rFonts w:cs="Calibri"/>
                <w:sz w:val="20"/>
                <w:szCs w:val="20"/>
                <w:lang w:eastAsia="en-US"/>
              </w:rPr>
            </w:pPr>
            <w:r w:rsidRPr="00ED144B">
              <w:rPr>
                <w:rFonts w:cs="Calibri"/>
                <w:sz w:val="20"/>
                <w:szCs w:val="20"/>
                <w:lang w:val="en-US" w:eastAsia="en-US"/>
              </w:rPr>
              <w:t>…</w:t>
            </w:r>
            <w:r w:rsidRPr="00ED144B">
              <w:rPr>
                <w:rFonts w:cs="Calibri"/>
                <w:sz w:val="20"/>
                <w:szCs w:val="20"/>
                <w:lang w:eastAsia="en-US"/>
              </w:rPr>
              <w:t>….</w:t>
            </w:r>
          </w:p>
        </w:tc>
      </w:tr>
      <w:tr w:rsidR="00433B5E" w:rsidRPr="000D66EF" w:rsidTr="0009077D">
        <w:tc>
          <w:tcPr>
            <w:tcW w:w="307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171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c>
          <w:tcPr>
            <w:tcW w:w="171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0,1</w:t>
            </w:r>
          </w:p>
        </w:tc>
        <w:tc>
          <w:tcPr>
            <w:tcW w:w="1621"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w:t>
            </w:r>
            <w:r w:rsidRPr="00ED144B">
              <w:rPr>
                <w:rFonts w:cs="Calibri"/>
                <w:sz w:val="20"/>
                <w:szCs w:val="20"/>
                <w:lang w:eastAsia="en-US"/>
              </w:rPr>
              <w:t>….</w:t>
            </w:r>
          </w:p>
        </w:tc>
      </w:tr>
      <w:tr w:rsidR="00433B5E" w:rsidRPr="000D66EF" w:rsidTr="0009077D">
        <w:tc>
          <w:tcPr>
            <w:tcW w:w="307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Sous-total</w:t>
            </w:r>
          </w:p>
        </w:tc>
        <w:tc>
          <w:tcPr>
            <w:tcW w:w="1710" w:type="dxa"/>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ascii="Calibri" w:hAnsi="Calibri" w:cs="Calibri"/>
                <w:sz w:val="20"/>
                <w:szCs w:val="20"/>
                <w:lang w:val="en-US"/>
              </w:rPr>
              <w:t>…</w:t>
            </w:r>
            <w:r w:rsidRPr="00ED144B">
              <w:rPr>
                <w:rFonts w:ascii="Calibri" w:hAnsi="Calibri" w:cs="Calibri"/>
                <w:sz w:val="20"/>
                <w:szCs w:val="20"/>
              </w:rPr>
              <w:t>….</w:t>
            </w:r>
          </w:p>
        </w:tc>
        <w:tc>
          <w:tcPr>
            <w:tcW w:w="171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0,1</w:t>
            </w:r>
          </w:p>
        </w:tc>
        <w:tc>
          <w:tcPr>
            <w:tcW w:w="1621" w:type="dxa"/>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ascii="Calibri" w:hAnsi="Calibri" w:cs="Calibri"/>
                <w:sz w:val="20"/>
                <w:szCs w:val="20"/>
                <w:lang w:val="en-US"/>
              </w:rPr>
              <w:t>…</w:t>
            </w:r>
            <w:r w:rsidRPr="00ED144B">
              <w:rPr>
                <w:rFonts w:ascii="Calibri" w:hAnsi="Calibri" w:cs="Calibri"/>
                <w:sz w:val="20"/>
                <w:szCs w:val="20"/>
              </w:rPr>
              <w:t>….</w:t>
            </w:r>
          </w:p>
        </w:tc>
      </w:tr>
      <w:tr w:rsidR="00433B5E" w:rsidRPr="000D66EF" w:rsidTr="0009077D">
        <w:tc>
          <w:tcPr>
            <w:tcW w:w="307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 xml:space="preserve">Acacia </w:t>
            </w:r>
          </w:p>
        </w:tc>
        <w:tc>
          <w:tcPr>
            <w:tcW w:w="1710" w:type="dxa"/>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ascii="Calibri" w:hAnsi="Calibri" w:cs="Calibri"/>
                <w:sz w:val="20"/>
                <w:szCs w:val="20"/>
                <w:lang w:val="en-US"/>
              </w:rPr>
              <w:t>…</w:t>
            </w:r>
            <w:r w:rsidRPr="00ED144B">
              <w:rPr>
                <w:rFonts w:ascii="Calibri" w:hAnsi="Calibri" w:cs="Calibri"/>
                <w:sz w:val="20"/>
                <w:szCs w:val="20"/>
              </w:rPr>
              <w:t>….</w:t>
            </w:r>
          </w:p>
        </w:tc>
        <w:tc>
          <w:tcPr>
            <w:tcW w:w="171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0,1</w:t>
            </w:r>
          </w:p>
        </w:tc>
        <w:tc>
          <w:tcPr>
            <w:tcW w:w="1621" w:type="dxa"/>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ascii="Calibri" w:hAnsi="Calibri" w:cs="Calibri"/>
                <w:sz w:val="20"/>
                <w:szCs w:val="20"/>
                <w:lang w:val="en-US"/>
              </w:rPr>
              <w:t>…</w:t>
            </w:r>
            <w:r w:rsidRPr="00ED144B">
              <w:rPr>
                <w:rFonts w:ascii="Calibri" w:hAnsi="Calibri" w:cs="Calibri"/>
                <w:sz w:val="20"/>
                <w:szCs w:val="20"/>
              </w:rPr>
              <w:t>….</w:t>
            </w:r>
          </w:p>
        </w:tc>
      </w:tr>
      <w:tr w:rsidR="00433B5E" w:rsidRPr="000D66EF" w:rsidTr="0009077D">
        <w:tc>
          <w:tcPr>
            <w:tcW w:w="307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Total</w:t>
            </w:r>
          </w:p>
        </w:tc>
        <w:tc>
          <w:tcPr>
            <w:tcW w:w="1710" w:type="dxa"/>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ascii="Calibri" w:hAnsi="Calibri" w:cs="Calibri"/>
                <w:sz w:val="20"/>
                <w:szCs w:val="20"/>
                <w:lang w:val="en-US"/>
              </w:rPr>
              <w:t>…</w:t>
            </w:r>
            <w:r w:rsidRPr="00ED144B">
              <w:rPr>
                <w:rFonts w:ascii="Calibri" w:hAnsi="Calibri" w:cs="Calibri"/>
                <w:sz w:val="20"/>
                <w:szCs w:val="20"/>
              </w:rPr>
              <w:t>….</w:t>
            </w:r>
          </w:p>
        </w:tc>
        <w:tc>
          <w:tcPr>
            <w:tcW w:w="1710" w:type="dxa"/>
            <w:shd w:val="clear" w:color="auto" w:fill="auto"/>
            <w:vAlign w:val="center"/>
          </w:tcPr>
          <w:p w:rsidR="00433B5E" w:rsidRPr="00ED144B" w:rsidRDefault="00433B5E" w:rsidP="00ED144B">
            <w:pPr>
              <w:pStyle w:val="ListParagraph"/>
              <w:ind w:left="0"/>
              <w:jc w:val="both"/>
              <w:rPr>
                <w:rFonts w:cs="Calibri"/>
                <w:sz w:val="20"/>
                <w:szCs w:val="20"/>
                <w:lang w:val="en-US" w:eastAsia="en-US"/>
              </w:rPr>
            </w:pPr>
            <w:r w:rsidRPr="00ED144B">
              <w:rPr>
                <w:rFonts w:cs="Calibri"/>
                <w:sz w:val="20"/>
                <w:szCs w:val="20"/>
                <w:lang w:val="en-US" w:eastAsia="en-US"/>
              </w:rPr>
              <w:t>0,1</w:t>
            </w:r>
          </w:p>
        </w:tc>
        <w:tc>
          <w:tcPr>
            <w:tcW w:w="1621" w:type="dxa"/>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ascii="Calibri" w:hAnsi="Calibri" w:cs="Calibri"/>
                <w:sz w:val="20"/>
                <w:szCs w:val="20"/>
                <w:lang w:val="en-US"/>
              </w:rPr>
              <w:t>…</w:t>
            </w:r>
            <w:r w:rsidRPr="00ED144B">
              <w:rPr>
                <w:rFonts w:ascii="Calibri" w:hAnsi="Calibri" w:cs="Calibri"/>
                <w:sz w:val="20"/>
                <w:szCs w:val="20"/>
              </w:rPr>
              <w:t>….</w:t>
            </w:r>
          </w:p>
        </w:tc>
      </w:tr>
      <w:tr w:rsidR="00433B5E" w:rsidRPr="000D66EF" w:rsidTr="0009077D">
        <w:tc>
          <w:tcPr>
            <w:tcW w:w="3070" w:type="dxa"/>
            <w:shd w:val="clear" w:color="auto" w:fill="auto"/>
            <w:vAlign w:val="center"/>
          </w:tcPr>
          <w:p w:rsidR="00433B5E" w:rsidRPr="00ED144B" w:rsidRDefault="00433B5E" w:rsidP="00ED144B">
            <w:pPr>
              <w:spacing w:after="0"/>
              <w:jc w:val="both"/>
              <w:rPr>
                <w:rFonts w:ascii="Calibri" w:hAnsi="Calibri" w:cs="Calibri"/>
                <w:sz w:val="20"/>
                <w:szCs w:val="20"/>
                <w:lang w:val="fr-BE"/>
              </w:rPr>
            </w:pPr>
            <w:r w:rsidRPr="00ED144B">
              <w:rPr>
                <w:rFonts w:ascii="Calibri" w:hAnsi="Calibri" w:cs="Calibri"/>
                <w:sz w:val="20"/>
                <w:szCs w:val="20"/>
                <w:lang w:val="fr-BE"/>
              </w:rPr>
              <w:t>Montant total (USD)</w:t>
            </w:r>
          </w:p>
        </w:tc>
        <w:tc>
          <w:tcPr>
            <w:tcW w:w="5041" w:type="dxa"/>
            <w:gridSpan w:val="3"/>
            <w:shd w:val="clear" w:color="auto" w:fill="auto"/>
            <w:vAlign w:val="center"/>
          </w:tcPr>
          <w:p w:rsidR="00433B5E" w:rsidRPr="00ED144B" w:rsidRDefault="00433B5E" w:rsidP="00ED144B">
            <w:pPr>
              <w:spacing w:after="0"/>
              <w:jc w:val="both"/>
              <w:rPr>
                <w:rFonts w:ascii="Calibri" w:hAnsi="Calibri" w:cs="Calibri"/>
                <w:color w:val="000000"/>
                <w:sz w:val="20"/>
                <w:szCs w:val="20"/>
              </w:rPr>
            </w:pPr>
            <w:r w:rsidRPr="00ED144B">
              <w:rPr>
                <w:rFonts w:ascii="Calibri" w:hAnsi="Calibri" w:cs="Calibri"/>
                <w:sz w:val="20"/>
                <w:szCs w:val="20"/>
                <w:lang w:val="en-US"/>
              </w:rPr>
              <w:t>…</w:t>
            </w:r>
            <w:r w:rsidRPr="00ED144B">
              <w:rPr>
                <w:rFonts w:ascii="Calibri" w:hAnsi="Calibri" w:cs="Calibri"/>
                <w:sz w:val="20"/>
                <w:szCs w:val="20"/>
              </w:rPr>
              <w:t>….</w:t>
            </w:r>
          </w:p>
        </w:tc>
      </w:tr>
    </w:tbl>
    <w:p w:rsidR="00433B5E" w:rsidRPr="00ED144B" w:rsidRDefault="00433B5E" w:rsidP="00ED144B">
      <w:pPr>
        <w:pStyle w:val="BodyText"/>
        <w:spacing w:before="40" w:line="288" w:lineRule="auto"/>
        <w:jc w:val="both"/>
        <w:rPr>
          <w:rFonts w:ascii="Calibri" w:hAnsi="Calibri" w:cs="Calibri"/>
          <w:b w:val="0"/>
          <w:sz w:val="20"/>
          <w:szCs w:val="20"/>
        </w:rPr>
      </w:pPr>
    </w:p>
    <w:p w:rsidR="00433B5E" w:rsidRPr="00ED144B" w:rsidRDefault="00433B5E" w:rsidP="00ED144B">
      <w:pPr>
        <w:pStyle w:val="BodyText"/>
        <w:spacing w:before="40" w:line="288" w:lineRule="auto"/>
        <w:jc w:val="both"/>
        <w:rPr>
          <w:rFonts w:ascii="Calibri" w:hAnsi="Calibri" w:cs="Calibri"/>
          <w:b w:val="0"/>
          <w:sz w:val="20"/>
          <w:szCs w:val="20"/>
          <w:lang w:val="fr-FR"/>
        </w:rPr>
      </w:pPr>
      <w:r w:rsidRPr="00ED144B">
        <w:rPr>
          <w:rFonts w:ascii="Calibri" w:hAnsi="Calibri" w:cs="Calibri"/>
          <w:b w:val="0"/>
          <w:sz w:val="20"/>
          <w:szCs w:val="20"/>
          <w:lang w:val="fr-FR"/>
        </w:rPr>
        <w:t>Le projet PIREDD se chargera du paiement en espèces au CLD. Le paiement sera effectué après la vérification des nombre des plantules produites par le pépiniériste :</w:t>
      </w:r>
    </w:p>
    <w:p w:rsidR="00433B5E" w:rsidRPr="00ED144B" w:rsidRDefault="00433B5E" w:rsidP="002E3A02">
      <w:pPr>
        <w:numPr>
          <w:ilvl w:val="0"/>
          <w:numId w:val="61"/>
        </w:numPr>
        <w:spacing w:after="0"/>
        <w:jc w:val="both"/>
        <w:rPr>
          <w:rFonts w:ascii="Calibri" w:hAnsi="Calibri" w:cs="Calibri"/>
          <w:sz w:val="20"/>
          <w:szCs w:val="20"/>
        </w:rPr>
      </w:pPr>
      <w:r w:rsidRPr="00ED144B">
        <w:rPr>
          <w:rFonts w:ascii="Calibri" w:hAnsi="Calibri" w:cs="Calibri"/>
          <w:sz w:val="20"/>
          <w:szCs w:val="20"/>
        </w:rPr>
        <w:t>Sur présentation d'une fiche de livraison présentée par le CLD ;</w:t>
      </w:r>
    </w:p>
    <w:p w:rsidR="00433B5E" w:rsidRPr="00ED144B" w:rsidRDefault="00433B5E" w:rsidP="002E3A02">
      <w:pPr>
        <w:numPr>
          <w:ilvl w:val="0"/>
          <w:numId w:val="61"/>
        </w:numPr>
        <w:spacing w:after="0"/>
        <w:jc w:val="both"/>
        <w:rPr>
          <w:rFonts w:ascii="Calibri" w:hAnsi="Calibri" w:cs="Calibri"/>
          <w:sz w:val="20"/>
          <w:szCs w:val="20"/>
        </w:rPr>
      </w:pPr>
      <w:r w:rsidRPr="00ED144B">
        <w:rPr>
          <w:rFonts w:ascii="Calibri" w:hAnsi="Calibri" w:cs="Calibri"/>
          <w:sz w:val="20"/>
          <w:szCs w:val="20"/>
        </w:rPr>
        <w:t xml:space="preserve">Le paiement prévu sera fait par la signature dans la fiche de paie signée par </w:t>
      </w:r>
      <w:r w:rsidR="00DB7C24" w:rsidRPr="000D66EF">
        <w:rPr>
          <w:rFonts w:ascii="Calibri" w:hAnsi="Calibri" w:cs="Calibri"/>
          <w:sz w:val="20"/>
          <w:szCs w:val="20"/>
        </w:rPr>
        <w:t>le CLD.</w:t>
      </w:r>
    </w:p>
    <w:p w:rsidR="00433B5E" w:rsidRPr="00ED144B" w:rsidRDefault="00433B5E" w:rsidP="00ED144B">
      <w:pPr>
        <w:spacing w:after="0"/>
        <w:jc w:val="both"/>
        <w:rPr>
          <w:rFonts w:ascii="Calibri" w:hAnsi="Calibri" w:cs="Calibri"/>
          <w:sz w:val="20"/>
          <w:szCs w:val="20"/>
        </w:rPr>
      </w:pPr>
    </w:p>
    <w:p w:rsidR="00433B5E" w:rsidRPr="00ED144B" w:rsidRDefault="00433B5E" w:rsidP="00ED144B">
      <w:pPr>
        <w:spacing w:after="0"/>
        <w:jc w:val="both"/>
        <w:rPr>
          <w:rFonts w:ascii="Calibri" w:hAnsi="Calibri" w:cs="Calibri"/>
          <w:b/>
          <w:sz w:val="20"/>
          <w:szCs w:val="20"/>
          <w:lang w:val="fr-BE"/>
        </w:rPr>
      </w:pPr>
      <w:r w:rsidRPr="00ED144B">
        <w:rPr>
          <w:rFonts w:ascii="Calibri" w:hAnsi="Calibri" w:cs="Calibri"/>
          <w:b/>
          <w:sz w:val="20"/>
          <w:szCs w:val="20"/>
          <w:lang w:val="fr-BE"/>
        </w:rPr>
        <w:t>Article 7 :</w:t>
      </w:r>
    </w:p>
    <w:p w:rsidR="00433B5E" w:rsidRPr="00ED144B" w:rsidRDefault="00433B5E" w:rsidP="00ED144B">
      <w:pPr>
        <w:spacing w:after="0" w:line="259" w:lineRule="auto"/>
        <w:jc w:val="both"/>
        <w:rPr>
          <w:rFonts w:ascii="Calibri" w:hAnsi="Calibri" w:cs="Calibri"/>
          <w:sz w:val="20"/>
          <w:szCs w:val="20"/>
        </w:rPr>
      </w:pPr>
      <w:r w:rsidRPr="00ED144B">
        <w:rPr>
          <w:rFonts w:ascii="Calibri" w:hAnsi="Calibri" w:cs="Calibri"/>
          <w:sz w:val="20"/>
          <w:szCs w:val="20"/>
        </w:rPr>
        <w:t>A titre de contribution pour service environnemental presté, et en compensation d’une partie de l’investissement en temps et en argent lié à la préparation, à l’installation et à l’entretien de la plantation, le PIF s’engage à remettre la somme de 150 USD (cent cinquante dollars américaines montant évoqué déjà évoqué dans  l’article 2 du présent Contrat) à l’hectare dans la seule condition ou le CLD a  scrupuleusement respecté les normes de qualité. Il est explicitement convenu que les hectares de plantation réalisés ne respectant pas les normes de qualité (alignements, écartements, entretiens, taux de survie, etc.) ne seront pas validés. Le PIF s’engage à remettre au CLD la somme de 150 USD (cent cinquante dollars américains), sur base de la fiche de suivi de la plantation en annexe 2 et la liste de planteurs en annexe 3, selon les modalités ci-dessous :</w:t>
      </w:r>
    </w:p>
    <w:p w:rsidR="00433B5E" w:rsidRPr="00ED144B" w:rsidRDefault="00433B5E" w:rsidP="002E3A02">
      <w:pPr>
        <w:pStyle w:val="BodyText"/>
        <w:numPr>
          <w:ilvl w:val="1"/>
          <w:numId w:val="64"/>
        </w:numPr>
        <w:spacing w:line="288" w:lineRule="auto"/>
        <w:ind w:hanging="491"/>
        <w:jc w:val="both"/>
        <w:rPr>
          <w:rFonts w:ascii="Calibri" w:hAnsi="Calibri" w:cs="Calibri"/>
          <w:b w:val="0"/>
          <w:sz w:val="20"/>
          <w:szCs w:val="20"/>
          <w:lang w:val="fr-FR"/>
        </w:rPr>
      </w:pPr>
      <w:r w:rsidRPr="00ED144B">
        <w:rPr>
          <w:rFonts w:ascii="Calibri" w:hAnsi="Calibri" w:cs="Calibri"/>
          <w:b w:val="0"/>
          <w:sz w:val="20"/>
          <w:szCs w:val="20"/>
          <w:lang w:val="fr-FR"/>
        </w:rPr>
        <w:t xml:space="preserve">Après la préparation du terrain (défrichage, piquetage et trouaison) et la plantation respectant les normes indiquées dans le module des normes techniques (superficies en ha), écartement (en m) et essences), le PIF payera </w:t>
      </w:r>
      <w:r w:rsidRPr="00ED144B">
        <w:rPr>
          <w:rFonts w:ascii="Calibri" w:hAnsi="Calibri" w:cs="Calibri"/>
          <w:b w:val="0"/>
          <w:bCs w:val="0"/>
          <w:sz w:val="20"/>
          <w:szCs w:val="20"/>
          <w:lang w:val="fr-FR"/>
        </w:rPr>
        <w:t>75 USD</w:t>
      </w:r>
      <w:r w:rsidRPr="00ED144B">
        <w:rPr>
          <w:rFonts w:ascii="Calibri" w:hAnsi="Calibri" w:cs="Calibri"/>
          <w:b w:val="0"/>
          <w:sz w:val="20"/>
          <w:szCs w:val="20"/>
          <w:lang w:val="fr-FR"/>
        </w:rPr>
        <w:t xml:space="preserve"> (septante cinq dollars américains) par hectare, après vérification sur le terrain (3 mois après la plantation) ;</w:t>
      </w:r>
    </w:p>
    <w:p w:rsidR="00433B5E" w:rsidRPr="00ED144B" w:rsidRDefault="00433B5E" w:rsidP="002E3A02">
      <w:pPr>
        <w:pStyle w:val="BodyText"/>
        <w:numPr>
          <w:ilvl w:val="0"/>
          <w:numId w:val="65"/>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L’UC-PIF se réserve le droit d’effectuer le paiement au prorata du nombre de plants effectivement mis en terre et vivants.</w:t>
      </w:r>
    </w:p>
    <w:p w:rsidR="00433B5E" w:rsidRPr="00ED144B" w:rsidRDefault="00433B5E" w:rsidP="002E3A02">
      <w:pPr>
        <w:pStyle w:val="BodyText"/>
        <w:numPr>
          <w:ilvl w:val="0"/>
          <w:numId w:val="65"/>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 PIF se réserve le droit de réduire le paiement si le nombre d’hectares est inférieur à celui contracté.</w:t>
      </w:r>
    </w:p>
    <w:p w:rsidR="00433B5E" w:rsidRPr="00ED144B" w:rsidRDefault="00433B5E" w:rsidP="002E3A02">
      <w:pPr>
        <w:pStyle w:val="BodyText"/>
        <w:numPr>
          <w:ilvl w:val="0"/>
          <w:numId w:val="65"/>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 PIF se réserve le droit de réduire le paiement de 25% si la plantation n’est pas bien protégée par un coupe-feu.</w:t>
      </w:r>
    </w:p>
    <w:p w:rsidR="00433B5E" w:rsidRPr="00ED144B" w:rsidRDefault="00433B5E" w:rsidP="002E3A02">
      <w:pPr>
        <w:pStyle w:val="BodyText"/>
        <w:numPr>
          <w:ilvl w:val="0"/>
          <w:numId w:val="65"/>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 PIF se réserve le droit de réduire le paiement de 25% si la plantation n’est pas bien désherbée (en cas d’agroforesterie).</w:t>
      </w:r>
    </w:p>
    <w:p w:rsidR="00433B5E" w:rsidRPr="00ED144B" w:rsidRDefault="00433B5E" w:rsidP="00ED144B">
      <w:pPr>
        <w:pStyle w:val="BodyText"/>
        <w:spacing w:line="288" w:lineRule="auto"/>
        <w:ind w:hanging="491"/>
        <w:jc w:val="both"/>
        <w:rPr>
          <w:rFonts w:ascii="Calibri" w:hAnsi="Calibri" w:cs="Calibri"/>
          <w:b w:val="0"/>
          <w:sz w:val="20"/>
          <w:szCs w:val="20"/>
          <w:lang w:val="fr-FR"/>
        </w:rPr>
      </w:pPr>
    </w:p>
    <w:p w:rsidR="00433B5E" w:rsidRPr="00ED144B" w:rsidRDefault="00433B5E" w:rsidP="002E3A02">
      <w:pPr>
        <w:pStyle w:val="ListParagraph"/>
        <w:numPr>
          <w:ilvl w:val="1"/>
          <w:numId w:val="64"/>
        </w:numPr>
        <w:tabs>
          <w:tab w:val="left" w:pos="0"/>
          <w:tab w:val="left" w:pos="426"/>
        </w:tabs>
        <w:spacing w:line="288" w:lineRule="auto"/>
        <w:ind w:hanging="491"/>
        <w:contextualSpacing/>
        <w:jc w:val="both"/>
        <w:rPr>
          <w:rFonts w:cs="Calibri"/>
          <w:sz w:val="20"/>
          <w:szCs w:val="20"/>
        </w:rPr>
      </w:pPr>
      <w:r w:rsidRPr="00ED144B">
        <w:rPr>
          <w:rFonts w:cs="Calibri"/>
          <w:sz w:val="20"/>
          <w:szCs w:val="20"/>
        </w:rPr>
        <w:t xml:space="preserve">L’UC-PIF payera la deuxième tranche de paiement d’un montant de </w:t>
      </w:r>
      <w:r w:rsidRPr="00ED144B">
        <w:rPr>
          <w:rFonts w:cs="Calibri"/>
          <w:bCs/>
          <w:sz w:val="20"/>
          <w:szCs w:val="20"/>
        </w:rPr>
        <w:t>50 USD</w:t>
      </w:r>
      <w:r w:rsidRPr="00ED144B">
        <w:rPr>
          <w:rFonts w:cs="Calibri"/>
          <w:sz w:val="20"/>
          <w:szCs w:val="20"/>
        </w:rPr>
        <w:t xml:space="preserve"> (cinquante dollars américains) par hectare, après vérification sur le terrain (9 mois après la plantation) ; </w:t>
      </w:r>
    </w:p>
    <w:p w:rsidR="00433B5E" w:rsidRPr="00ED144B" w:rsidRDefault="00433B5E" w:rsidP="002E3A02">
      <w:pPr>
        <w:pStyle w:val="BodyText"/>
        <w:numPr>
          <w:ilvl w:val="0"/>
          <w:numId w:val="66"/>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 PIF se réserve le droit d’effectuer le paiement au prorata du nombre de plants vivants et bien portants.</w:t>
      </w:r>
    </w:p>
    <w:p w:rsidR="00433B5E" w:rsidRPr="00ED144B" w:rsidRDefault="00433B5E" w:rsidP="002E3A02">
      <w:pPr>
        <w:pStyle w:val="BodyText"/>
        <w:numPr>
          <w:ilvl w:val="0"/>
          <w:numId w:val="66"/>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 PIF réserve de réduire le paiement par 25% si la plantation n’est pas bien protégée par un coupe-feu ;</w:t>
      </w:r>
    </w:p>
    <w:p w:rsidR="00433B5E" w:rsidRPr="00ED144B" w:rsidRDefault="00433B5E" w:rsidP="002E3A02">
      <w:pPr>
        <w:pStyle w:val="BodyText"/>
        <w:numPr>
          <w:ilvl w:val="0"/>
          <w:numId w:val="66"/>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lastRenderedPageBreak/>
        <w:t>L’UC- PIF se réserve le droit de réduire le paiement de 25% si la plantation n’est pas bien désherbée (en cas d’agroforesterie) ;</w:t>
      </w:r>
    </w:p>
    <w:p w:rsidR="00433B5E" w:rsidRPr="00ED144B" w:rsidRDefault="00433B5E" w:rsidP="002E3A02">
      <w:pPr>
        <w:pStyle w:val="BodyText"/>
        <w:numPr>
          <w:ilvl w:val="0"/>
          <w:numId w:val="66"/>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Le paiement se fera après vérification sur le terrain de l’état de la plantation ;</w:t>
      </w:r>
    </w:p>
    <w:p w:rsidR="00433B5E" w:rsidRPr="00ED144B" w:rsidRDefault="00433B5E" w:rsidP="00ED144B">
      <w:pPr>
        <w:pStyle w:val="BodyText"/>
        <w:spacing w:line="288" w:lineRule="auto"/>
        <w:ind w:left="1776"/>
        <w:jc w:val="both"/>
        <w:rPr>
          <w:rFonts w:ascii="Calibri" w:hAnsi="Calibri" w:cs="Calibri"/>
          <w:b w:val="0"/>
          <w:sz w:val="20"/>
          <w:szCs w:val="20"/>
          <w:lang w:val="fr-FR"/>
        </w:rPr>
      </w:pPr>
    </w:p>
    <w:p w:rsidR="00433B5E" w:rsidRPr="00ED144B" w:rsidRDefault="00433B5E" w:rsidP="002E3A02">
      <w:pPr>
        <w:pStyle w:val="ListParagraph"/>
        <w:numPr>
          <w:ilvl w:val="1"/>
          <w:numId w:val="64"/>
        </w:numPr>
        <w:tabs>
          <w:tab w:val="left" w:pos="0"/>
          <w:tab w:val="left" w:pos="426"/>
        </w:tabs>
        <w:spacing w:line="288" w:lineRule="auto"/>
        <w:ind w:hanging="491"/>
        <w:contextualSpacing/>
        <w:jc w:val="both"/>
        <w:rPr>
          <w:rFonts w:cs="Calibri"/>
          <w:sz w:val="20"/>
          <w:szCs w:val="20"/>
        </w:rPr>
      </w:pPr>
      <w:r w:rsidRPr="00ED144B">
        <w:rPr>
          <w:rFonts w:cs="Calibri"/>
          <w:sz w:val="20"/>
          <w:szCs w:val="20"/>
        </w:rPr>
        <w:t xml:space="preserve">L’UC-PIF payera la troisième tranche de paiement d’un montant de </w:t>
      </w:r>
      <w:r w:rsidRPr="00ED144B">
        <w:rPr>
          <w:rFonts w:cs="Calibri"/>
          <w:bCs/>
          <w:sz w:val="20"/>
          <w:szCs w:val="20"/>
        </w:rPr>
        <w:t>25 USD</w:t>
      </w:r>
      <w:r w:rsidRPr="00ED144B">
        <w:rPr>
          <w:rFonts w:cs="Calibri"/>
          <w:sz w:val="20"/>
          <w:szCs w:val="20"/>
        </w:rPr>
        <w:t xml:space="preserve"> (</w:t>
      </w:r>
      <w:r w:rsidR="00DB7C24" w:rsidRPr="000D66EF">
        <w:rPr>
          <w:rFonts w:cs="Calibri"/>
          <w:sz w:val="20"/>
          <w:szCs w:val="20"/>
        </w:rPr>
        <w:t>vingt-cinq</w:t>
      </w:r>
      <w:r w:rsidRPr="00ED144B">
        <w:rPr>
          <w:rFonts w:cs="Calibri"/>
          <w:sz w:val="20"/>
          <w:szCs w:val="20"/>
        </w:rPr>
        <w:t xml:space="preserve"> dollars américains) par hectare, après vérification sur le terrain (27 mois après la plantation) ;</w:t>
      </w:r>
    </w:p>
    <w:p w:rsidR="00433B5E" w:rsidRPr="00ED144B" w:rsidRDefault="00433B5E" w:rsidP="002E3A02">
      <w:pPr>
        <w:pStyle w:val="BodyText"/>
        <w:numPr>
          <w:ilvl w:val="0"/>
          <w:numId w:val="67"/>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 PIF se réserve le droit d’effectuer le paiement au prorata du nombre de plants vivants et bien portants.</w:t>
      </w:r>
    </w:p>
    <w:p w:rsidR="00433B5E" w:rsidRPr="00ED144B" w:rsidRDefault="00433B5E" w:rsidP="002E3A02">
      <w:pPr>
        <w:pStyle w:val="BodyText"/>
        <w:numPr>
          <w:ilvl w:val="0"/>
          <w:numId w:val="67"/>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L’UC- PIF se réserve le droit de réduire le paiement par 25% si la plantation n’est pas bien protégée par un coupe-feu.</w:t>
      </w:r>
    </w:p>
    <w:p w:rsidR="00433B5E" w:rsidRPr="00ED144B" w:rsidRDefault="00433B5E" w:rsidP="002E3A02">
      <w:pPr>
        <w:pStyle w:val="BodyText"/>
        <w:numPr>
          <w:ilvl w:val="0"/>
          <w:numId w:val="67"/>
        </w:numPr>
        <w:spacing w:line="288" w:lineRule="auto"/>
        <w:jc w:val="both"/>
        <w:rPr>
          <w:rFonts w:ascii="Calibri" w:hAnsi="Calibri" w:cs="Calibri"/>
          <w:b w:val="0"/>
          <w:sz w:val="20"/>
          <w:szCs w:val="20"/>
          <w:lang w:val="fr-FR"/>
        </w:rPr>
      </w:pPr>
      <w:r w:rsidRPr="00ED144B">
        <w:rPr>
          <w:rFonts w:ascii="Calibri" w:hAnsi="Calibri" w:cs="Calibri"/>
          <w:b w:val="0"/>
          <w:sz w:val="20"/>
          <w:szCs w:val="20"/>
          <w:lang w:val="fr-FR"/>
        </w:rPr>
        <w:t>Le paiement se fera après vérification sur le terrain de l’état de la plantation.</w:t>
      </w:r>
    </w:p>
    <w:p w:rsidR="00433B5E" w:rsidRPr="00ED144B" w:rsidRDefault="00433B5E">
      <w:pPr>
        <w:pStyle w:val="TableContents"/>
        <w:rPr>
          <w:rFonts w:ascii="Calibri" w:hAnsi="Calibri" w:cs="Calibri"/>
          <w:sz w:val="20"/>
          <w:szCs w:val="20"/>
          <w:lang w:val="fr-FR"/>
        </w:rPr>
      </w:pPr>
    </w:p>
    <w:p w:rsidR="00433B5E" w:rsidRPr="00ED144B" w:rsidRDefault="00433B5E" w:rsidP="00ED144B">
      <w:pPr>
        <w:spacing w:after="0" w:line="259" w:lineRule="auto"/>
        <w:jc w:val="both"/>
        <w:rPr>
          <w:rFonts w:ascii="Calibri" w:hAnsi="Calibri" w:cs="Calibri"/>
          <w:sz w:val="20"/>
          <w:szCs w:val="20"/>
        </w:rPr>
      </w:pPr>
      <w:r w:rsidRPr="00ED144B">
        <w:rPr>
          <w:rFonts w:ascii="Calibri" w:hAnsi="Calibri" w:cs="Calibri"/>
          <w:sz w:val="20"/>
          <w:szCs w:val="20"/>
        </w:rPr>
        <w:t xml:space="preserve">L’UC- PIF s’engage à remettre au CLD la somme de </w:t>
      </w:r>
      <w:r w:rsidR="00DB7C24" w:rsidRPr="00ED144B">
        <w:rPr>
          <w:rFonts w:ascii="Calibri" w:hAnsi="Calibri" w:cs="Calibri"/>
          <w:sz w:val="20"/>
          <w:szCs w:val="20"/>
        </w:rPr>
        <w:t>XXX</w:t>
      </w:r>
      <w:r w:rsidRPr="00ED144B">
        <w:rPr>
          <w:rFonts w:ascii="Calibri" w:hAnsi="Calibri" w:cs="Calibri"/>
          <w:sz w:val="20"/>
          <w:szCs w:val="20"/>
        </w:rPr>
        <w:t xml:space="preserve"> USD (</w:t>
      </w:r>
      <w:r w:rsidR="00DB7C24" w:rsidRPr="00ED144B">
        <w:rPr>
          <w:rFonts w:ascii="Calibri" w:hAnsi="Calibri" w:cs="Calibri"/>
          <w:sz w:val="20"/>
          <w:szCs w:val="20"/>
        </w:rPr>
        <w:t>XXX</w:t>
      </w:r>
      <w:r w:rsidR="00DB7C24" w:rsidRPr="000D66EF">
        <w:rPr>
          <w:rFonts w:ascii="Calibri" w:hAnsi="Calibri" w:cs="Calibri"/>
          <w:sz w:val="20"/>
          <w:szCs w:val="20"/>
        </w:rPr>
        <w:t xml:space="preserve"> Dollars Américain</w:t>
      </w:r>
      <w:r w:rsidRPr="00ED144B">
        <w:rPr>
          <w:rFonts w:ascii="Calibri" w:hAnsi="Calibri" w:cs="Calibri"/>
          <w:sz w:val="20"/>
          <w:szCs w:val="20"/>
        </w:rPr>
        <w:t>s), selon les modalités ci-dessous :</w:t>
      </w:r>
    </w:p>
    <w:p w:rsidR="00433B5E" w:rsidRPr="00ED144B" w:rsidRDefault="00433B5E" w:rsidP="00ED144B">
      <w:pPr>
        <w:spacing w:after="0" w:line="259" w:lineRule="auto"/>
        <w:jc w:val="both"/>
        <w:rPr>
          <w:rFonts w:ascii="Calibri" w:hAnsi="Calibri" w:cs="Calibri"/>
          <w:sz w:val="20"/>
          <w:szCs w:val="20"/>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1417"/>
        <w:gridCol w:w="9"/>
        <w:gridCol w:w="1408"/>
        <w:gridCol w:w="1560"/>
        <w:gridCol w:w="2126"/>
      </w:tblGrid>
      <w:tr w:rsidR="00433B5E" w:rsidRPr="000D66EF" w:rsidTr="0009077D">
        <w:trPr>
          <w:jc w:val="center"/>
        </w:trPr>
        <w:tc>
          <w:tcPr>
            <w:tcW w:w="3681" w:type="dxa"/>
            <w:shd w:val="clear" w:color="auto" w:fill="000000"/>
            <w:vAlign w:val="center"/>
          </w:tcPr>
          <w:p w:rsidR="00433B5E" w:rsidRPr="00ED144B" w:rsidRDefault="00433B5E" w:rsidP="00ED144B">
            <w:pPr>
              <w:spacing w:after="0"/>
              <w:jc w:val="center"/>
              <w:rPr>
                <w:rFonts w:ascii="Calibri" w:hAnsi="Calibri" w:cs="Calibri"/>
                <w:b/>
                <w:color w:val="FFFFFF"/>
                <w:sz w:val="20"/>
                <w:szCs w:val="20"/>
              </w:rPr>
            </w:pPr>
            <w:r w:rsidRPr="00ED144B">
              <w:rPr>
                <w:rFonts w:ascii="Calibri" w:hAnsi="Calibri" w:cs="Calibri"/>
                <w:b/>
                <w:color w:val="FFFFFF"/>
                <w:sz w:val="20"/>
                <w:szCs w:val="20"/>
              </w:rPr>
              <w:t>Activités</w:t>
            </w:r>
          </w:p>
        </w:tc>
        <w:tc>
          <w:tcPr>
            <w:tcW w:w="1417" w:type="dxa"/>
            <w:shd w:val="clear" w:color="auto" w:fill="000000"/>
          </w:tcPr>
          <w:p w:rsidR="00433B5E" w:rsidRPr="00ED144B" w:rsidRDefault="000D66EF" w:rsidP="00ED144B">
            <w:pPr>
              <w:spacing w:after="0"/>
              <w:jc w:val="center"/>
              <w:rPr>
                <w:rFonts w:ascii="Calibri" w:hAnsi="Calibri" w:cs="Calibri"/>
                <w:b/>
                <w:color w:val="FFFFFF"/>
                <w:sz w:val="20"/>
                <w:szCs w:val="20"/>
              </w:rPr>
            </w:pPr>
            <w:r w:rsidRPr="000D66EF">
              <w:rPr>
                <w:rFonts w:ascii="Calibri" w:hAnsi="Calibri" w:cs="Calibri"/>
                <w:b/>
                <w:color w:val="FFFFFF"/>
                <w:sz w:val="20"/>
                <w:szCs w:val="20"/>
              </w:rPr>
              <w:t>Vérification</w:t>
            </w:r>
          </w:p>
        </w:tc>
        <w:tc>
          <w:tcPr>
            <w:tcW w:w="1417" w:type="dxa"/>
            <w:gridSpan w:val="2"/>
            <w:shd w:val="clear" w:color="auto" w:fill="000000"/>
          </w:tcPr>
          <w:p w:rsidR="00433B5E" w:rsidRPr="00ED144B" w:rsidRDefault="00433B5E" w:rsidP="00ED144B">
            <w:pPr>
              <w:spacing w:after="0"/>
              <w:jc w:val="center"/>
              <w:rPr>
                <w:rFonts w:ascii="Calibri" w:hAnsi="Calibri" w:cs="Calibri"/>
                <w:b/>
                <w:color w:val="FFFFFF"/>
                <w:sz w:val="20"/>
                <w:szCs w:val="20"/>
              </w:rPr>
            </w:pPr>
            <w:r w:rsidRPr="00ED144B">
              <w:rPr>
                <w:rFonts w:ascii="Calibri" w:hAnsi="Calibri" w:cs="Calibri"/>
                <w:b/>
                <w:color w:val="FFFFFF"/>
                <w:sz w:val="20"/>
                <w:szCs w:val="20"/>
              </w:rPr>
              <w:t>USD</w:t>
            </w:r>
            <w:r w:rsidR="000D66EF">
              <w:rPr>
                <w:rFonts w:ascii="Calibri" w:hAnsi="Calibri" w:cs="Calibri"/>
                <w:b/>
                <w:color w:val="FFFFFF"/>
                <w:sz w:val="20"/>
                <w:szCs w:val="20"/>
              </w:rPr>
              <w:t>/</w:t>
            </w:r>
            <w:r w:rsidRPr="00ED144B">
              <w:rPr>
                <w:rFonts w:ascii="Calibri" w:hAnsi="Calibri" w:cs="Calibri"/>
                <w:b/>
                <w:color w:val="FFFFFF"/>
                <w:sz w:val="20"/>
                <w:szCs w:val="20"/>
              </w:rPr>
              <w:t xml:space="preserve"> ha</w:t>
            </w:r>
          </w:p>
        </w:tc>
        <w:tc>
          <w:tcPr>
            <w:tcW w:w="1560" w:type="dxa"/>
            <w:shd w:val="clear" w:color="auto" w:fill="000000"/>
          </w:tcPr>
          <w:p w:rsidR="00433B5E" w:rsidRPr="00ED144B" w:rsidRDefault="00433B5E" w:rsidP="00ED144B">
            <w:pPr>
              <w:spacing w:after="0"/>
              <w:jc w:val="center"/>
              <w:rPr>
                <w:rFonts w:ascii="Calibri" w:hAnsi="Calibri" w:cs="Calibri"/>
                <w:b/>
                <w:color w:val="FFFFFF"/>
                <w:sz w:val="20"/>
                <w:szCs w:val="20"/>
              </w:rPr>
            </w:pPr>
            <w:r w:rsidRPr="00ED144B">
              <w:rPr>
                <w:rFonts w:ascii="Calibri" w:hAnsi="Calibri" w:cs="Calibri"/>
                <w:b/>
                <w:color w:val="FFFFFF"/>
                <w:sz w:val="20"/>
                <w:szCs w:val="20"/>
              </w:rPr>
              <w:t>Superficies réalisées</w:t>
            </w:r>
          </w:p>
        </w:tc>
        <w:tc>
          <w:tcPr>
            <w:tcW w:w="2126" w:type="dxa"/>
            <w:shd w:val="clear" w:color="auto" w:fill="000000"/>
          </w:tcPr>
          <w:p w:rsidR="00433B5E" w:rsidRPr="00ED144B" w:rsidRDefault="00433B5E" w:rsidP="00ED144B">
            <w:pPr>
              <w:spacing w:after="0"/>
              <w:jc w:val="center"/>
              <w:rPr>
                <w:rFonts w:ascii="Calibri" w:hAnsi="Calibri" w:cs="Calibri"/>
                <w:b/>
                <w:color w:val="FFFFFF"/>
                <w:sz w:val="20"/>
                <w:szCs w:val="20"/>
              </w:rPr>
            </w:pPr>
            <w:r w:rsidRPr="00ED144B">
              <w:rPr>
                <w:rFonts w:ascii="Calibri" w:hAnsi="Calibri" w:cs="Calibri"/>
                <w:b/>
                <w:color w:val="FFFFFF"/>
                <w:sz w:val="20"/>
                <w:szCs w:val="20"/>
              </w:rPr>
              <w:t>Montant (Présent Contrat)</w:t>
            </w:r>
          </w:p>
        </w:tc>
      </w:tr>
      <w:tr w:rsidR="00433B5E" w:rsidRPr="000D66EF" w:rsidTr="0009077D">
        <w:trPr>
          <w:jc w:val="center"/>
        </w:trPr>
        <w:tc>
          <w:tcPr>
            <w:tcW w:w="3681" w:type="dxa"/>
            <w:shd w:val="clear" w:color="auto" w:fill="auto"/>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xml:space="preserve">Travaux préparatoire (Layonage, Piquetage, Trouaison), la mise en place de plantules,  protection de plantations avec </w:t>
            </w:r>
            <w:r w:rsidR="00DB7C24" w:rsidRPr="000D66EF">
              <w:rPr>
                <w:rFonts w:ascii="Calibri" w:hAnsi="Calibri" w:cs="Calibri"/>
                <w:sz w:val="20"/>
                <w:szCs w:val="20"/>
              </w:rPr>
              <w:t>pare-feu</w:t>
            </w:r>
          </w:p>
        </w:tc>
        <w:tc>
          <w:tcPr>
            <w:tcW w:w="1417" w:type="dxa"/>
            <w:shd w:val="clear" w:color="auto" w:fill="auto"/>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xml:space="preserve">3 mois après mise en place de la plantation </w:t>
            </w:r>
          </w:p>
        </w:tc>
        <w:tc>
          <w:tcPr>
            <w:tcW w:w="1417" w:type="dxa"/>
            <w:gridSpan w:val="2"/>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75 USD</w:t>
            </w:r>
          </w:p>
        </w:tc>
        <w:tc>
          <w:tcPr>
            <w:tcW w:w="1560" w:type="dxa"/>
            <w:vMerge w:val="restart"/>
            <w:shd w:val="clear" w:color="auto" w:fill="auto"/>
            <w:vAlign w:val="center"/>
          </w:tcPr>
          <w:p w:rsidR="00433B5E" w:rsidRPr="00ED144B" w:rsidRDefault="00433B5E" w:rsidP="00ED144B">
            <w:pPr>
              <w:spacing w:after="0"/>
              <w:jc w:val="both"/>
              <w:rPr>
                <w:rFonts w:ascii="Calibri" w:hAnsi="Calibri" w:cs="Calibri"/>
                <w:sz w:val="20"/>
                <w:szCs w:val="20"/>
              </w:rPr>
            </w:pPr>
          </w:p>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ha</w:t>
            </w:r>
          </w:p>
        </w:tc>
        <w:tc>
          <w:tcPr>
            <w:tcW w:w="2126" w:type="dxa"/>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USD</w:t>
            </w:r>
          </w:p>
          <w:p w:rsidR="00433B5E" w:rsidRPr="00ED144B" w:rsidRDefault="00433B5E" w:rsidP="00ED144B">
            <w:pPr>
              <w:spacing w:after="0"/>
              <w:jc w:val="both"/>
              <w:rPr>
                <w:rFonts w:ascii="Calibri" w:hAnsi="Calibri" w:cs="Calibri"/>
                <w:sz w:val="20"/>
                <w:szCs w:val="20"/>
              </w:rPr>
            </w:pPr>
          </w:p>
        </w:tc>
      </w:tr>
      <w:tr w:rsidR="00433B5E" w:rsidRPr="000D66EF" w:rsidTr="0009077D">
        <w:trPr>
          <w:jc w:val="center"/>
        </w:trPr>
        <w:tc>
          <w:tcPr>
            <w:tcW w:w="3681" w:type="dxa"/>
            <w:shd w:val="clear" w:color="auto" w:fill="auto"/>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xml:space="preserve">Regarnissage et entretien de la plantation, entretien de </w:t>
            </w:r>
            <w:r w:rsidR="00DB7C24" w:rsidRPr="000D66EF">
              <w:rPr>
                <w:rFonts w:ascii="Calibri" w:hAnsi="Calibri" w:cs="Calibri"/>
                <w:sz w:val="20"/>
                <w:szCs w:val="20"/>
              </w:rPr>
              <w:t>pare-feu</w:t>
            </w:r>
            <w:r w:rsidRPr="00ED144B">
              <w:rPr>
                <w:rFonts w:ascii="Calibri" w:hAnsi="Calibri" w:cs="Calibri"/>
                <w:sz w:val="20"/>
                <w:szCs w:val="20"/>
              </w:rPr>
              <w:t xml:space="preserve"> </w:t>
            </w:r>
          </w:p>
        </w:tc>
        <w:tc>
          <w:tcPr>
            <w:tcW w:w="1417" w:type="dxa"/>
            <w:shd w:val="clear" w:color="auto" w:fill="auto"/>
          </w:tcPr>
          <w:p w:rsidR="00433B5E" w:rsidRPr="00ED144B" w:rsidRDefault="00433B5E" w:rsidP="00ED144B">
            <w:pPr>
              <w:pStyle w:val="BodyText"/>
              <w:tabs>
                <w:tab w:val="left" w:pos="360"/>
              </w:tabs>
              <w:suppressAutoHyphens/>
              <w:spacing w:before="120"/>
              <w:jc w:val="both"/>
              <w:rPr>
                <w:rFonts w:ascii="Calibri" w:hAnsi="Calibri" w:cs="Calibri"/>
                <w:b w:val="0"/>
                <w:sz w:val="20"/>
                <w:szCs w:val="20"/>
                <w:lang w:val="fr-FR"/>
              </w:rPr>
            </w:pPr>
            <w:r w:rsidRPr="00ED144B">
              <w:rPr>
                <w:rFonts w:ascii="Calibri" w:hAnsi="Calibri" w:cs="Calibri"/>
                <w:b w:val="0"/>
                <w:sz w:val="20"/>
                <w:szCs w:val="20"/>
                <w:lang w:val="fr-FR"/>
              </w:rPr>
              <w:t>9 mois après mise en place de la plantation</w:t>
            </w:r>
          </w:p>
        </w:tc>
        <w:tc>
          <w:tcPr>
            <w:tcW w:w="1417" w:type="dxa"/>
            <w:gridSpan w:val="2"/>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50 USD</w:t>
            </w:r>
          </w:p>
        </w:tc>
        <w:tc>
          <w:tcPr>
            <w:tcW w:w="1560" w:type="dxa"/>
            <w:vMerge/>
            <w:shd w:val="clear" w:color="auto" w:fill="auto"/>
          </w:tcPr>
          <w:p w:rsidR="00433B5E" w:rsidRPr="00ED144B" w:rsidRDefault="00433B5E" w:rsidP="00ED144B">
            <w:pPr>
              <w:spacing w:after="0"/>
              <w:jc w:val="both"/>
              <w:rPr>
                <w:rFonts w:ascii="Calibri" w:hAnsi="Calibri" w:cs="Calibri"/>
                <w:sz w:val="20"/>
                <w:szCs w:val="20"/>
              </w:rPr>
            </w:pPr>
          </w:p>
        </w:tc>
        <w:tc>
          <w:tcPr>
            <w:tcW w:w="2126" w:type="dxa"/>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USD</w:t>
            </w:r>
          </w:p>
          <w:p w:rsidR="00433B5E" w:rsidRPr="00ED144B" w:rsidRDefault="00433B5E" w:rsidP="00ED144B">
            <w:pPr>
              <w:spacing w:after="0"/>
              <w:jc w:val="both"/>
              <w:rPr>
                <w:rFonts w:ascii="Calibri" w:hAnsi="Calibri" w:cs="Calibri"/>
                <w:sz w:val="20"/>
                <w:szCs w:val="20"/>
              </w:rPr>
            </w:pPr>
          </w:p>
        </w:tc>
      </w:tr>
      <w:tr w:rsidR="00433B5E" w:rsidRPr="000D66EF" w:rsidTr="0009077D">
        <w:trPr>
          <w:jc w:val="center"/>
        </w:trPr>
        <w:tc>
          <w:tcPr>
            <w:tcW w:w="3681" w:type="dxa"/>
            <w:shd w:val="clear" w:color="auto" w:fill="auto"/>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 xml:space="preserve">Entretien de plantation et </w:t>
            </w:r>
            <w:r w:rsidR="00DB7C24" w:rsidRPr="000D66EF">
              <w:rPr>
                <w:rFonts w:ascii="Calibri" w:hAnsi="Calibri" w:cs="Calibri"/>
                <w:sz w:val="20"/>
                <w:szCs w:val="20"/>
              </w:rPr>
              <w:t>pare-feu</w:t>
            </w:r>
          </w:p>
        </w:tc>
        <w:tc>
          <w:tcPr>
            <w:tcW w:w="1417" w:type="dxa"/>
            <w:shd w:val="clear" w:color="auto" w:fill="auto"/>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27 mois après la</w:t>
            </w:r>
            <w:r w:rsidR="000D66EF" w:rsidRPr="00ED144B">
              <w:rPr>
                <w:rFonts w:ascii="Calibri" w:hAnsi="Calibri" w:cs="Calibri"/>
                <w:sz w:val="20"/>
                <w:szCs w:val="20"/>
              </w:rPr>
              <w:t xml:space="preserve"> </w:t>
            </w:r>
            <w:r w:rsidRPr="00ED144B">
              <w:rPr>
                <w:rFonts w:ascii="Calibri" w:hAnsi="Calibri" w:cs="Calibri"/>
                <w:sz w:val="20"/>
                <w:szCs w:val="20"/>
              </w:rPr>
              <w:t>mise en place de la plantation</w:t>
            </w:r>
          </w:p>
        </w:tc>
        <w:tc>
          <w:tcPr>
            <w:tcW w:w="1417" w:type="dxa"/>
            <w:gridSpan w:val="2"/>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25 USD</w:t>
            </w:r>
          </w:p>
        </w:tc>
        <w:tc>
          <w:tcPr>
            <w:tcW w:w="1560" w:type="dxa"/>
            <w:vMerge/>
            <w:shd w:val="clear" w:color="auto" w:fill="auto"/>
          </w:tcPr>
          <w:p w:rsidR="00433B5E" w:rsidRPr="00ED144B" w:rsidRDefault="00433B5E" w:rsidP="00ED144B">
            <w:pPr>
              <w:spacing w:after="0"/>
              <w:jc w:val="both"/>
              <w:rPr>
                <w:rFonts w:ascii="Calibri" w:hAnsi="Calibri" w:cs="Calibri"/>
                <w:sz w:val="20"/>
                <w:szCs w:val="20"/>
              </w:rPr>
            </w:pPr>
          </w:p>
        </w:tc>
        <w:tc>
          <w:tcPr>
            <w:tcW w:w="2126" w:type="dxa"/>
            <w:shd w:val="clear" w:color="auto" w:fill="auto"/>
            <w:vAlign w:val="center"/>
          </w:tcPr>
          <w:p w:rsidR="00433B5E" w:rsidRPr="00ED144B" w:rsidRDefault="00433B5E" w:rsidP="00ED144B">
            <w:pPr>
              <w:spacing w:after="0"/>
              <w:rPr>
                <w:rFonts w:ascii="Calibri" w:hAnsi="Calibri" w:cs="Calibri"/>
                <w:sz w:val="20"/>
                <w:szCs w:val="20"/>
              </w:rPr>
            </w:pPr>
            <w:r w:rsidRPr="00ED144B">
              <w:rPr>
                <w:rFonts w:ascii="Calibri" w:hAnsi="Calibri" w:cs="Calibri"/>
                <w:sz w:val="20"/>
                <w:szCs w:val="20"/>
              </w:rPr>
              <w:t>….. USD</w:t>
            </w:r>
          </w:p>
          <w:p w:rsidR="00433B5E" w:rsidRPr="00ED144B" w:rsidRDefault="00433B5E" w:rsidP="00ED144B">
            <w:pPr>
              <w:spacing w:after="0"/>
              <w:jc w:val="both"/>
              <w:rPr>
                <w:rFonts w:ascii="Calibri" w:hAnsi="Calibri" w:cs="Calibri"/>
                <w:sz w:val="20"/>
                <w:szCs w:val="20"/>
              </w:rPr>
            </w:pPr>
          </w:p>
        </w:tc>
      </w:tr>
      <w:tr w:rsidR="00433B5E" w:rsidRPr="000D66EF" w:rsidTr="0009077D">
        <w:trPr>
          <w:trHeight w:val="256"/>
          <w:jc w:val="center"/>
        </w:trPr>
        <w:tc>
          <w:tcPr>
            <w:tcW w:w="5107" w:type="dxa"/>
            <w:gridSpan w:val="3"/>
            <w:shd w:val="clear" w:color="auto" w:fill="000000"/>
          </w:tcPr>
          <w:p w:rsidR="00433B5E" w:rsidRPr="00ED144B" w:rsidRDefault="00433B5E" w:rsidP="00ED144B">
            <w:pPr>
              <w:spacing w:after="0"/>
              <w:jc w:val="both"/>
              <w:rPr>
                <w:rFonts w:ascii="Calibri" w:hAnsi="Calibri" w:cs="Calibri"/>
                <w:sz w:val="20"/>
                <w:szCs w:val="20"/>
                <w:lang w:val="fr-BE"/>
              </w:rPr>
            </w:pPr>
          </w:p>
        </w:tc>
        <w:tc>
          <w:tcPr>
            <w:tcW w:w="1408" w:type="dxa"/>
            <w:shd w:val="clear" w:color="auto" w:fill="000000"/>
          </w:tcPr>
          <w:p w:rsidR="00433B5E" w:rsidRPr="00ED144B" w:rsidRDefault="00433B5E" w:rsidP="00ED144B">
            <w:pPr>
              <w:pStyle w:val="ListParagraph"/>
              <w:ind w:left="0"/>
              <w:jc w:val="both"/>
              <w:rPr>
                <w:rFonts w:cs="Calibri"/>
                <w:sz w:val="20"/>
                <w:szCs w:val="20"/>
                <w:lang w:val="en-US" w:eastAsia="en-US"/>
              </w:rPr>
            </w:pPr>
          </w:p>
        </w:tc>
        <w:tc>
          <w:tcPr>
            <w:tcW w:w="1560" w:type="dxa"/>
            <w:shd w:val="clear" w:color="auto" w:fill="000000"/>
          </w:tcPr>
          <w:p w:rsidR="00433B5E" w:rsidRPr="00ED144B" w:rsidRDefault="00433B5E" w:rsidP="00ED144B">
            <w:pPr>
              <w:spacing w:after="0"/>
              <w:jc w:val="both"/>
              <w:rPr>
                <w:rFonts w:ascii="Calibri" w:hAnsi="Calibri" w:cs="Calibri"/>
                <w:sz w:val="20"/>
                <w:szCs w:val="20"/>
              </w:rPr>
            </w:pPr>
          </w:p>
        </w:tc>
        <w:tc>
          <w:tcPr>
            <w:tcW w:w="2126" w:type="dxa"/>
            <w:shd w:val="clear" w:color="auto" w:fill="000000"/>
          </w:tcPr>
          <w:p w:rsidR="00433B5E" w:rsidRPr="00ED144B" w:rsidRDefault="00433B5E" w:rsidP="00ED144B">
            <w:pPr>
              <w:spacing w:after="0"/>
              <w:jc w:val="both"/>
              <w:rPr>
                <w:rFonts w:ascii="Calibri" w:hAnsi="Calibri" w:cs="Calibri"/>
                <w:sz w:val="20"/>
                <w:szCs w:val="20"/>
              </w:rPr>
            </w:pPr>
          </w:p>
        </w:tc>
      </w:tr>
      <w:tr w:rsidR="00433B5E" w:rsidRPr="000D66EF" w:rsidTr="00ED144B">
        <w:trPr>
          <w:trHeight w:val="288"/>
          <w:jc w:val="center"/>
        </w:trPr>
        <w:tc>
          <w:tcPr>
            <w:tcW w:w="5107" w:type="dxa"/>
            <w:gridSpan w:val="3"/>
            <w:shd w:val="clear" w:color="auto" w:fill="auto"/>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lang w:val="fr-BE"/>
              </w:rPr>
              <w:t xml:space="preserve">Montant </w:t>
            </w:r>
            <w:r w:rsidRPr="00ED144B">
              <w:rPr>
                <w:rFonts w:ascii="Calibri" w:hAnsi="Calibri" w:cs="Calibri"/>
                <w:sz w:val="20"/>
                <w:szCs w:val="20"/>
              </w:rPr>
              <w:t>total (USD)</w:t>
            </w:r>
          </w:p>
        </w:tc>
        <w:tc>
          <w:tcPr>
            <w:tcW w:w="5094" w:type="dxa"/>
            <w:gridSpan w:val="3"/>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w:t>
            </w:r>
          </w:p>
        </w:tc>
      </w:tr>
      <w:tr w:rsidR="00433B5E" w:rsidRPr="000D66EF" w:rsidTr="00ED144B">
        <w:trPr>
          <w:trHeight w:val="288"/>
          <w:jc w:val="center"/>
        </w:trPr>
        <w:tc>
          <w:tcPr>
            <w:tcW w:w="5107" w:type="dxa"/>
            <w:gridSpan w:val="3"/>
            <w:shd w:val="clear" w:color="auto" w:fill="auto"/>
          </w:tcPr>
          <w:p w:rsidR="00433B5E" w:rsidRPr="00ED144B" w:rsidRDefault="00433B5E" w:rsidP="00ED144B">
            <w:pPr>
              <w:spacing w:after="0"/>
              <w:jc w:val="both"/>
              <w:rPr>
                <w:rFonts w:ascii="Calibri" w:hAnsi="Calibri" w:cs="Calibri"/>
                <w:sz w:val="20"/>
                <w:szCs w:val="20"/>
                <w:lang w:val="fr-BE"/>
              </w:rPr>
            </w:pPr>
            <w:r w:rsidRPr="00ED144B">
              <w:rPr>
                <w:rFonts w:ascii="Calibri" w:hAnsi="Calibri" w:cs="Calibri"/>
                <w:sz w:val="20"/>
                <w:szCs w:val="20"/>
                <w:lang w:val="fr-BE"/>
              </w:rPr>
              <w:t>Montant pour les ménages (95%)</w:t>
            </w:r>
            <w:r w:rsidR="000D66EF">
              <w:rPr>
                <w:rFonts w:ascii="Calibri" w:hAnsi="Calibri" w:cs="Calibri"/>
                <w:sz w:val="20"/>
                <w:szCs w:val="20"/>
                <w:lang w:val="fr-BE"/>
              </w:rPr>
              <w:t xml:space="preserve"> </w:t>
            </w:r>
            <w:r w:rsidRPr="00ED144B">
              <w:rPr>
                <w:rFonts w:ascii="Calibri" w:hAnsi="Calibri" w:cs="Calibri"/>
                <w:sz w:val="20"/>
                <w:szCs w:val="20"/>
                <w:lang w:val="fr-BE"/>
              </w:rPr>
              <w:t>(USD)</w:t>
            </w:r>
          </w:p>
        </w:tc>
        <w:tc>
          <w:tcPr>
            <w:tcW w:w="5094" w:type="dxa"/>
            <w:gridSpan w:val="3"/>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w:t>
            </w:r>
          </w:p>
        </w:tc>
      </w:tr>
      <w:tr w:rsidR="00433B5E" w:rsidRPr="000D66EF" w:rsidTr="00ED144B">
        <w:trPr>
          <w:trHeight w:val="288"/>
          <w:jc w:val="center"/>
        </w:trPr>
        <w:tc>
          <w:tcPr>
            <w:tcW w:w="5107" w:type="dxa"/>
            <w:gridSpan w:val="3"/>
            <w:shd w:val="clear" w:color="auto" w:fill="auto"/>
          </w:tcPr>
          <w:p w:rsidR="00433B5E" w:rsidRPr="00ED144B" w:rsidRDefault="00433B5E" w:rsidP="00ED144B">
            <w:pPr>
              <w:spacing w:after="0"/>
              <w:jc w:val="both"/>
              <w:rPr>
                <w:rFonts w:ascii="Calibri" w:hAnsi="Calibri" w:cs="Calibri"/>
                <w:sz w:val="20"/>
                <w:szCs w:val="20"/>
                <w:lang w:val="fr-BE"/>
              </w:rPr>
            </w:pPr>
            <w:r w:rsidRPr="00ED144B">
              <w:rPr>
                <w:rFonts w:ascii="Calibri" w:hAnsi="Calibri" w:cs="Calibri"/>
                <w:sz w:val="20"/>
                <w:szCs w:val="20"/>
                <w:lang w:val="fr-BE"/>
              </w:rPr>
              <w:t>Montant pour le fonctionnement de CLD (5%) (USD)</w:t>
            </w:r>
          </w:p>
        </w:tc>
        <w:tc>
          <w:tcPr>
            <w:tcW w:w="5094" w:type="dxa"/>
            <w:gridSpan w:val="3"/>
            <w:shd w:val="clear" w:color="auto" w:fill="auto"/>
            <w:vAlign w:val="center"/>
          </w:tcPr>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w:t>
            </w:r>
          </w:p>
        </w:tc>
      </w:tr>
    </w:tbl>
    <w:p w:rsidR="00433B5E" w:rsidRPr="00ED144B" w:rsidRDefault="00433B5E" w:rsidP="00ED144B">
      <w:pPr>
        <w:spacing w:after="0"/>
        <w:jc w:val="both"/>
        <w:rPr>
          <w:rFonts w:ascii="Calibri" w:hAnsi="Calibri" w:cs="Calibri"/>
          <w:sz w:val="20"/>
          <w:szCs w:val="20"/>
        </w:rPr>
      </w:pPr>
    </w:p>
    <w:p w:rsidR="000D66EF" w:rsidRPr="00ED144B" w:rsidRDefault="00433B5E" w:rsidP="00ED144B">
      <w:pPr>
        <w:pStyle w:val="BodyText"/>
        <w:spacing w:before="40" w:line="288" w:lineRule="auto"/>
        <w:jc w:val="both"/>
        <w:rPr>
          <w:rFonts w:ascii="Calibri" w:hAnsi="Calibri" w:cs="Calibri"/>
          <w:sz w:val="20"/>
          <w:szCs w:val="20"/>
          <w:lang w:val="fr-FR"/>
        </w:rPr>
      </w:pPr>
      <w:r w:rsidRPr="00ED144B">
        <w:rPr>
          <w:rFonts w:ascii="Calibri" w:hAnsi="Calibri" w:cs="Calibri"/>
          <w:b w:val="0"/>
          <w:sz w:val="20"/>
          <w:szCs w:val="20"/>
          <w:lang w:val="fr-FR"/>
        </w:rPr>
        <w:t>L’UC-PIF se chargera du paiement en espèces au CLD. Le paiement sera effectué après la vérification du reboisement par le WWF. Le paiement prévu sera fait  moyennant  la fiche de paie signée par le CLD.</w:t>
      </w:r>
    </w:p>
    <w:p w:rsidR="000D66EF" w:rsidRPr="00ED144B" w:rsidRDefault="000D66EF" w:rsidP="00ED144B">
      <w:pPr>
        <w:pStyle w:val="BodyText"/>
        <w:spacing w:before="40" w:line="288" w:lineRule="auto"/>
        <w:jc w:val="both"/>
        <w:rPr>
          <w:rFonts w:ascii="Calibri" w:hAnsi="Calibri" w:cs="Calibri"/>
          <w:sz w:val="20"/>
          <w:szCs w:val="20"/>
          <w:lang w:val="fr-FR"/>
        </w:rPr>
      </w:pPr>
    </w:p>
    <w:p w:rsidR="00433B5E" w:rsidRPr="00ED144B" w:rsidRDefault="00433B5E" w:rsidP="00ED144B">
      <w:pPr>
        <w:pStyle w:val="BodyText"/>
        <w:spacing w:before="40" w:line="288" w:lineRule="auto"/>
        <w:jc w:val="both"/>
        <w:rPr>
          <w:rFonts w:ascii="Calibri" w:hAnsi="Calibri" w:cs="Calibri"/>
          <w:b w:val="0"/>
          <w:sz w:val="20"/>
          <w:szCs w:val="20"/>
          <w:lang w:val="fr-FR"/>
        </w:rPr>
      </w:pPr>
      <w:r w:rsidRPr="00ED144B">
        <w:rPr>
          <w:rFonts w:ascii="Calibri" w:hAnsi="Calibri" w:cs="Calibri"/>
          <w:bCs w:val="0"/>
          <w:color w:val="auto"/>
          <w:sz w:val="20"/>
          <w:szCs w:val="20"/>
          <w:lang w:val="fr-BE" w:eastAsia="fr-FR"/>
        </w:rPr>
        <w:t>Article 9 : LIMITES DU CONTRAT ET GESTION DES LITIGES</w:t>
      </w:r>
    </w:p>
    <w:p w:rsidR="00433B5E" w:rsidRPr="00ED144B" w:rsidRDefault="00433B5E" w:rsidP="00ED144B">
      <w:pPr>
        <w:spacing w:after="0" w:line="259" w:lineRule="auto"/>
        <w:jc w:val="both"/>
        <w:rPr>
          <w:rFonts w:ascii="Calibri" w:hAnsi="Calibri" w:cs="Calibri"/>
          <w:sz w:val="20"/>
          <w:szCs w:val="20"/>
        </w:rPr>
      </w:pP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t xml:space="preserve">Le CLD mentionnera le soutien financier de l’UC- PIF dans tout rapport/publication ou activités de sensibilisation et/ou de communication relatifs aux activités menées dans le cadre du présent Contrat ; </w:t>
      </w: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t xml:space="preserve">Aucune des parties ne prendra d’engagement ni de position au nom de l’autre partie sans en avoir le consentement écrit ; </w:t>
      </w: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t>Avant toute prise de décision importante relative à l’objet du présent Contrat, ou dans les conventions spécifiques, chaque partie informera l’autre ;</w:t>
      </w: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t>Aucune des deux parties n’a d’autorité pour créer des obligations légales au nom de l’autre partie ;</w:t>
      </w: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t>Si des difficultés surviennent à l’occasion de l’interprétation ou de l’exécution du présent Contrat, les deux parties s’engagent à résoudre les litiges à l’amiable par voie de conciliation directe ;</w:t>
      </w: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lastRenderedPageBreak/>
        <w:t>Tout différent relatif à l’interprétation et/ou l’exécution du présent Contrat ou de toute convention conclue sur son fondement qui ne pourrait être résolu à l’amiable entre les Parties sera résolu par arbitrage ;</w:t>
      </w: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t>L’UC-PIF  se réserve le droit de résilier le contrat suite à des actes inciviques répétés dans le terroir de la communauté bénéficiaire, après trois avertissements écrites ;</w:t>
      </w:r>
    </w:p>
    <w:p w:rsidR="00433B5E" w:rsidRPr="00ED144B" w:rsidRDefault="00433B5E" w:rsidP="002E3A02">
      <w:pPr>
        <w:pStyle w:val="ListParagraph"/>
        <w:numPr>
          <w:ilvl w:val="0"/>
          <w:numId w:val="69"/>
        </w:numPr>
        <w:spacing w:line="259" w:lineRule="auto"/>
        <w:contextualSpacing/>
        <w:jc w:val="both"/>
        <w:rPr>
          <w:rFonts w:cs="Calibri"/>
          <w:sz w:val="20"/>
          <w:szCs w:val="20"/>
        </w:rPr>
      </w:pPr>
      <w:r w:rsidRPr="00ED144B">
        <w:rPr>
          <w:rFonts w:cs="Calibri"/>
          <w:sz w:val="20"/>
          <w:szCs w:val="20"/>
        </w:rPr>
        <w:t>Toute information erronée, fournie intentionnellement ou pas, entrainera la résiliation du présent contrat ;</w:t>
      </w:r>
    </w:p>
    <w:p w:rsidR="00433B5E" w:rsidRPr="00ED144B" w:rsidRDefault="00433B5E" w:rsidP="00ED144B">
      <w:pPr>
        <w:spacing w:after="0"/>
        <w:jc w:val="both"/>
        <w:rPr>
          <w:rFonts w:ascii="Calibri" w:hAnsi="Calibri" w:cs="Calibri"/>
          <w:b/>
          <w:sz w:val="20"/>
          <w:szCs w:val="20"/>
        </w:rPr>
      </w:pPr>
    </w:p>
    <w:p w:rsidR="00433B5E" w:rsidRPr="00ED144B" w:rsidRDefault="00433B5E" w:rsidP="00ED144B">
      <w:pPr>
        <w:spacing w:after="0"/>
        <w:jc w:val="both"/>
        <w:rPr>
          <w:rFonts w:ascii="Calibri" w:hAnsi="Calibri" w:cs="Calibri"/>
          <w:b/>
          <w:sz w:val="20"/>
          <w:szCs w:val="20"/>
          <w:lang w:val="fr-BE"/>
        </w:rPr>
      </w:pPr>
      <w:r w:rsidRPr="00ED144B">
        <w:rPr>
          <w:rFonts w:ascii="Calibri" w:hAnsi="Calibri" w:cs="Calibri"/>
          <w:b/>
          <w:sz w:val="20"/>
          <w:szCs w:val="20"/>
          <w:lang w:val="fr-BE"/>
        </w:rPr>
        <w:t>Article 10 :</w:t>
      </w:r>
    </w:p>
    <w:p w:rsidR="00433B5E" w:rsidRPr="00ED144B" w:rsidRDefault="00433B5E" w:rsidP="00ED144B">
      <w:pPr>
        <w:spacing w:after="0"/>
        <w:jc w:val="both"/>
        <w:rPr>
          <w:rFonts w:ascii="Calibri" w:hAnsi="Calibri" w:cs="Calibri"/>
          <w:sz w:val="20"/>
          <w:szCs w:val="20"/>
        </w:rPr>
      </w:pPr>
      <w:r w:rsidRPr="00ED144B">
        <w:rPr>
          <w:rFonts w:ascii="Calibri" w:hAnsi="Calibri" w:cs="Calibri"/>
          <w:sz w:val="20"/>
          <w:szCs w:val="20"/>
        </w:rPr>
        <w:t>Le présent Contrat doit être visé par le chef de Secteur et entre en vigueur à la date de sa signature entre les deux parties.</w:t>
      </w:r>
    </w:p>
    <w:p w:rsidR="00433B5E" w:rsidRPr="00ED144B" w:rsidRDefault="00433B5E" w:rsidP="00ED144B">
      <w:pPr>
        <w:spacing w:after="0"/>
        <w:jc w:val="both"/>
        <w:rPr>
          <w:rFonts w:ascii="Calibri" w:hAnsi="Calibri" w:cs="Calibri"/>
          <w:sz w:val="20"/>
          <w:szCs w:val="20"/>
        </w:rPr>
      </w:pPr>
    </w:p>
    <w:tbl>
      <w:tblPr>
        <w:tblW w:w="92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1601"/>
        <w:gridCol w:w="2707"/>
        <w:gridCol w:w="1993"/>
        <w:gridCol w:w="1458"/>
      </w:tblGrid>
      <w:tr w:rsidR="00433B5E" w:rsidRPr="000D66EF" w:rsidTr="00ED144B">
        <w:trPr>
          <w:trHeight w:hRule="exact" w:val="288"/>
        </w:trPr>
        <w:tc>
          <w:tcPr>
            <w:tcW w:w="1513"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
                <w:bCs/>
                <w:sz w:val="20"/>
                <w:szCs w:val="20"/>
                <w:lang w:val="fr-FR"/>
              </w:rPr>
            </w:pPr>
            <w:r w:rsidRPr="00ED144B">
              <w:rPr>
                <w:rFonts w:ascii="Calibri" w:hAnsi="Calibri" w:cs="Calibri"/>
                <w:b/>
                <w:bCs/>
                <w:sz w:val="20"/>
                <w:szCs w:val="20"/>
                <w:lang w:val="fr-FR"/>
              </w:rPr>
              <w:t xml:space="preserve">Organisation </w:t>
            </w:r>
          </w:p>
        </w:tc>
        <w:tc>
          <w:tcPr>
            <w:tcW w:w="1601" w:type="dxa"/>
            <w:shd w:val="clear" w:color="auto" w:fill="auto"/>
            <w:vAlign w:val="center"/>
          </w:tcPr>
          <w:p w:rsidR="00433B5E" w:rsidRPr="00ED144B" w:rsidRDefault="00433B5E" w:rsidP="00ED144B">
            <w:pPr>
              <w:pStyle w:val="NormalWeb"/>
              <w:spacing w:before="0" w:beforeAutospacing="0" w:after="0" w:afterAutospacing="0"/>
              <w:jc w:val="both"/>
              <w:rPr>
                <w:rFonts w:ascii="Calibri" w:hAnsi="Calibri" w:cs="Calibri"/>
                <w:b/>
                <w:bCs/>
                <w:sz w:val="20"/>
                <w:szCs w:val="20"/>
                <w:lang w:val="fr-FR"/>
              </w:rPr>
            </w:pPr>
            <w:r w:rsidRPr="00ED144B">
              <w:rPr>
                <w:rFonts w:ascii="Calibri" w:hAnsi="Calibri" w:cs="Calibri"/>
                <w:b/>
                <w:bCs/>
                <w:sz w:val="20"/>
                <w:szCs w:val="20"/>
                <w:lang w:val="fr-FR"/>
              </w:rPr>
              <w:t xml:space="preserve">Fonction </w:t>
            </w:r>
          </w:p>
        </w:tc>
        <w:tc>
          <w:tcPr>
            <w:tcW w:w="2707"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
                <w:bCs/>
                <w:sz w:val="20"/>
                <w:szCs w:val="20"/>
                <w:lang w:val="fr-FR"/>
              </w:rPr>
            </w:pPr>
            <w:r w:rsidRPr="00ED144B">
              <w:rPr>
                <w:rFonts w:ascii="Calibri" w:hAnsi="Calibri" w:cs="Calibri"/>
                <w:b/>
                <w:bCs/>
                <w:sz w:val="20"/>
                <w:szCs w:val="20"/>
                <w:lang w:val="fr-FR"/>
              </w:rPr>
              <w:t xml:space="preserve">Nom </w:t>
            </w:r>
          </w:p>
        </w:tc>
        <w:tc>
          <w:tcPr>
            <w:tcW w:w="1993"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
                <w:bCs/>
                <w:sz w:val="20"/>
                <w:szCs w:val="20"/>
                <w:lang w:val="fr-FR"/>
              </w:rPr>
            </w:pPr>
            <w:r w:rsidRPr="00ED144B">
              <w:rPr>
                <w:rFonts w:ascii="Calibri" w:hAnsi="Calibri" w:cs="Calibri"/>
                <w:b/>
                <w:bCs/>
                <w:sz w:val="20"/>
                <w:szCs w:val="20"/>
                <w:lang w:val="fr-FR"/>
              </w:rPr>
              <w:t>Signature</w:t>
            </w:r>
          </w:p>
        </w:tc>
        <w:tc>
          <w:tcPr>
            <w:tcW w:w="1458"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
                <w:bCs/>
                <w:sz w:val="20"/>
                <w:szCs w:val="20"/>
                <w:lang w:val="fr-FR"/>
              </w:rPr>
            </w:pPr>
            <w:r w:rsidRPr="00ED144B">
              <w:rPr>
                <w:rFonts w:ascii="Calibri" w:hAnsi="Calibri" w:cs="Calibri"/>
                <w:b/>
                <w:bCs/>
                <w:sz w:val="20"/>
                <w:szCs w:val="20"/>
                <w:lang w:val="fr-FR"/>
              </w:rPr>
              <w:t>Date</w:t>
            </w:r>
          </w:p>
        </w:tc>
      </w:tr>
      <w:tr w:rsidR="00433B5E" w:rsidRPr="000D66EF" w:rsidTr="00ED144B">
        <w:trPr>
          <w:trHeight w:hRule="exact" w:val="288"/>
        </w:trPr>
        <w:tc>
          <w:tcPr>
            <w:tcW w:w="1513" w:type="dxa"/>
            <w:shd w:val="clear" w:color="auto" w:fill="auto"/>
            <w:vAlign w:val="center"/>
          </w:tcPr>
          <w:p w:rsidR="00433B5E" w:rsidRPr="00ED144B" w:rsidRDefault="00433B5E" w:rsidP="00ED144B">
            <w:pPr>
              <w:spacing w:after="0"/>
              <w:jc w:val="both"/>
              <w:rPr>
                <w:rFonts w:ascii="Calibri" w:hAnsi="Calibri" w:cs="Calibri"/>
                <w:b/>
                <w:sz w:val="20"/>
                <w:szCs w:val="20"/>
                <w:lang w:val="fr-CD"/>
              </w:rPr>
            </w:pPr>
            <w:r w:rsidRPr="00ED144B">
              <w:rPr>
                <w:rFonts w:ascii="Calibri" w:hAnsi="Calibri" w:cs="Calibri"/>
                <w:b/>
                <w:sz w:val="20"/>
                <w:szCs w:val="20"/>
                <w:lang w:val="fr-CD"/>
              </w:rPr>
              <w:t>PIF</w:t>
            </w:r>
          </w:p>
        </w:tc>
        <w:tc>
          <w:tcPr>
            <w:tcW w:w="1601" w:type="dxa"/>
            <w:shd w:val="clear" w:color="auto" w:fill="auto"/>
            <w:vAlign w:val="center"/>
          </w:tcPr>
          <w:p w:rsidR="00433B5E" w:rsidRPr="00ED144B" w:rsidRDefault="000D66EF" w:rsidP="00ED144B">
            <w:pPr>
              <w:spacing w:after="0"/>
              <w:jc w:val="both"/>
              <w:rPr>
                <w:rFonts w:ascii="Calibri" w:hAnsi="Calibri" w:cs="Calibri"/>
                <w:sz w:val="20"/>
                <w:szCs w:val="20"/>
              </w:rPr>
            </w:pPr>
            <w:r w:rsidRPr="000D66EF">
              <w:rPr>
                <w:rFonts w:ascii="Calibri" w:hAnsi="Calibri" w:cs="Calibri"/>
                <w:sz w:val="20"/>
                <w:szCs w:val="20"/>
              </w:rPr>
              <w:t>Coordonnateur</w:t>
            </w:r>
          </w:p>
          <w:p w:rsidR="00433B5E" w:rsidRPr="00ED144B" w:rsidRDefault="00433B5E" w:rsidP="00ED144B">
            <w:pPr>
              <w:spacing w:after="0"/>
              <w:jc w:val="both"/>
              <w:rPr>
                <w:rFonts w:ascii="Calibri" w:hAnsi="Calibri" w:cs="Calibri"/>
                <w:sz w:val="20"/>
                <w:szCs w:val="20"/>
              </w:rPr>
            </w:pPr>
          </w:p>
        </w:tc>
        <w:tc>
          <w:tcPr>
            <w:tcW w:w="2707"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r w:rsidRPr="00ED144B">
              <w:rPr>
                <w:rFonts w:ascii="Calibri" w:hAnsi="Calibri" w:cs="Calibri"/>
                <w:bCs/>
                <w:sz w:val="20"/>
                <w:szCs w:val="20"/>
                <w:lang w:val="fr-FR"/>
              </w:rPr>
              <w:t>Clément Vangu-Lutete</w:t>
            </w:r>
          </w:p>
        </w:tc>
        <w:tc>
          <w:tcPr>
            <w:tcW w:w="1993"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c>
          <w:tcPr>
            <w:tcW w:w="1458"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r>
      <w:tr w:rsidR="00433B5E" w:rsidRPr="000D66EF" w:rsidTr="00ED144B">
        <w:trPr>
          <w:trHeight w:hRule="exact" w:val="288"/>
        </w:trPr>
        <w:tc>
          <w:tcPr>
            <w:tcW w:w="1513" w:type="dxa"/>
            <w:shd w:val="clear" w:color="auto" w:fill="auto"/>
            <w:vAlign w:val="center"/>
          </w:tcPr>
          <w:p w:rsidR="00433B5E" w:rsidRPr="00ED144B" w:rsidRDefault="00433B5E" w:rsidP="00ED144B">
            <w:pPr>
              <w:spacing w:after="0"/>
              <w:jc w:val="both"/>
              <w:rPr>
                <w:rFonts w:ascii="Calibri" w:hAnsi="Calibri" w:cs="Calibri"/>
                <w:b/>
                <w:sz w:val="20"/>
                <w:szCs w:val="20"/>
                <w:lang w:val="fr-CD"/>
              </w:rPr>
            </w:pPr>
            <w:r w:rsidRPr="00ED144B">
              <w:rPr>
                <w:rFonts w:ascii="Calibri" w:hAnsi="Calibri" w:cs="Calibri"/>
                <w:b/>
                <w:sz w:val="20"/>
                <w:szCs w:val="20"/>
                <w:lang w:val="fr-CD"/>
              </w:rPr>
              <w:t xml:space="preserve">CLD </w:t>
            </w:r>
          </w:p>
        </w:tc>
        <w:tc>
          <w:tcPr>
            <w:tcW w:w="1601" w:type="dxa"/>
            <w:shd w:val="clear" w:color="auto" w:fill="auto"/>
            <w:vAlign w:val="center"/>
          </w:tcPr>
          <w:p w:rsidR="00433B5E" w:rsidRPr="00ED144B" w:rsidRDefault="00433B5E" w:rsidP="00ED144B">
            <w:pPr>
              <w:spacing w:after="0"/>
              <w:jc w:val="both"/>
              <w:rPr>
                <w:rFonts w:ascii="Calibri" w:hAnsi="Calibri" w:cs="Calibri"/>
                <w:sz w:val="20"/>
                <w:szCs w:val="20"/>
                <w:lang w:val="fr-CD"/>
              </w:rPr>
            </w:pPr>
            <w:r w:rsidRPr="00ED144B">
              <w:rPr>
                <w:rFonts w:ascii="Calibri" w:hAnsi="Calibri" w:cs="Calibri"/>
                <w:sz w:val="20"/>
                <w:szCs w:val="20"/>
                <w:lang w:val="fr-CD"/>
              </w:rPr>
              <w:t xml:space="preserve">Président </w:t>
            </w:r>
          </w:p>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c>
          <w:tcPr>
            <w:tcW w:w="2707"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r w:rsidRPr="00ED144B">
              <w:rPr>
                <w:rFonts w:ascii="Calibri" w:hAnsi="Calibri" w:cs="Calibri"/>
                <w:sz w:val="20"/>
                <w:szCs w:val="20"/>
                <w:lang w:val="fr-FR"/>
              </w:rPr>
              <w:t>…….</w:t>
            </w:r>
          </w:p>
        </w:tc>
        <w:tc>
          <w:tcPr>
            <w:tcW w:w="1993"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c>
          <w:tcPr>
            <w:tcW w:w="1458"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r>
      <w:tr w:rsidR="00433B5E" w:rsidRPr="000D66EF" w:rsidTr="00ED144B">
        <w:trPr>
          <w:trHeight w:hRule="exact" w:val="288"/>
        </w:trPr>
        <w:tc>
          <w:tcPr>
            <w:tcW w:w="1513" w:type="dxa"/>
            <w:shd w:val="clear" w:color="auto" w:fill="auto"/>
            <w:vAlign w:val="center"/>
          </w:tcPr>
          <w:p w:rsidR="00433B5E" w:rsidRPr="00ED144B" w:rsidRDefault="00433B5E" w:rsidP="00ED144B">
            <w:pPr>
              <w:spacing w:after="0"/>
              <w:jc w:val="both"/>
              <w:rPr>
                <w:rFonts w:ascii="Calibri" w:hAnsi="Calibri" w:cs="Calibri"/>
                <w:b/>
                <w:sz w:val="20"/>
                <w:szCs w:val="20"/>
                <w:lang w:val="fr-CD"/>
              </w:rPr>
            </w:pPr>
            <w:r w:rsidRPr="00ED144B">
              <w:rPr>
                <w:rFonts w:ascii="Calibri" w:hAnsi="Calibri" w:cs="Calibri"/>
                <w:b/>
                <w:sz w:val="20"/>
                <w:szCs w:val="20"/>
                <w:lang w:val="fr-CD"/>
              </w:rPr>
              <w:t xml:space="preserve">CLD </w:t>
            </w:r>
          </w:p>
        </w:tc>
        <w:tc>
          <w:tcPr>
            <w:tcW w:w="1601" w:type="dxa"/>
            <w:shd w:val="clear" w:color="auto" w:fill="auto"/>
            <w:vAlign w:val="center"/>
          </w:tcPr>
          <w:p w:rsidR="00433B5E" w:rsidRPr="00ED144B" w:rsidRDefault="00433B5E" w:rsidP="00ED144B">
            <w:pPr>
              <w:spacing w:after="0"/>
              <w:jc w:val="both"/>
              <w:rPr>
                <w:rFonts w:ascii="Calibri" w:hAnsi="Calibri" w:cs="Calibri"/>
                <w:sz w:val="20"/>
                <w:szCs w:val="20"/>
                <w:lang w:val="fr-CD"/>
              </w:rPr>
            </w:pPr>
            <w:r w:rsidRPr="00ED144B">
              <w:rPr>
                <w:rFonts w:ascii="Calibri" w:hAnsi="Calibri" w:cs="Calibri"/>
                <w:sz w:val="20"/>
                <w:szCs w:val="20"/>
                <w:lang w:val="fr-CD"/>
              </w:rPr>
              <w:t xml:space="preserve">Secrétaire </w:t>
            </w:r>
          </w:p>
          <w:p w:rsidR="00433B5E" w:rsidRPr="00ED144B" w:rsidRDefault="00433B5E" w:rsidP="00ED144B">
            <w:pPr>
              <w:spacing w:after="0"/>
              <w:jc w:val="both"/>
              <w:rPr>
                <w:rFonts w:ascii="Calibri" w:hAnsi="Calibri" w:cs="Calibri"/>
                <w:sz w:val="20"/>
                <w:szCs w:val="20"/>
                <w:lang w:val="fr-CD"/>
              </w:rPr>
            </w:pPr>
          </w:p>
        </w:tc>
        <w:tc>
          <w:tcPr>
            <w:tcW w:w="2707"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r w:rsidRPr="00ED144B">
              <w:rPr>
                <w:rFonts w:ascii="Calibri" w:hAnsi="Calibri" w:cs="Calibri"/>
                <w:sz w:val="20"/>
                <w:szCs w:val="20"/>
                <w:lang w:val="fr-FR"/>
              </w:rPr>
              <w:t>…….</w:t>
            </w:r>
          </w:p>
        </w:tc>
        <w:tc>
          <w:tcPr>
            <w:tcW w:w="1993"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c>
          <w:tcPr>
            <w:tcW w:w="1458"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r>
      <w:tr w:rsidR="00433B5E" w:rsidRPr="000D66EF" w:rsidTr="00ED144B">
        <w:trPr>
          <w:trHeight w:hRule="exact" w:val="288"/>
        </w:trPr>
        <w:tc>
          <w:tcPr>
            <w:tcW w:w="1513" w:type="dxa"/>
            <w:shd w:val="clear" w:color="auto" w:fill="auto"/>
            <w:vAlign w:val="center"/>
          </w:tcPr>
          <w:p w:rsidR="00433B5E" w:rsidRPr="00ED144B" w:rsidRDefault="00433B5E" w:rsidP="00ED144B">
            <w:pPr>
              <w:spacing w:after="0"/>
              <w:jc w:val="both"/>
              <w:rPr>
                <w:rFonts w:ascii="Calibri" w:hAnsi="Calibri" w:cs="Calibri"/>
                <w:b/>
                <w:sz w:val="20"/>
                <w:szCs w:val="20"/>
                <w:lang w:val="fr-CD"/>
              </w:rPr>
            </w:pPr>
            <w:r w:rsidRPr="00ED144B">
              <w:rPr>
                <w:rFonts w:ascii="Calibri" w:hAnsi="Calibri" w:cs="Calibri"/>
                <w:b/>
                <w:sz w:val="20"/>
                <w:szCs w:val="20"/>
                <w:lang w:val="fr-CD"/>
              </w:rPr>
              <w:t>CLD</w:t>
            </w:r>
          </w:p>
        </w:tc>
        <w:tc>
          <w:tcPr>
            <w:tcW w:w="1601" w:type="dxa"/>
            <w:shd w:val="clear" w:color="auto" w:fill="auto"/>
            <w:vAlign w:val="center"/>
          </w:tcPr>
          <w:p w:rsidR="00433B5E" w:rsidRPr="00ED144B" w:rsidRDefault="00433B5E" w:rsidP="00ED144B">
            <w:pPr>
              <w:spacing w:after="0"/>
              <w:jc w:val="both"/>
              <w:rPr>
                <w:rFonts w:ascii="Calibri" w:hAnsi="Calibri" w:cs="Calibri"/>
                <w:sz w:val="20"/>
                <w:szCs w:val="20"/>
                <w:lang w:val="fr-CD"/>
              </w:rPr>
            </w:pPr>
            <w:r w:rsidRPr="00ED144B">
              <w:rPr>
                <w:rFonts w:ascii="Calibri" w:hAnsi="Calibri" w:cs="Calibri"/>
                <w:sz w:val="20"/>
                <w:szCs w:val="20"/>
                <w:lang w:val="fr-CD"/>
              </w:rPr>
              <w:t>Conseiller</w:t>
            </w:r>
          </w:p>
        </w:tc>
        <w:tc>
          <w:tcPr>
            <w:tcW w:w="2707"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sz w:val="20"/>
                <w:szCs w:val="20"/>
                <w:lang w:val="fr-FR"/>
              </w:rPr>
            </w:pPr>
            <w:r w:rsidRPr="00ED144B">
              <w:rPr>
                <w:rFonts w:ascii="Calibri" w:hAnsi="Calibri" w:cs="Calibri"/>
                <w:sz w:val="20"/>
                <w:szCs w:val="20"/>
                <w:lang w:val="fr-FR"/>
              </w:rPr>
              <w:t>…….</w:t>
            </w:r>
          </w:p>
        </w:tc>
        <w:tc>
          <w:tcPr>
            <w:tcW w:w="1993"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c>
          <w:tcPr>
            <w:tcW w:w="1458" w:type="dxa"/>
            <w:shd w:val="clear" w:color="auto" w:fill="auto"/>
          </w:tcPr>
          <w:p w:rsidR="00433B5E" w:rsidRPr="00ED144B" w:rsidRDefault="00433B5E" w:rsidP="00ED144B">
            <w:pPr>
              <w:pStyle w:val="NormalWeb"/>
              <w:spacing w:before="0" w:beforeAutospacing="0" w:after="0" w:afterAutospacing="0"/>
              <w:jc w:val="both"/>
              <w:rPr>
                <w:rFonts w:ascii="Calibri" w:hAnsi="Calibri" w:cs="Calibri"/>
                <w:bCs/>
                <w:sz w:val="20"/>
                <w:szCs w:val="20"/>
                <w:lang w:val="fr-FR"/>
              </w:rPr>
            </w:pPr>
          </w:p>
        </w:tc>
      </w:tr>
    </w:tbl>
    <w:p w:rsidR="000D66EF" w:rsidRDefault="000D66EF" w:rsidP="00ED144B">
      <w:pPr>
        <w:spacing w:after="0"/>
        <w:jc w:val="both"/>
        <w:rPr>
          <w:rFonts w:ascii="Calibri" w:hAnsi="Calibri" w:cs="Calibri"/>
          <w:b/>
          <w:sz w:val="20"/>
          <w:szCs w:val="20"/>
        </w:rPr>
      </w:pPr>
    </w:p>
    <w:p w:rsidR="000D66EF" w:rsidRDefault="000D66EF" w:rsidP="00ED144B">
      <w:pPr>
        <w:spacing w:after="0"/>
        <w:jc w:val="both"/>
        <w:rPr>
          <w:rFonts w:ascii="Calibri" w:hAnsi="Calibri" w:cs="Calibri"/>
          <w:b/>
          <w:sz w:val="20"/>
          <w:szCs w:val="20"/>
        </w:rPr>
      </w:pPr>
    </w:p>
    <w:p w:rsidR="000D66EF" w:rsidRDefault="000D66EF" w:rsidP="00ED144B">
      <w:pPr>
        <w:spacing w:after="0"/>
        <w:jc w:val="both"/>
        <w:rPr>
          <w:rFonts w:ascii="Calibri" w:hAnsi="Calibri" w:cs="Calibri"/>
          <w:b/>
          <w:sz w:val="20"/>
          <w:szCs w:val="20"/>
        </w:rPr>
      </w:pPr>
    </w:p>
    <w:p w:rsidR="00433B5E" w:rsidRPr="00ED144B" w:rsidRDefault="00433B5E" w:rsidP="00ED144B">
      <w:pPr>
        <w:spacing w:after="0"/>
        <w:jc w:val="both"/>
        <w:rPr>
          <w:rFonts w:ascii="Calibri" w:hAnsi="Calibri" w:cs="Calibri"/>
          <w:b/>
          <w:sz w:val="20"/>
          <w:szCs w:val="20"/>
        </w:rPr>
      </w:pPr>
      <w:r w:rsidRPr="00ED144B">
        <w:rPr>
          <w:rFonts w:ascii="Calibri" w:hAnsi="Calibri" w:cs="Calibri"/>
          <w:b/>
          <w:sz w:val="20"/>
          <w:szCs w:val="20"/>
        </w:rPr>
        <w:t>ANNEXES</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Modèle PV d’achat de plantules</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 xml:space="preserve">Modèle Fiche de suivi de la pépinière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 xml:space="preserve">Modèle Fiche de suivi de la plantation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 xml:space="preserve">Modèle liste de planteurs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Accord de collaboration entre le WWF et le CLD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 xml:space="preserve">Protocole concernant la gestion de ressources naturelles du fait du projet </w:t>
      </w:r>
      <w:r w:rsidRPr="000D66EF">
        <w:rPr>
          <w:rFonts w:ascii="Calibri" w:hAnsi="Calibri" w:cs="Calibri"/>
          <w:color w:val="222222"/>
          <w:sz w:val="20"/>
          <w:szCs w:val="20"/>
        </w:rPr>
        <w:t>PIREDD Plateau</w:t>
      </w:r>
      <w:r w:rsidRPr="00ED144B">
        <w:rPr>
          <w:rFonts w:ascii="Calibri" w:hAnsi="Calibri" w:cs="Calibri"/>
          <w:color w:val="222222"/>
          <w:sz w:val="20"/>
          <w:szCs w:val="20"/>
        </w:rPr>
        <w:t>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Statuts de CLD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 xml:space="preserve">Le Règlement d'Ordre </w:t>
      </w:r>
      <w:r w:rsidR="000D66EF" w:rsidRPr="000D66EF">
        <w:rPr>
          <w:rFonts w:ascii="Calibri" w:hAnsi="Calibri" w:cs="Calibri"/>
          <w:color w:val="222222"/>
          <w:sz w:val="20"/>
          <w:szCs w:val="20"/>
        </w:rPr>
        <w:t>Intérieur</w:t>
      </w:r>
      <w:r w:rsidRPr="00ED144B">
        <w:rPr>
          <w:rFonts w:ascii="Calibri" w:hAnsi="Calibri" w:cs="Calibri"/>
          <w:color w:val="222222"/>
          <w:sz w:val="20"/>
          <w:szCs w:val="20"/>
        </w:rPr>
        <w:t xml:space="preserve"> de CLD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Autorisation de fonctionnement de CLD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Carte occupation de sol de terroir ;</w:t>
      </w:r>
    </w:p>
    <w:p w:rsidR="00433B5E" w:rsidRPr="00ED144B" w:rsidRDefault="00433B5E" w:rsidP="002E3A02">
      <w:pPr>
        <w:numPr>
          <w:ilvl w:val="0"/>
          <w:numId w:val="70"/>
        </w:numPr>
        <w:shd w:val="clear" w:color="auto" w:fill="FFFFFF"/>
        <w:spacing w:after="0" w:line="240" w:lineRule="auto"/>
        <w:jc w:val="both"/>
        <w:rPr>
          <w:rFonts w:ascii="Calibri" w:hAnsi="Calibri" w:cs="Calibri"/>
          <w:color w:val="222222"/>
          <w:sz w:val="20"/>
          <w:szCs w:val="20"/>
        </w:rPr>
      </w:pPr>
      <w:r w:rsidRPr="00ED144B">
        <w:rPr>
          <w:rFonts w:ascii="Calibri" w:hAnsi="Calibri" w:cs="Calibri"/>
          <w:color w:val="222222"/>
          <w:sz w:val="20"/>
          <w:szCs w:val="20"/>
        </w:rPr>
        <w:t>Actes de cession de terre</w:t>
      </w:r>
      <w:r w:rsidR="000D66EF">
        <w:rPr>
          <w:rFonts w:ascii="Calibri" w:hAnsi="Calibri" w:cs="Calibri"/>
          <w:color w:val="222222"/>
          <w:sz w:val="20"/>
          <w:szCs w:val="20"/>
        </w:rPr>
        <w:t>.</w:t>
      </w:r>
    </w:p>
    <w:p w:rsidR="00433B5E" w:rsidRPr="00D94F69" w:rsidRDefault="00433B5E" w:rsidP="00ED144B">
      <w:pPr>
        <w:spacing w:after="0"/>
        <w:rPr>
          <w:rFonts w:ascii="Calibri" w:hAnsi="Calibri" w:cs="Calibri"/>
          <w:b/>
          <w:bCs/>
          <w:color w:val="000000"/>
          <w:szCs w:val="24"/>
          <w:u w:val="single"/>
        </w:rPr>
      </w:pPr>
    </w:p>
    <w:p w:rsidR="00F47E90" w:rsidRDefault="00F47E90">
      <w:pPr>
        <w:spacing w:after="160" w:line="259" w:lineRule="auto"/>
      </w:pPr>
      <w:r>
        <w:br w:type="page"/>
      </w:r>
    </w:p>
    <w:p w:rsidR="00F47E90" w:rsidRDefault="00F47E90" w:rsidP="00F47E90">
      <w:pPr>
        <w:spacing w:after="120"/>
        <w:rPr>
          <w:b/>
          <w:color w:val="2E74B5" w:themeColor="accent1" w:themeShade="BF"/>
        </w:rPr>
      </w:pPr>
      <w:r>
        <w:rPr>
          <w:b/>
          <w:color w:val="2E74B5" w:themeColor="accent1" w:themeShade="BF"/>
        </w:rPr>
        <w:lastRenderedPageBreak/>
        <w:t>ANNEXE 9 - N</w:t>
      </w:r>
      <w:r w:rsidRPr="00F47E90">
        <w:rPr>
          <w:b/>
          <w:color w:val="2E74B5" w:themeColor="accent1" w:themeShade="BF"/>
        </w:rPr>
        <w:t xml:space="preserve">ote portant sur les relations entre les partenaires de mise en œuvre et le </w:t>
      </w:r>
      <w:r w:rsidR="002E3A02" w:rsidRPr="00F47E90">
        <w:rPr>
          <w:b/>
          <w:color w:val="2E74B5" w:themeColor="accent1" w:themeShade="BF"/>
        </w:rPr>
        <w:t>FONAREDD</w:t>
      </w:r>
      <w:r w:rsidRPr="00F47E90">
        <w:rPr>
          <w:b/>
          <w:color w:val="2E74B5" w:themeColor="accent1" w:themeShade="BF"/>
        </w:rPr>
        <w:t xml:space="preserve"> concernant le suivi et évaluation transparent des programmes</w:t>
      </w:r>
    </w:p>
    <w:p w:rsidR="002E3A02" w:rsidRPr="002E3A02" w:rsidRDefault="002E3A02" w:rsidP="00F47E90">
      <w:pPr>
        <w:spacing w:after="120"/>
        <w:rPr>
          <w:rFonts w:asciiTheme="majorHAnsi" w:eastAsiaTheme="minorHAnsi" w:hAnsiTheme="majorHAnsi"/>
          <w:b/>
          <w:sz w:val="28"/>
          <w:szCs w:val="28"/>
          <w:lang w:eastAsia="en-US"/>
        </w:rPr>
      </w:pPr>
    </w:p>
    <w:p w:rsidR="00F47E90" w:rsidRPr="00F47E90" w:rsidRDefault="00F47E90" w:rsidP="00F47E90">
      <w:pPr>
        <w:spacing w:after="120"/>
        <w:rPr>
          <w:rFonts w:asciiTheme="majorHAnsi" w:eastAsiaTheme="minorHAnsi" w:hAnsiTheme="majorHAnsi"/>
          <w:b/>
          <w:sz w:val="28"/>
          <w:szCs w:val="28"/>
          <w:lang w:eastAsia="en-US"/>
        </w:rPr>
      </w:pPr>
      <w:r w:rsidRPr="00F47E90">
        <w:rPr>
          <w:rFonts w:asciiTheme="majorHAnsi" w:eastAsiaTheme="minorHAnsi" w:hAnsiTheme="majorHAnsi"/>
          <w:noProof/>
          <w:sz w:val="24"/>
          <w:szCs w:val="24"/>
        </w:rPr>
        <w:drawing>
          <wp:anchor distT="0" distB="0" distL="114300" distR="114300" simplePos="0" relativeHeight="251679744" behindDoc="0" locked="0" layoutInCell="1" allowOverlap="1">
            <wp:simplePos x="0" y="0"/>
            <wp:positionH relativeFrom="margin">
              <wp:align>left</wp:align>
            </wp:positionH>
            <wp:positionV relativeFrom="paragraph">
              <wp:posOffset>9525</wp:posOffset>
            </wp:positionV>
            <wp:extent cx="1562100" cy="666750"/>
            <wp:effectExtent l="0" t="0" r="0" b="0"/>
            <wp:wrapSquare wrapText="bothSides"/>
            <wp:docPr id="4" name="Image 1" descr="C:\Users\leslie.ouarzazi\Downloads\DRC REDD logo Fr Fina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ouarzazi\Downloads\DRC REDD logo Fr Final CMYK.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anchor>
        </w:drawing>
      </w:r>
    </w:p>
    <w:p w:rsidR="00F47E90" w:rsidRPr="00F47E90" w:rsidRDefault="00F47E90" w:rsidP="00F47E90">
      <w:pPr>
        <w:spacing w:after="120"/>
        <w:rPr>
          <w:rFonts w:asciiTheme="majorHAnsi" w:eastAsiaTheme="minorHAnsi" w:hAnsiTheme="majorHAnsi"/>
          <w:b/>
          <w:sz w:val="28"/>
          <w:szCs w:val="28"/>
          <w:lang w:eastAsia="en-US"/>
        </w:rPr>
      </w:pPr>
    </w:p>
    <w:p w:rsidR="00F47E90" w:rsidRPr="00F47E90" w:rsidRDefault="00F47E90" w:rsidP="00F47E90">
      <w:pPr>
        <w:spacing w:after="120"/>
        <w:rPr>
          <w:rFonts w:asciiTheme="majorHAnsi" w:eastAsiaTheme="minorHAnsi" w:hAnsiTheme="majorHAnsi"/>
          <w:b/>
          <w:sz w:val="28"/>
          <w:szCs w:val="28"/>
          <w:lang w:eastAsia="en-US"/>
        </w:rPr>
      </w:pPr>
    </w:p>
    <w:p w:rsidR="00F47E90" w:rsidRPr="00F47E90" w:rsidRDefault="00F47E90" w:rsidP="002E3A02">
      <w:pPr>
        <w:spacing w:after="120"/>
        <w:rPr>
          <w:rFonts w:asciiTheme="majorHAnsi" w:eastAsiaTheme="minorHAnsi" w:hAnsiTheme="majorHAnsi"/>
          <w:b/>
          <w:sz w:val="28"/>
          <w:szCs w:val="28"/>
          <w:lang w:eastAsia="en-US"/>
        </w:rPr>
      </w:pPr>
      <w:r w:rsidRPr="00F47E90">
        <w:rPr>
          <w:rFonts w:asciiTheme="majorHAnsi" w:eastAsiaTheme="minorHAnsi" w:hAnsiTheme="majorHAnsi"/>
          <w:b/>
          <w:sz w:val="28"/>
          <w:szCs w:val="28"/>
          <w:lang w:eastAsia="en-US"/>
        </w:rPr>
        <w:t xml:space="preserve">NOTE PORTANT SUR LES RELATIONS ENTRE LES PARTENAIRES DE MISE EN ŒUVRE ET LE FONAREDD CONCERNANT LE SUIVI ET EVALUATION TRANSPARENT DES PROGRAMMES </w:t>
      </w:r>
    </w:p>
    <w:p w:rsidR="00F47E90" w:rsidRPr="00F47E90" w:rsidRDefault="00F47E90" w:rsidP="00F47E90">
      <w:pPr>
        <w:spacing w:after="120"/>
        <w:jc w:val="both"/>
        <w:rPr>
          <w:rFonts w:eastAsiaTheme="minorHAnsi"/>
          <w:sz w:val="20"/>
          <w:szCs w:val="20"/>
          <w:lang w:eastAsia="en-US"/>
        </w:rPr>
      </w:pPr>
      <w:r w:rsidRPr="00F47E90">
        <w:rPr>
          <w:rFonts w:eastAsiaTheme="minorHAnsi"/>
          <w:sz w:val="20"/>
          <w:szCs w:val="20"/>
          <w:lang w:eastAsia="en-US"/>
        </w:rPr>
        <w:t>Les éléments de cette note ou cette note elle-même doivent être intégrés dans les documents de programme</w:t>
      </w:r>
      <w:r w:rsidRPr="00F47E90">
        <w:rPr>
          <w:rFonts w:eastAsiaTheme="minorHAnsi"/>
          <w:sz w:val="20"/>
          <w:szCs w:val="20"/>
          <w:vertAlign w:val="superscript"/>
          <w:lang w:eastAsia="en-US"/>
        </w:rPr>
        <w:footnoteReference w:id="64"/>
      </w:r>
      <w:r w:rsidRPr="00F47E90">
        <w:rPr>
          <w:rFonts w:eastAsiaTheme="minorHAnsi"/>
          <w:sz w:val="20"/>
          <w:szCs w:val="20"/>
          <w:lang w:eastAsia="en-US"/>
        </w:rPr>
        <w:t xml:space="preserve"> avant transmission dudit document par le Président du Comité de Pilotage à l’Agent Administratif du Fonds National REDD+ pour demande de décaissement. </w:t>
      </w:r>
    </w:p>
    <w:p w:rsidR="00F47E90" w:rsidRPr="00F47E90" w:rsidRDefault="00F47E90" w:rsidP="00F47E90">
      <w:pPr>
        <w:spacing w:after="120"/>
        <w:jc w:val="both"/>
        <w:rPr>
          <w:rFonts w:eastAsiaTheme="minorHAnsi"/>
          <w:sz w:val="28"/>
          <w:szCs w:val="28"/>
          <w:lang w:eastAsia="en-US"/>
        </w:rPr>
      </w:pPr>
      <w:r w:rsidRPr="00F47E90">
        <w:rPr>
          <w:rFonts w:eastAsiaTheme="minorHAnsi"/>
          <w:sz w:val="28"/>
          <w:szCs w:val="28"/>
          <w:lang w:eastAsia="en-US"/>
        </w:rPr>
        <w:t>Responsabilités des partenaires de mise en œuvre</w:t>
      </w:r>
    </w:p>
    <w:p w:rsidR="00F47E90" w:rsidRPr="00F47E90" w:rsidRDefault="00F47E90" w:rsidP="002E3A02">
      <w:pPr>
        <w:numPr>
          <w:ilvl w:val="0"/>
          <w:numId w:val="75"/>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Le Fonds National REDD+ de la RDC s’efforce à produire des rapports axés sur les résultats. Les agences transmettent des </w:t>
      </w:r>
      <w:r w:rsidRPr="00F47E90">
        <w:rPr>
          <w:rFonts w:eastAsiaTheme="minorHAnsi"/>
          <w:b/>
          <w:sz w:val="20"/>
          <w:szCs w:val="20"/>
          <w:u w:val="single"/>
          <w:lang w:eastAsia="en-US"/>
        </w:rPr>
        <w:t>rapports semestriels et annuels (</w:t>
      </w:r>
      <w:r w:rsidRPr="00F47E90">
        <w:rPr>
          <w:rFonts w:eastAsiaTheme="minorHAnsi"/>
          <w:b/>
          <w:sz w:val="20"/>
          <w:szCs w:val="20"/>
          <w:u w:val="single"/>
          <w:vertAlign w:val="superscript"/>
          <w:lang w:eastAsia="en-US"/>
        </w:rPr>
        <w:footnoteReference w:id="65"/>
      </w:r>
      <w:r w:rsidRPr="00F47E90">
        <w:rPr>
          <w:rFonts w:eastAsiaTheme="minorHAnsi"/>
          <w:b/>
          <w:sz w:val="20"/>
          <w:szCs w:val="20"/>
          <w:u w:val="single"/>
          <w:lang w:eastAsia="en-US"/>
        </w:rPr>
        <w:t>)</w:t>
      </w:r>
      <w:r w:rsidRPr="00F47E90">
        <w:rPr>
          <w:rFonts w:eastAsiaTheme="minorHAnsi"/>
          <w:sz w:val="20"/>
          <w:szCs w:val="20"/>
          <w:lang w:eastAsia="en-US"/>
        </w:rPr>
        <w:t xml:space="preserve"> au FONAREDD qui les publie sur son site. Le rapport d'avancement de chaque programme doit décrire la façon dont les activités ont contribué à la réalisation de résultats immédiats (à court terme) pendant la période considérée, et si ces résultats immédiats contribuent collectivement à la réalisation des effets escomptés convenus dans le Plan d’Investissement, dans la Lettre d’Intention signée avec CAFI (jalons) et dans le cadre de résultat spécifique du Programme.</w:t>
      </w:r>
    </w:p>
    <w:p w:rsidR="00F47E90" w:rsidRPr="00F47E90" w:rsidRDefault="00F47E90" w:rsidP="002E3A02">
      <w:pPr>
        <w:numPr>
          <w:ilvl w:val="0"/>
          <w:numId w:val="75"/>
        </w:numPr>
        <w:spacing w:after="120" w:line="259" w:lineRule="auto"/>
        <w:jc w:val="both"/>
        <w:rPr>
          <w:rFonts w:eastAsiaTheme="minorHAnsi"/>
          <w:sz w:val="20"/>
          <w:szCs w:val="20"/>
          <w:lang w:eastAsia="en-US"/>
        </w:rPr>
      </w:pPr>
      <w:r w:rsidRPr="00F47E90">
        <w:rPr>
          <w:rFonts w:eastAsiaTheme="minorHAnsi"/>
          <w:sz w:val="20"/>
          <w:szCs w:val="20"/>
          <w:lang w:eastAsia="en-US"/>
        </w:rPr>
        <w:t>les informations contenues dans les rapports annuels et semestriels préparés par les partenaires de mise en œuvre sont consolidés pour la préparation du Rapport annuel sur l’état d'avancement du Fonds soumis au Comité de Pilotage et aux contributeurs du FONAREDD.</w:t>
      </w:r>
    </w:p>
    <w:p w:rsidR="00F47E90" w:rsidRPr="00F47E90" w:rsidRDefault="00F47E90" w:rsidP="002E3A02">
      <w:pPr>
        <w:numPr>
          <w:ilvl w:val="0"/>
          <w:numId w:val="75"/>
        </w:numPr>
        <w:spacing w:after="120" w:line="259" w:lineRule="auto"/>
        <w:jc w:val="both"/>
        <w:rPr>
          <w:rFonts w:eastAsiaTheme="minorHAnsi"/>
          <w:sz w:val="20"/>
          <w:szCs w:val="20"/>
          <w:lang w:eastAsia="en-US"/>
        </w:rPr>
      </w:pPr>
      <w:r w:rsidRPr="00F47E90">
        <w:rPr>
          <w:rFonts w:eastAsiaTheme="minorHAnsi"/>
          <w:sz w:val="20"/>
          <w:szCs w:val="20"/>
          <w:lang w:eastAsia="en-US"/>
        </w:rPr>
        <w:t>les rapports semestriels contiennent les principaux résultats et leur contribution par rapport aux objectifs du programme en lien avec le Plan d’Investissement du Fonds et avec la LOI :</w:t>
      </w:r>
    </w:p>
    <w:p w:rsidR="00F47E90" w:rsidRPr="00F47E90" w:rsidRDefault="00F47E90" w:rsidP="002E3A02">
      <w:pPr>
        <w:numPr>
          <w:ilvl w:val="1"/>
          <w:numId w:val="75"/>
        </w:numPr>
        <w:spacing w:after="120" w:line="259" w:lineRule="auto"/>
        <w:jc w:val="both"/>
        <w:rPr>
          <w:rFonts w:eastAsiaTheme="minorHAnsi"/>
          <w:i/>
          <w:sz w:val="20"/>
          <w:szCs w:val="20"/>
          <w:u w:val="single"/>
          <w:lang w:eastAsia="en-US"/>
        </w:rPr>
      </w:pPr>
      <w:r w:rsidRPr="00F47E90">
        <w:rPr>
          <w:rFonts w:eastAsiaTheme="minorHAnsi"/>
          <w:i/>
          <w:sz w:val="20"/>
          <w:szCs w:val="20"/>
          <w:u w:val="single"/>
          <w:lang w:eastAsia="en-US"/>
        </w:rPr>
        <w:t>Présentation des réalisations les plus importantes du Programme au cours de la période considérée: il s’agira de :</w:t>
      </w:r>
    </w:p>
    <w:p w:rsidR="00F47E90" w:rsidRPr="00F47E90" w:rsidRDefault="00F47E90" w:rsidP="002E3A02">
      <w:pPr>
        <w:numPr>
          <w:ilvl w:val="2"/>
          <w:numId w:val="75"/>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Résumer les progrès accomplis par le programme par rapport aux effets/résultats prévus dans le Plan d’Investissement, vis-à-vis du ou des indicateur(s) pertinent(s) référés dans ces documents, ainsi qu’en référence aux indicateurs du CAFI ; Indiquer si les objectifs ont été atteints, ou bien expliquer tout écart dans les résultats obtenus par rapport aux prévisions au cours de la période considérée. </w:t>
      </w:r>
    </w:p>
    <w:p w:rsidR="00F47E90" w:rsidRPr="00F47E90" w:rsidRDefault="00F47E90" w:rsidP="002E3A02">
      <w:pPr>
        <w:numPr>
          <w:ilvl w:val="2"/>
          <w:numId w:val="75"/>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Indiquer les résultats immédiats obtenus pendant la période considérée, en faisant référence à/aux indicateur(s) pertinent (s) contenus dans le document de programme. Les résultats immédiats (livrables) sont les accomplissements dont votre programme est directement responsable. Indiquer si les objectifs ont été atteints, ou bien expliquer tout écart dans les résultats obtenus par rapport aux prévisions au cours de la période considérée. Inclure le taux d'achèvement ainsi que le type et le nombre de bénéficiaires. </w:t>
      </w:r>
    </w:p>
    <w:p w:rsidR="00F47E90" w:rsidRPr="00F47E90" w:rsidRDefault="00F47E90" w:rsidP="002E3A02">
      <w:pPr>
        <w:numPr>
          <w:ilvl w:val="2"/>
          <w:numId w:val="75"/>
        </w:numPr>
        <w:spacing w:after="120" w:line="259" w:lineRule="auto"/>
        <w:jc w:val="both"/>
        <w:rPr>
          <w:rFonts w:eastAsiaTheme="minorHAnsi"/>
          <w:sz w:val="20"/>
          <w:szCs w:val="20"/>
          <w:lang w:eastAsia="en-US"/>
        </w:rPr>
      </w:pPr>
      <w:r w:rsidRPr="00F47E90">
        <w:rPr>
          <w:rFonts w:eastAsiaTheme="minorHAnsi"/>
          <w:sz w:val="20"/>
          <w:szCs w:val="20"/>
          <w:lang w:eastAsia="en-US"/>
        </w:rPr>
        <w:lastRenderedPageBreak/>
        <w:t xml:space="preserve">Décrire tout retard dans la mise en œuvre, les défis, les leçons apprises et les bonnes pratiques : Au cas où il y a eu des retards, expliquer la nature des contraintes et des défis, des mesures prises pour atténuer les retards dans l'avenir et les leçons apprises au cours du processus. Fournir une analyse actualisée des risques (Est-ce que les risques identifiés lors de la conception du programme ont été matérialisés ou modifiés ? De nouveaux risques ont-ils été identifiés ?). Est-ce que des révisions programmatiques ont été conduites au cours de la période considérée, et si oui, pourquoi ? </w:t>
      </w:r>
    </w:p>
    <w:p w:rsidR="00F47E90" w:rsidRPr="00F47E90" w:rsidRDefault="00F47E90" w:rsidP="002E3A02">
      <w:pPr>
        <w:numPr>
          <w:ilvl w:val="2"/>
          <w:numId w:val="75"/>
        </w:numPr>
        <w:spacing w:after="120" w:line="259" w:lineRule="auto"/>
        <w:jc w:val="both"/>
        <w:rPr>
          <w:rFonts w:eastAsiaTheme="minorHAnsi"/>
          <w:sz w:val="20"/>
          <w:szCs w:val="20"/>
          <w:lang w:eastAsia="en-US"/>
        </w:rPr>
      </w:pPr>
      <w:r w:rsidRPr="00F47E90">
        <w:rPr>
          <w:rFonts w:eastAsiaTheme="minorHAnsi"/>
          <w:sz w:val="20"/>
          <w:szCs w:val="20"/>
          <w:lang w:eastAsia="en-US"/>
        </w:rPr>
        <w:t>En utilisant le Cadre de Résultats du document de programme, présenter les données quantitatives sur la réalisation des indicateurs au niveau des effets, et résultats (sous forme du tableau de cadre de résultats). Lorsqu'il n'a pas été possible de recueillir des données sur les indicateurs, en expliquer les raisons et fournir des explications détaillées sur la façon dont ces données vont être recueillies et les dates auxquelles ces données vont être renseignées.</w:t>
      </w:r>
    </w:p>
    <w:p w:rsidR="00F47E90" w:rsidRPr="00F47E90" w:rsidRDefault="00F47E90" w:rsidP="002E3A02">
      <w:pPr>
        <w:numPr>
          <w:ilvl w:val="1"/>
          <w:numId w:val="75"/>
        </w:numPr>
        <w:spacing w:after="120" w:line="259" w:lineRule="auto"/>
        <w:rPr>
          <w:rFonts w:eastAsiaTheme="minorHAnsi"/>
          <w:i/>
          <w:sz w:val="20"/>
          <w:szCs w:val="20"/>
          <w:u w:val="single"/>
          <w:lang w:eastAsia="en-US"/>
        </w:rPr>
      </w:pPr>
      <w:r w:rsidRPr="00F47E90">
        <w:rPr>
          <w:rFonts w:eastAsiaTheme="minorHAnsi"/>
          <w:i/>
          <w:sz w:val="20"/>
          <w:szCs w:val="20"/>
          <w:u w:val="single"/>
          <w:lang w:eastAsia="en-US"/>
        </w:rPr>
        <w:t>Les éléments financiers et de gestion :</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Mention et description des révisions budgétaires et de leur approbation par les Comités de pilotage du Programme ;</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 xml:space="preserve">Etats des engagements et des dépenses par activité et rubrique tel qu’approuvées dans le Plan de travail du programme ; </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 xml:space="preserve">état des besoins de réallocation des ressources si nécessaire, au-delà des niveaux de réallocation autorisés par les procédures propres des agences. Ces réallocations devront être validées par le Comité Technique du Fonaredd. </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Rapports d’audit du programme lorsque disponibles, incluant tout cas de mauvaises utilisations des ressources ;</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Etats de mise en place des structures de gestion des programmes, par exemple : point sur le recrutement du personnel et états de présence de celui-ci.</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 xml:space="preserve">et tous documents permettant d’apprécier les problèmes et solutions liés à la mise en œuvre financière et de gestion du programme. </w:t>
      </w:r>
    </w:p>
    <w:p w:rsidR="00F47E90" w:rsidRPr="00F47E90" w:rsidRDefault="00F47E90" w:rsidP="002E3A02">
      <w:pPr>
        <w:numPr>
          <w:ilvl w:val="1"/>
          <w:numId w:val="75"/>
        </w:numPr>
        <w:spacing w:after="120" w:line="259" w:lineRule="auto"/>
        <w:rPr>
          <w:rFonts w:eastAsiaTheme="minorHAnsi"/>
          <w:i/>
          <w:sz w:val="20"/>
          <w:szCs w:val="20"/>
          <w:u w:val="single"/>
          <w:lang w:eastAsia="en-US"/>
        </w:rPr>
      </w:pPr>
      <w:r w:rsidRPr="00F47E90">
        <w:rPr>
          <w:rFonts w:eastAsiaTheme="minorHAnsi"/>
          <w:i/>
          <w:sz w:val="20"/>
          <w:szCs w:val="20"/>
          <w:u w:val="single"/>
          <w:lang w:eastAsia="en-US"/>
        </w:rPr>
        <w:t>Les éléments permettant de suivre les aspects techniques en particulier :</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les instruments méthodologiques :, guides, formulaires, statuts, fiches techniques…</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les rapports de suivi évaluation et d’impact socio-environnemental</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 xml:space="preserve">les produits de capitalisation et de communication </w:t>
      </w:r>
    </w:p>
    <w:p w:rsidR="00F47E90" w:rsidRPr="00F47E90" w:rsidRDefault="00F47E90" w:rsidP="002E3A02">
      <w:pPr>
        <w:numPr>
          <w:ilvl w:val="2"/>
          <w:numId w:val="75"/>
        </w:numPr>
        <w:spacing w:after="120" w:line="259" w:lineRule="auto"/>
        <w:rPr>
          <w:rFonts w:eastAsiaTheme="minorHAnsi"/>
          <w:sz w:val="20"/>
          <w:szCs w:val="20"/>
          <w:lang w:eastAsia="en-US"/>
        </w:rPr>
      </w:pPr>
      <w:r w:rsidRPr="00F47E90">
        <w:rPr>
          <w:rFonts w:eastAsiaTheme="minorHAnsi"/>
          <w:sz w:val="20"/>
          <w:szCs w:val="20"/>
          <w:lang w:eastAsia="en-US"/>
        </w:rPr>
        <w:t>les indicateurs convenus renseignés (cadre de résultat)</w:t>
      </w:r>
    </w:p>
    <w:p w:rsidR="00F47E90" w:rsidRPr="00F47E90" w:rsidRDefault="00F47E90" w:rsidP="002E3A02">
      <w:pPr>
        <w:numPr>
          <w:ilvl w:val="1"/>
          <w:numId w:val="75"/>
        </w:numPr>
        <w:spacing w:after="120" w:line="259" w:lineRule="auto"/>
        <w:jc w:val="both"/>
        <w:rPr>
          <w:rFonts w:eastAsiaTheme="minorHAnsi"/>
          <w:i/>
          <w:sz w:val="20"/>
          <w:szCs w:val="20"/>
          <w:u w:val="single"/>
          <w:lang w:eastAsia="en-US"/>
        </w:rPr>
      </w:pPr>
      <w:r w:rsidRPr="00F47E90">
        <w:rPr>
          <w:rFonts w:eastAsiaTheme="minorHAnsi"/>
          <w:i/>
          <w:sz w:val="20"/>
          <w:szCs w:val="20"/>
          <w:u w:val="single"/>
          <w:lang w:eastAsia="en-US"/>
        </w:rPr>
        <w:t>Afin d’étayer les informations contenues dans ce rapport, joindre toute information complémentaire pertinente, y compris toute photographie, vidéo, rapport d’évaluation et étude menée/publiée.</w:t>
      </w:r>
    </w:p>
    <w:p w:rsidR="00F47E90" w:rsidRPr="00F47E90" w:rsidRDefault="00F47E90" w:rsidP="002E3A02">
      <w:pPr>
        <w:numPr>
          <w:ilvl w:val="1"/>
          <w:numId w:val="75"/>
        </w:numPr>
        <w:spacing w:after="120" w:line="259" w:lineRule="auto"/>
        <w:jc w:val="both"/>
        <w:rPr>
          <w:rFonts w:eastAsiaTheme="minorHAnsi"/>
          <w:i/>
          <w:sz w:val="20"/>
          <w:szCs w:val="20"/>
          <w:u w:val="single"/>
          <w:lang w:eastAsia="en-US"/>
        </w:rPr>
      </w:pPr>
      <w:r w:rsidRPr="00F47E90">
        <w:rPr>
          <w:rFonts w:eastAsiaTheme="minorHAnsi"/>
          <w:i/>
          <w:sz w:val="20"/>
          <w:szCs w:val="20"/>
          <w:u w:val="single"/>
          <w:lang w:eastAsia="en-US"/>
        </w:rPr>
        <w:t xml:space="preserve">les listes de présence des personnes ayant participé aux processus participatifs devront être joints aux rapports, y compris les photographies liées. </w:t>
      </w:r>
    </w:p>
    <w:p w:rsidR="00F47E90" w:rsidRPr="00F47E90" w:rsidRDefault="00F47E90" w:rsidP="00F47E90">
      <w:pPr>
        <w:spacing w:after="120"/>
        <w:jc w:val="both"/>
        <w:rPr>
          <w:rFonts w:eastAsiaTheme="minorHAnsi"/>
          <w:sz w:val="28"/>
          <w:szCs w:val="28"/>
          <w:lang w:eastAsia="en-US"/>
        </w:rPr>
      </w:pPr>
      <w:r w:rsidRPr="00F47E90">
        <w:rPr>
          <w:rFonts w:eastAsiaTheme="minorHAnsi"/>
          <w:sz w:val="28"/>
          <w:szCs w:val="28"/>
          <w:lang w:eastAsia="en-US"/>
        </w:rPr>
        <w:t>Responsabilités du FONAREDD</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t>Le Secrétariat Exécutif est invité comme membre au Comité de Pilotage des programmes financés par le Fonds.</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Le Secrétariat Exécutif du Fonds organise des réunions de coordination auxquelles les chefs de projet sont tenus de participer ainsi que les personnels du projet concernés. Les frais de participation à ces réunions sont à la charge des programmes/projets. </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lastRenderedPageBreak/>
        <w:t xml:space="preserve">Le Secrétariat Exécutif organise des ateliers destinés à élaborer les outils standardisés pour l’engagement des parties prenantes tel qu’indiqué dans la « feuille de route de la gestion participative des projets », ainsi que pour l’exécution des programmes, tels que les modalités et formulaires des Plans Simples de Gestion, les plans de développement, les contrats de Paiements pour Services Environnementaux etc. Les agences y participent, y présentent leurs outils s’ils en emploient déjà et s’engagent à employer les outils communs élaborés par les ateliers. </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les partenaires reçoivent des missions de suivi régulières du Secrétariat Exécutif du FONAREDD, aux fins d’informer le Comité Technique et le Comité de Pilotage sur les progrès réalisés. Ces missions sont effectuées de concert avec les chefs de projet et les experts concernés. </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Le Secrétariat Exécutif rédige annuellement et semestriellement un rapport consolidé d’avancement des programmes/projets dans lequel, sur la base des rapports et des missions de suivi, il attire l’attention des agences et des bailleurs sur les taux de réalisation, les retards éventuels et leurs causes. </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Sur la base des rapports reçus, de ses propres évaluations in situ ou d’informations provenant des partenaires et acteurs locaux, le Secrétariat du FONAREDD adresse des alertes aux agences dans le cas notamment où les rythmes de réalisation, d’acquisition de biens et de services, ou de paiements pour services environnementaux ne correspondent pas à la planification initiale, aux contrats, et vont avoir une répercussion sur l’atteinte des résultats du Plan d’Investissement. Ces alertes sont transmises au Comité Technique puis au COPIL dans la mesure où elles ne sont pas suivies d’effets jugés satisfaisants par le secrétariat exécutif. </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Les agences sont invitées en Comité Technique chaque fois que des retards importants se profilent afin de fournir des explications et indiquer les mesures qu’elles comptent prendre pour pallier ces retards. </w:t>
      </w:r>
    </w:p>
    <w:p w:rsidR="00F47E90" w:rsidRPr="00F47E90" w:rsidRDefault="00F47E90" w:rsidP="002E3A02">
      <w:pPr>
        <w:numPr>
          <w:ilvl w:val="0"/>
          <w:numId w:val="76"/>
        </w:numPr>
        <w:spacing w:after="120" w:line="259" w:lineRule="auto"/>
        <w:jc w:val="both"/>
        <w:rPr>
          <w:rFonts w:eastAsiaTheme="minorHAnsi"/>
          <w:sz w:val="20"/>
          <w:szCs w:val="20"/>
          <w:lang w:eastAsia="en-US"/>
        </w:rPr>
      </w:pPr>
      <w:r w:rsidRPr="00F47E90">
        <w:rPr>
          <w:rFonts w:eastAsiaTheme="minorHAnsi"/>
          <w:sz w:val="20"/>
          <w:szCs w:val="20"/>
          <w:lang w:eastAsia="en-US"/>
        </w:rPr>
        <w:t xml:space="preserve">Le Comité de Pilotage du Fonds National REDD+ reçoit les résumés de ces échanges et fournit ses orientations. </w:t>
      </w:r>
    </w:p>
    <w:p w:rsidR="002E3A02" w:rsidRDefault="002E3A02">
      <w:pPr>
        <w:spacing w:after="160" w:line="259" w:lineRule="auto"/>
        <w:rPr>
          <w:rFonts w:eastAsiaTheme="minorHAnsi"/>
          <w:sz w:val="20"/>
          <w:szCs w:val="20"/>
          <w:lang w:eastAsia="en-US"/>
        </w:rPr>
      </w:pPr>
      <w:r>
        <w:rPr>
          <w:rFonts w:eastAsiaTheme="minorHAnsi"/>
          <w:sz w:val="20"/>
          <w:szCs w:val="20"/>
          <w:lang w:eastAsia="en-US"/>
        </w:rPr>
        <w:br w:type="page"/>
      </w:r>
    </w:p>
    <w:p w:rsidR="002E3A02" w:rsidRDefault="002E3A02" w:rsidP="002E3A02">
      <w:pPr>
        <w:rPr>
          <w:b/>
          <w:color w:val="2E74B5" w:themeColor="accent1" w:themeShade="BF"/>
        </w:rPr>
      </w:pPr>
      <w:r>
        <w:rPr>
          <w:b/>
          <w:color w:val="2E74B5" w:themeColor="accent1" w:themeShade="BF"/>
        </w:rPr>
        <w:lastRenderedPageBreak/>
        <w:t xml:space="preserve">ANNEXE 10 - </w:t>
      </w:r>
      <w:r w:rsidRPr="002E3A02">
        <w:rPr>
          <w:b/>
          <w:color w:val="2E74B5" w:themeColor="accent1" w:themeShade="BF"/>
        </w:rPr>
        <w:t>La Gestion Participative et transparente des Processus d’élaboration, de mise en œuvre et de suivi évaluation des programmes financés par le FONAREDD</w:t>
      </w:r>
    </w:p>
    <w:p w:rsidR="002E3A02" w:rsidRPr="00890519" w:rsidRDefault="002E3A02" w:rsidP="002E3A02"/>
    <w:p w:rsidR="002E3A02" w:rsidRPr="002E3A02" w:rsidRDefault="002E3A02" w:rsidP="002E3A02">
      <w:pPr>
        <w:spacing w:after="120"/>
        <w:rPr>
          <w:rFonts w:asciiTheme="majorHAnsi" w:eastAsiaTheme="minorHAnsi" w:hAnsiTheme="majorHAnsi"/>
          <w:b/>
          <w:sz w:val="28"/>
          <w:szCs w:val="28"/>
          <w:lang w:eastAsia="en-US"/>
        </w:rPr>
      </w:pPr>
      <w:r>
        <w:rPr>
          <w:rFonts w:asciiTheme="majorHAnsi" w:eastAsiaTheme="minorHAnsi" w:hAnsiTheme="majorHAnsi"/>
          <w:b/>
          <w:noProof/>
          <w:sz w:val="28"/>
          <w:szCs w:val="28"/>
        </w:rPr>
        <w:drawing>
          <wp:inline distT="0" distB="0" distL="0" distR="0">
            <wp:extent cx="1560830" cy="66421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0830" cy="664210"/>
                    </a:xfrm>
                    <a:prstGeom prst="rect">
                      <a:avLst/>
                    </a:prstGeom>
                    <a:noFill/>
                  </pic:spPr>
                </pic:pic>
              </a:graphicData>
            </a:graphic>
          </wp:inline>
        </w:drawing>
      </w:r>
    </w:p>
    <w:p w:rsidR="002E3A02" w:rsidRDefault="002E3A02" w:rsidP="002E3A02">
      <w:pPr>
        <w:rPr>
          <w:b/>
          <w:sz w:val="24"/>
          <w:szCs w:val="24"/>
        </w:rPr>
      </w:pPr>
    </w:p>
    <w:p w:rsidR="002E3A02" w:rsidRPr="00BA543F" w:rsidRDefault="002E3A02" w:rsidP="002E3A02">
      <w:pPr>
        <w:rPr>
          <w:b/>
          <w:sz w:val="24"/>
          <w:szCs w:val="24"/>
        </w:rPr>
      </w:pPr>
      <w:r w:rsidRPr="000A0C04">
        <w:rPr>
          <w:b/>
          <w:sz w:val="24"/>
          <w:szCs w:val="24"/>
        </w:rPr>
        <w:t xml:space="preserve">Feuille de route validée par le Comité de Pilotage </w:t>
      </w:r>
      <w:r>
        <w:rPr>
          <w:b/>
          <w:sz w:val="24"/>
          <w:szCs w:val="24"/>
        </w:rPr>
        <w:t xml:space="preserve">du 20 Novembre 2016 </w:t>
      </w:r>
      <w:r w:rsidRPr="000A0C04">
        <w:rPr>
          <w:b/>
          <w:sz w:val="24"/>
          <w:szCs w:val="24"/>
        </w:rPr>
        <w:t>pour :</w:t>
      </w:r>
    </w:p>
    <w:p w:rsidR="002E3A02" w:rsidRPr="00890519" w:rsidRDefault="002E3A02" w:rsidP="002E3A02">
      <w:r w:rsidRPr="00890519">
        <w:t>La Gestion Participative et transparente des Processus d</w:t>
      </w:r>
      <w:r>
        <w:t xml:space="preserve">’élaboration, de </w:t>
      </w:r>
      <w:r w:rsidRPr="00890519">
        <w:t xml:space="preserve">mise en œuvre </w:t>
      </w:r>
      <w:r>
        <w:t xml:space="preserve">et de suivi évaluation </w:t>
      </w:r>
      <w:r w:rsidRPr="00890519">
        <w:t>des programmes financés par le FONAREDD</w:t>
      </w:r>
    </w:p>
    <w:p w:rsidR="002E3A02" w:rsidRDefault="002E3A02" w:rsidP="002E3A02">
      <w:pPr>
        <w:rPr>
          <w:b/>
          <w:sz w:val="24"/>
          <w:szCs w:val="24"/>
        </w:rPr>
      </w:pPr>
      <w:r>
        <w:rPr>
          <w:b/>
          <w:sz w:val="24"/>
          <w:szCs w:val="24"/>
        </w:rPr>
        <w:t>___________________________________________________________________________</w:t>
      </w:r>
    </w:p>
    <w:p w:rsidR="002E3A02" w:rsidRPr="00641ACE" w:rsidRDefault="002E3A02" w:rsidP="002E3A02">
      <w:pPr>
        <w:pStyle w:val="TOCHeading"/>
        <w:rPr>
          <w:rFonts w:ascii="Calibri" w:hAnsi="Calibri"/>
          <w:sz w:val="24"/>
          <w:szCs w:val="24"/>
        </w:rPr>
      </w:pPr>
      <w:r w:rsidRPr="00641ACE">
        <w:rPr>
          <w:rFonts w:ascii="Calibri" w:hAnsi="Calibri"/>
          <w:sz w:val="24"/>
          <w:szCs w:val="24"/>
        </w:rPr>
        <w:t>Table des matières</w:t>
      </w:r>
    </w:p>
    <w:p w:rsidR="002E3A02" w:rsidRPr="006143B4" w:rsidRDefault="002E3A02" w:rsidP="002E3A02"/>
    <w:p w:rsidR="002E3A02" w:rsidRPr="00E81281" w:rsidRDefault="000918D3" w:rsidP="002E3A02">
      <w:pPr>
        <w:pStyle w:val="TOC1"/>
        <w:tabs>
          <w:tab w:val="left" w:pos="440"/>
          <w:tab w:val="right" w:leader="dot" w:pos="9062"/>
        </w:tabs>
        <w:rPr>
          <w:rFonts w:eastAsia="Times New Roman"/>
          <w:noProof/>
          <w:lang w:eastAsia="fr-FR"/>
        </w:rPr>
      </w:pPr>
      <w:r>
        <w:fldChar w:fldCharType="begin"/>
      </w:r>
      <w:r w:rsidR="002E3A02">
        <w:instrText xml:space="preserve"> TOC \o "1-3" \h \z \u </w:instrText>
      </w:r>
      <w:r>
        <w:fldChar w:fldCharType="separate"/>
      </w:r>
      <w:hyperlink w:anchor="_Toc464663022" w:history="1">
        <w:r w:rsidR="002E3A02" w:rsidRPr="00042036">
          <w:rPr>
            <w:rStyle w:val="Hyperlink"/>
            <w:b/>
            <w:noProof/>
          </w:rPr>
          <w:t>1)</w:t>
        </w:r>
        <w:r w:rsidR="002E3A02" w:rsidRPr="00E81281">
          <w:rPr>
            <w:rFonts w:eastAsia="Times New Roman"/>
            <w:noProof/>
            <w:lang w:eastAsia="fr-FR"/>
          </w:rPr>
          <w:tab/>
        </w:r>
        <w:r w:rsidR="002E3A02" w:rsidRPr="00042036">
          <w:rPr>
            <w:rStyle w:val="Hyperlink"/>
            <w:b/>
            <w:noProof/>
          </w:rPr>
          <w:t>Introduction :</w:t>
        </w:r>
        <w:r w:rsidR="002E3A02">
          <w:rPr>
            <w:noProof/>
            <w:webHidden/>
          </w:rPr>
          <w:tab/>
        </w:r>
        <w:r>
          <w:rPr>
            <w:noProof/>
            <w:webHidden/>
          </w:rPr>
          <w:fldChar w:fldCharType="begin"/>
        </w:r>
        <w:r w:rsidR="002E3A02">
          <w:rPr>
            <w:noProof/>
            <w:webHidden/>
          </w:rPr>
          <w:instrText xml:space="preserve"> PAGEREF _Toc464663022 \h </w:instrText>
        </w:r>
        <w:r>
          <w:rPr>
            <w:noProof/>
            <w:webHidden/>
          </w:rPr>
        </w:r>
        <w:r>
          <w:rPr>
            <w:noProof/>
            <w:webHidden/>
          </w:rPr>
          <w:fldChar w:fldCharType="separate"/>
        </w:r>
        <w:r w:rsidR="002E3A02">
          <w:rPr>
            <w:noProof/>
            <w:webHidden/>
          </w:rPr>
          <w:t>1</w:t>
        </w:r>
        <w:r>
          <w:rPr>
            <w:noProof/>
            <w:webHidden/>
          </w:rPr>
          <w:fldChar w:fldCharType="end"/>
        </w:r>
      </w:hyperlink>
    </w:p>
    <w:p w:rsidR="002E3A02" w:rsidRPr="00E81281" w:rsidRDefault="0003745E" w:rsidP="002E3A02">
      <w:pPr>
        <w:pStyle w:val="TOC1"/>
        <w:tabs>
          <w:tab w:val="left" w:pos="440"/>
          <w:tab w:val="right" w:leader="dot" w:pos="9062"/>
        </w:tabs>
        <w:rPr>
          <w:rFonts w:eastAsia="Times New Roman"/>
          <w:noProof/>
          <w:lang w:eastAsia="fr-FR"/>
        </w:rPr>
      </w:pPr>
      <w:hyperlink w:anchor="_Toc464663023" w:history="1">
        <w:r w:rsidR="002E3A02" w:rsidRPr="00042036">
          <w:rPr>
            <w:rStyle w:val="Hyperlink"/>
            <w:b/>
            <w:noProof/>
          </w:rPr>
          <w:t>2)</w:t>
        </w:r>
        <w:r w:rsidR="002E3A02" w:rsidRPr="00E81281">
          <w:rPr>
            <w:rFonts w:eastAsia="Times New Roman"/>
            <w:noProof/>
            <w:lang w:eastAsia="fr-FR"/>
          </w:rPr>
          <w:tab/>
        </w:r>
        <w:r w:rsidR="002E3A02" w:rsidRPr="00042036">
          <w:rPr>
            <w:rStyle w:val="Hyperlink"/>
            <w:b/>
            <w:noProof/>
          </w:rPr>
          <w:t>Cadre fixé par la LOI pour imposer la méthodologie participative et la transparence</w:t>
        </w:r>
        <w:r w:rsidR="002E3A02">
          <w:rPr>
            <w:noProof/>
            <w:webHidden/>
          </w:rPr>
          <w:tab/>
        </w:r>
        <w:r w:rsidR="000918D3">
          <w:rPr>
            <w:noProof/>
            <w:webHidden/>
          </w:rPr>
          <w:fldChar w:fldCharType="begin"/>
        </w:r>
        <w:r w:rsidR="002E3A02">
          <w:rPr>
            <w:noProof/>
            <w:webHidden/>
          </w:rPr>
          <w:instrText xml:space="preserve"> PAGEREF _Toc464663023 \h </w:instrText>
        </w:r>
        <w:r w:rsidR="000918D3">
          <w:rPr>
            <w:noProof/>
            <w:webHidden/>
          </w:rPr>
        </w:r>
        <w:r w:rsidR="000918D3">
          <w:rPr>
            <w:noProof/>
            <w:webHidden/>
          </w:rPr>
          <w:fldChar w:fldCharType="separate"/>
        </w:r>
        <w:r w:rsidR="002E3A02">
          <w:rPr>
            <w:noProof/>
            <w:webHidden/>
          </w:rPr>
          <w:t>2</w:t>
        </w:r>
        <w:r w:rsidR="000918D3">
          <w:rPr>
            <w:noProof/>
            <w:webHidden/>
          </w:rPr>
          <w:fldChar w:fldCharType="end"/>
        </w:r>
      </w:hyperlink>
    </w:p>
    <w:p w:rsidR="002E3A02" w:rsidRPr="00E81281" w:rsidRDefault="0003745E" w:rsidP="002E3A02">
      <w:pPr>
        <w:pStyle w:val="TOC1"/>
        <w:tabs>
          <w:tab w:val="left" w:pos="440"/>
          <w:tab w:val="right" w:leader="dot" w:pos="9062"/>
        </w:tabs>
        <w:rPr>
          <w:rFonts w:eastAsia="Times New Roman"/>
          <w:noProof/>
          <w:lang w:eastAsia="fr-FR"/>
        </w:rPr>
      </w:pPr>
      <w:hyperlink w:anchor="_Toc464663024" w:history="1">
        <w:r w:rsidR="002E3A02" w:rsidRPr="00042036">
          <w:rPr>
            <w:rStyle w:val="Hyperlink"/>
            <w:b/>
            <w:noProof/>
          </w:rPr>
          <w:t>3)</w:t>
        </w:r>
        <w:r w:rsidR="002E3A02" w:rsidRPr="00E81281">
          <w:rPr>
            <w:rFonts w:eastAsia="Times New Roman"/>
            <w:noProof/>
            <w:lang w:eastAsia="fr-FR"/>
          </w:rPr>
          <w:tab/>
        </w:r>
        <w:r w:rsidR="002E3A02" w:rsidRPr="00042036">
          <w:rPr>
            <w:rStyle w:val="Hyperlink"/>
            <w:b/>
            <w:noProof/>
          </w:rPr>
          <w:t>Différentes catégories d’objets et programmes  financés par le FONAREDD</w:t>
        </w:r>
        <w:r w:rsidR="002E3A02">
          <w:rPr>
            <w:noProof/>
            <w:webHidden/>
          </w:rPr>
          <w:tab/>
        </w:r>
        <w:r w:rsidR="000918D3">
          <w:rPr>
            <w:noProof/>
            <w:webHidden/>
          </w:rPr>
          <w:fldChar w:fldCharType="begin"/>
        </w:r>
        <w:r w:rsidR="002E3A02">
          <w:rPr>
            <w:noProof/>
            <w:webHidden/>
          </w:rPr>
          <w:instrText xml:space="preserve"> PAGEREF _Toc464663024 \h </w:instrText>
        </w:r>
        <w:r w:rsidR="000918D3">
          <w:rPr>
            <w:noProof/>
            <w:webHidden/>
          </w:rPr>
        </w:r>
        <w:r w:rsidR="000918D3">
          <w:rPr>
            <w:noProof/>
            <w:webHidden/>
          </w:rPr>
          <w:fldChar w:fldCharType="separate"/>
        </w:r>
        <w:r w:rsidR="002E3A02">
          <w:rPr>
            <w:noProof/>
            <w:webHidden/>
          </w:rPr>
          <w:t>2</w:t>
        </w:r>
        <w:r w:rsidR="000918D3">
          <w:rPr>
            <w:noProof/>
            <w:webHidden/>
          </w:rPr>
          <w:fldChar w:fldCharType="end"/>
        </w:r>
      </w:hyperlink>
    </w:p>
    <w:p w:rsidR="002E3A02" w:rsidRPr="00E81281" w:rsidRDefault="0003745E" w:rsidP="002E3A02">
      <w:pPr>
        <w:pStyle w:val="TOC1"/>
        <w:tabs>
          <w:tab w:val="left" w:pos="440"/>
          <w:tab w:val="right" w:leader="dot" w:pos="9062"/>
        </w:tabs>
        <w:rPr>
          <w:rFonts w:eastAsia="Times New Roman"/>
          <w:noProof/>
          <w:lang w:eastAsia="fr-FR"/>
        </w:rPr>
      </w:pPr>
      <w:hyperlink w:anchor="_Toc464663025" w:history="1">
        <w:r w:rsidR="002E3A02" w:rsidRPr="00042036">
          <w:rPr>
            <w:rStyle w:val="Hyperlink"/>
            <w:b/>
            <w:noProof/>
          </w:rPr>
          <w:t>4)</w:t>
        </w:r>
        <w:r w:rsidR="002E3A02" w:rsidRPr="00E81281">
          <w:rPr>
            <w:rFonts w:eastAsia="Times New Roman"/>
            <w:noProof/>
            <w:lang w:eastAsia="fr-FR"/>
          </w:rPr>
          <w:tab/>
        </w:r>
        <w:r w:rsidR="002E3A02" w:rsidRPr="00042036">
          <w:rPr>
            <w:rStyle w:val="Hyperlink"/>
            <w:b/>
            <w:noProof/>
          </w:rPr>
          <w:t>Remarque générale  sur le ciblage des parties prenantes :</w:t>
        </w:r>
        <w:r w:rsidR="002E3A02">
          <w:rPr>
            <w:noProof/>
            <w:webHidden/>
          </w:rPr>
          <w:tab/>
        </w:r>
        <w:r w:rsidR="000918D3">
          <w:rPr>
            <w:noProof/>
            <w:webHidden/>
          </w:rPr>
          <w:fldChar w:fldCharType="begin"/>
        </w:r>
        <w:r w:rsidR="002E3A02">
          <w:rPr>
            <w:noProof/>
            <w:webHidden/>
          </w:rPr>
          <w:instrText xml:space="preserve"> PAGEREF _Toc464663025 \h </w:instrText>
        </w:r>
        <w:r w:rsidR="000918D3">
          <w:rPr>
            <w:noProof/>
            <w:webHidden/>
          </w:rPr>
        </w:r>
        <w:r w:rsidR="000918D3">
          <w:rPr>
            <w:noProof/>
            <w:webHidden/>
          </w:rPr>
          <w:fldChar w:fldCharType="separate"/>
        </w:r>
        <w:r w:rsidR="002E3A02">
          <w:rPr>
            <w:noProof/>
            <w:webHidden/>
          </w:rPr>
          <w:t>3</w:t>
        </w:r>
        <w:r w:rsidR="000918D3">
          <w:rPr>
            <w:noProof/>
            <w:webHidden/>
          </w:rPr>
          <w:fldChar w:fldCharType="end"/>
        </w:r>
      </w:hyperlink>
    </w:p>
    <w:p w:rsidR="002E3A02" w:rsidRPr="00E81281" w:rsidRDefault="0003745E" w:rsidP="002E3A02">
      <w:pPr>
        <w:pStyle w:val="TOC1"/>
        <w:tabs>
          <w:tab w:val="left" w:pos="440"/>
          <w:tab w:val="right" w:leader="dot" w:pos="9062"/>
        </w:tabs>
        <w:rPr>
          <w:rFonts w:eastAsia="Times New Roman"/>
          <w:noProof/>
          <w:lang w:eastAsia="fr-FR"/>
        </w:rPr>
      </w:pPr>
      <w:hyperlink w:anchor="_Toc464663026" w:history="1">
        <w:r w:rsidR="002E3A02" w:rsidRPr="00042036">
          <w:rPr>
            <w:rStyle w:val="Hyperlink"/>
            <w:b/>
            <w:noProof/>
          </w:rPr>
          <w:t>5)</w:t>
        </w:r>
        <w:r w:rsidR="002E3A02" w:rsidRPr="00E81281">
          <w:rPr>
            <w:rFonts w:eastAsia="Times New Roman"/>
            <w:noProof/>
            <w:lang w:eastAsia="fr-FR"/>
          </w:rPr>
          <w:tab/>
        </w:r>
        <w:r w:rsidR="002E3A02" w:rsidRPr="00042036">
          <w:rPr>
            <w:rStyle w:val="Hyperlink"/>
            <w:b/>
            <w:noProof/>
          </w:rPr>
          <w:t>Feuille de route de la gestion participative et transparente des programmes du FONAREDD</w:t>
        </w:r>
        <w:r w:rsidR="002E3A02">
          <w:rPr>
            <w:noProof/>
            <w:webHidden/>
          </w:rPr>
          <w:tab/>
        </w:r>
        <w:r w:rsidR="000918D3">
          <w:rPr>
            <w:noProof/>
            <w:webHidden/>
          </w:rPr>
          <w:fldChar w:fldCharType="begin"/>
        </w:r>
        <w:r w:rsidR="002E3A02">
          <w:rPr>
            <w:noProof/>
            <w:webHidden/>
          </w:rPr>
          <w:instrText xml:space="preserve"> PAGEREF _Toc464663026 \h </w:instrText>
        </w:r>
        <w:r w:rsidR="000918D3">
          <w:rPr>
            <w:noProof/>
            <w:webHidden/>
          </w:rPr>
        </w:r>
        <w:r w:rsidR="000918D3">
          <w:rPr>
            <w:noProof/>
            <w:webHidden/>
          </w:rPr>
          <w:fldChar w:fldCharType="separate"/>
        </w:r>
        <w:r w:rsidR="002E3A02">
          <w:rPr>
            <w:noProof/>
            <w:webHidden/>
          </w:rPr>
          <w:t>4</w:t>
        </w:r>
        <w:r w:rsidR="000918D3">
          <w:rPr>
            <w:noProof/>
            <w:webHidden/>
          </w:rPr>
          <w:fldChar w:fldCharType="end"/>
        </w:r>
      </w:hyperlink>
    </w:p>
    <w:p w:rsidR="002E3A02" w:rsidRDefault="0003745E" w:rsidP="002E3A02">
      <w:pPr>
        <w:pStyle w:val="TOC2"/>
        <w:tabs>
          <w:tab w:val="right" w:leader="dot" w:pos="9062"/>
        </w:tabs>
        <w:rPr>
          <w:noProof/>
        </w:rPr>
      </w:pPr>
      <w:hyperlink w:anchor="_Toc464663027" w:history="1">
        <w:r w:rsidR="002E3A02" w:rsidRPr="00042036">
          <w:rPr>
            <w:rStyle w:val="Hyperlink"/>
            <w:noProof/>
          </w:rPr>
          <w:t>TOUS PROJETS ET PROGRAMMES</w:t>
        </w:r>
        <w:r w:rsidR="002E3A02">
          <w:rPr>
            <w:noProof/>
            <w:webHidden/>
          </w:rPr>
          <w:tab/>
        </w:r>
        <w:r w:rsidR="000918D3">
          <w:rPr>
            <w:noProof/>
            <w:webHidden/>
          </w:rPr>
          <w:fldChar w:fldCharType="begin"/>
        </w:r>
        <w:r w:rsidR="002E3A02">
          <w:rPr>
            <w:noProof/>
            <w:webHidden/>
          </w:rPr>
          <w:instrText xml:space="preserve"> PAGEREF _Toc464663027 \h </w:instrText>
        </w:r>
        <w:r w:rsidR="000918D3">
          <w:rPr>
            <w:noProof/>
            <w:webHidden/>
          </w:rPr>
        </w:r>
        <w:r w:rsidR="000918D3">
          <w:rPr>
            <w:noProof/>
            <w:webHidden/>
          </w:rPr>
          <w:fldChar w:fldCharType="separate"/>
        </w:r>
        <w:r w:rsidR="002E3A02">
          <w:rPr>
            <w:noProof/>
            <w:webHidden/>
          </w:rPr>
          <w:t>4</w:t>
        </w:r>
        <w:r w:rsidR="000918D3">
          <w:rPr>
            <w:noProof/>
            <w:webHidden/>
          </w:rPr>
          <w:fldChar w:fldCharType="end"/>
        </w:r>
      </w:hyperlink>
    </w:p>
    <w:p w:rsidR="002E3A02" w:rsidRDefault="0003745E" w:rsidP="002E3A02">
      <w:pPr>
        <w:pStyle w:val="TOC2"/>
        <w:tabs>
          <w:tab w:val="right" w:leader="dot" w:pos="9062"/>
        </w:tabs>
        <w:rPr>
          <w:noProof/>
        </w:rPr>
      </w:pPr>
      <w:hyperlink w:anchor="_Toc464663028" w:history="1">
        <w:r w:rsidR="002E3A02" w:rsidRPr="00042036">
          <w:rPr>
            <w:rStyle w:val="Hyperlink"/>
            <w:noProof/>
          </w:rPr>
          <w:t>PROGRAMMES INTEGRES ET PROJETS SECTORIELS</w:t>
        </w:r>
        <w:r w:rsidR="002E3A02">
          <w:rPr>
            <w:noProof/>
            <w:webHidden/>
          </w:rPr>
          <w:tab/>
        </w:r>
        <w:r w:rsidR="000918D3">
          <w:rPr>
            <w:noProof/>
            <w:webHidden/>
          </w:rPr>
          <w:fldChar w:fldCharType="begin"/>
        </w:r>
        <w:r w:rsidR="002E3A02">
          <w:rPr>
            <w:noProof/>
            <w:webHidden/>
          </w:rPr>
          <w:instrText xml:space="preserve"> PAGEREF _Toc464663028 \h </w:instrText>
        </w:r>
        <w:r w:rsidR="000918D3">
          <w:rPr>
            <w:noProof/>
            <w:webHidden/>
          </w:rPr>
        </w:r>
        <w:r w:rsidR="000918D3">
          <w:rPr>
            <w:noProof/>
            <w:webHidden/>
          </w:rPr>
          <w:fldChar w:fldCharType="separate"/>
        </w:r>
        <w:r w:rsidR="002E3A02">
          <w:rPr>
            <w:noProof/>
            <w:webHidden/>
          </w:rPr>
          <w:t>5</w:t>
        </w:r>
        <w:r w:rsidR="000918D3">
          <w:rPr>
            <w:noProof/>
            <w:webHidden/>
          </w:rPr>
          <w:fldChar w:fldCharType="end"/>
        </w:r>
      </w:hyperlink>
    </w:p>
    <w:p w:rsidR="002E3A02" w:rsidRDefault="0003745E" w:rsidP="002E3A02">
      <w:pPr>
        <w:pStyle w:val="TOC2"/>
        <w:tabs>
          <w:tab w:val="right" w:leader="dot" w:pos="9062"/>
        </w:tabs>
        <w:rPr>
          <w:noProof/>
        </w:rPr>
      </w:pPr>
      <w:hyperlink w:anchor="_Toc464663029" w:history="1">
        <w:r w:rsidR="002E3A02" w:rsidRPr="00042036">
          <w:rPr>
            <w:rStyle w:val="Hyperlink"/>
            <w:noProof/>
          </w:rPr>
          <w:t>ELABORATION DES POLITIQUES ET TEXTES JURIDIQUES</w:t>
        </w:r>
        <w:r w:rsidR="002E3A02">
          <w:rPr>
            <w:noProof/>
            <w:webHidden/>
          </w:rPr>
          <w:tab/>
        </w:r>
        <w:r w:rsidR="000918D3">
          <w:rPr>
            <w:noProof/>
            <w:webHidden/>
          </w:rPr>
          <w:fldChar w:fldCharType="begin"/>
        </w:r>
        <w:r w:rsidR="002E3A02">
          <w:rPr>
            <w:noProof/>
            <w:webHidden/>
          </w:rPr>
          <w:instrText xml:space="preserve"> PAGEREF _Toc464663029 \h </w:instrText>
        </w:r>
        <w:r w:rsidR="000918D3">
          <w:rPr>
            <w:noProof/>
            <w:webHidden/>
          </w:rPr>
        </w:r>
        <w:r w:rsidR="000918D3">
          <w:rPr>
            <w:noProof/>
            <w:webHidden/>
          </w:rPr>
          <w:fldChar w:fldCharType="separate"/>
        </w:r>
        <w:r w:rsidR="002E3A02">
          <w:rPr>
            <w:noProof/>
            <w:webHidden/>
          </w:rPr>
          <w:t>12</w:t>
        </w:r>
        <w:r w:rsidR="000918D3">
          <w:rPr>
            <w:noProof/>
            <w:webHidden/>
          </w:rPr>
          <w:fldChar w:fldCharType="end"/>
        </w:r>
      </w:hyperlink>
    </w:p>
    <w:p w:rsidR="002E3A02" w:rsidRDefault="000918D3" w:rsidP="002E3A02">
      <w:r>
        <w:rPr>
          <w:b/>
          <w:bCs/>
        </w:rPr>
        <w:fldChar w:fldCharType="end"/>
      </w:r>
    </w:p>
    <w:p w:rsidR="002E3A02" w:rsidRPr="00641ACE" w:rsidRDefault="002E3A02" w:rsidP="002E3A02">
      <w:pPr>
        <w:pStyle w:val="Heading1"/>
        <w:numPr>
          <w:ilvl w:val="0"/>
          <w:numId w:val="78"/>
        </w:numPr>
        <w:spacing w:before="0" w:after="240" w:line="259" w:lineRule="auto"/>
        <w:rPr>
          <w:rFonts w:ascii="Calibri" w:hAnsi="Calibri"/>
          <w:b/>
          <w:sz w:val="24"/>
          <w:szCs w:val="24"/>
        </w:rPr>
      </w:pPr>
      <w:bookmarkStart w:id="85" w:name="_Toc464654773"/>
      <w:bookmarkStart w:id="86" w:name="_Toc464654884"/>
      <w:bookmarkStart w:id="87" w:name="_Toc464657240"/>
      <w:bookmarkStart w:id="88" w:name="_Toc464663022"/>
      <w:bookmarkStart w:id="89" w:name="_Toc469036948"/>
      <w:bookmarkEnd w:id="85"/>
      <w:bookmarkEnd w:id="86"/>
      <w:bookmarkEnd w:id="87"/>
      <w:r w:rsidRPr="00641ACE">
        <w:rPr>
          <w:rFonts w:ascii="Calibri" w:hAnsi="Calibri"/>
          <w:b/>
          <w:sz w:val="24"/>
          <w:szCs w:val="24"/>
        </w:rPr>
        <w:t>Introduction :</w:t>
      </w:r>
      <w:bookmarkEnd w:id="88"/>
      <w:bookmarkEnd w:id="89"/>
    </w:p>
    <w:p w:rsidR="002E3A02" w:rsidRDefault="002E3A02" w:rsidP="002E3A02">
      <w:pPr>
        <w:jc w:val="both"/>
      </w:pPr>
      <w:r>
        <w:t>Le présent document a été élaboré et validé au cours de l’atelier des 17 et 18 octobre tenu à Kinshasa dont l’objectif était de convenir</w:t>
      </w:r>
      <w:r w:rsidRPr="00093F5D">
        <w:t xml:space="preserve"> de la façon dont les programmes mobiliseront les parties prenantes et tiendront compte de leurs opinions à chaque étape de leur déroulement</w:t>
      </w:r>
      <w:r>
        <w:t>.</w:t>
      </w:r>
    </w:p>
    <w:p w:rsidR="002E3A02" w:rsidRDefault="002E3A02" w:rsidP="002E3A02">
      <w:pPr>
        <w:jc w:val="both"/>
      </w:pPr>
      <w:r>
        <w:t xml:space="preserve">L’atelier a réuni pour ce faire à Kinshasa des représentants des différentes catégories de parties prenantes concernées par les programmes : société civile (nationale et internationale), représentants des Ministères et services de l’état, acteurs privés. </w:t>
      </w:r>
    </w:p>
    <w:p w:rsidR="002E3A02" w:rsidRDefault="002E3A02" w:rsidP="002E3A02">
      <w:pPr>
        <w:jc w:val="both"/>
      </w:pPr>
      <w:r>
        <w:t xml:space="preserve">L’objectif de la feuille de route s’inscrit dans le cadre d’exigences de la LOI (cf. point 2). Il vise non pas à définir les modalités détaillées des processus participatifs ou d’atténuation des risques mais à en </w:t>
      </w:r>
      <w:r w:rsidRPr="00890519">
        <w:rPr>
          <w:b/>
        </w:rPr>
        <w:t>identifier les grandes lignes</w:t>
      </w:r>
      <w:r>
        <w:t xml:space="preserve">. Les modalités détaillées et leurs mesures précises seront étudiées par les programmes eux-mêmes. Il est également prévu qu’un guide soit élaboré qui fournisse des </w:t>
      </w:r>
      <w:r>
        <w:lastRenderedPageBreak/>
        <w:t>recommandations plus précises aux projets pour conduire les processus participatifs. Enfin, il faut rappeler que tous les projets financés par le FONAREDD s’inscrivent dans le cadre général tracé par la CN REDD en matière de sauvegarde et de standards socio-environnementaux  et qu’à ce titre ils devront réaliser des Etudes d’Impact selon des modalités participatives, et prévoir des mitigations.</w:t>
      </w:r>
    </w:p>
    <w:p w:rsidR="002E3A02" w:rsidRPr="00641ACE" w:rsidRDefault="002E3A02" w:rsidP="002E3A02">
      <w:pPr>
        <w:pStyle w:val="Heading1"/>
        <w:numPr>
          <w:ilvl w:val="0"/>
          <w:numId w:val="78"/>
        </w:numPr>
        <w:spacing w:before="0" w:after="240" w:line="259" w:lineRule="auto"/>
        <w:rPr>
          <w:rFonts w:ascii="Calibri" w:hAnsi="Calibri"/>
          <w:b/>
          <w:sz w:val="24"/>
          <w:szCs w:val="24"/>
        </w:rPr>
      </w:pPr>
      <w:bookmarkStart w:id="90" w:name="_Toc464663023"/>
      <w:bookmarkStart w:id="91" w:name="_Toc469036949"/>
      <w:r w:rsidRPr="00641ACE">
        <w:rPr>
          <w:rFonts w:ascii="Calibri" w:hAnsi="Calibri"/>
          <w:b/>
          <w:sz w:val="24"/>
          <w:szCs w:val="24"/>
        </w:rPr>
        <w:t xml:space="preserve">Cadre fixé par la LOI pour imposer la méthodologie participative </w:t>
      </w:r>
      <w:r>
        <w:rPr>
          <w:rFonts w:ascii="Calibri" w:hAnsi="Calibri"/>
          <w:b/>
          <w:sz w:val="24"/>
          <w:szCs w:val="24"/>
        </w:rPr>
        <w:t>et la transparence</w:t>
      </w:r>
      <w:bookmarkEnd w:id="90"/>
      <w:bookmarkEnd w:id="91"/>
    </w:p>
    <w:p w:rsidR="002E3A02" w:rsidRDefault="002E3A02" w:rsidP="002E3A02">
      <w:r>
        <w:t>La LOI entre le Gouvernement de la RDC et le CAFI consacre un alinea (3)  dans son article II sur les principes généraux et à plusieurs reprise elle rappelle la nécessité de la participation, la transparence, la consultation, comme dans son objectif 8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0"/>
      </w:tblGrid>
      <w:tr w:rsidR="002E3A02" w:rsidRPr="00641ACE" w:rsidTr="0060717C">
        <w:tc>
          <w:tcPr>
            <w:tcW w:w="9062" w:type="dxa"/>
            <w:shd w:val="clear" w:color="auto" w:fill="auto"/>
          </w:tcPr>
          <w:p w:rsidR="002E3A02" w:rsidRPr="00641ACE" w:rsidRDefault="002E3A02" w:rsidP="0060717C">
            <w:pPr>
              <w:spacing w:after="0" w:line="240" w:lineRule="auto"/>
              <w:rPr>
                <w:sz w:val="18"/>
                <w:szCs w:val="18"/>
              </w:rPr>
            </w:pPr>
            <w:r w:rsidRPr="00641ACE">
              <w:rPr>
                <w:rFonts w:cs="Tahoma"/>
                <w:b/>
                <w:bCs/>
                <w:sz w:val="18"/>
                <w:szCs w:val="18"/>
              </w:rPr>
              <w:t>Article II. Principes généraux de la Lettre d’intention</w:t>
            </w:r>
          </w:p>
          <w:p w:rsidR="002E3A02" w:rsidRPr="00641ACE" w:rsidRDefault="002E3A02" w:rsidP="0060717C">
            <w:pPr>
              <w:spacing w:after="0" w:line="240" w:lineRule="auto"/>
              <w:rPr>
                <w:sz w:val="18"/>
                <w:szCs w:val="18"/>
              </w:rPr>
            </w:pPr>
          </w:p>
          <w:p w:rsidR="002E3A02" w:rsidRPr="00641ACE" w:rsidRDefault="002E3A02" w:rsidP="0060717C">
            <w:pPr>
              <w:spacing w:after="0" w:line="240" w:lineRule="auto"/>
              <w:rPr>
                <w:rFonts w:cs="Tahoma"/>
                <w:sz w:val="18"/>
                <w:szCs w:val="18"/>
              </w:rPr>
            </w:pPr>
            <w:r w:rsidRPr="00641ACE">
              <w:rPr>
                <w:rFonts w:cs="Tahoma"/>
                <w:sz w:val="18"/>
                <w:szCs w:val="18"/>
              </w:rPr>
              <w:t>Les principes suivants formeront la base de toutes les activités soutenues au travers de CAFI: </w:t>
            </w:r>
          </w:p>
          <w:p w:rsidR="002E3A02" w:rsidRPr="00641ACE" w:rsidRDefault="002E3A02" w:rsidP="0060717C">
            <w:pPr>
              <w:spacing w:after="0" w:line="240" w:lineRule="auto"/>
              <w:rPr>
                <w:rFonts w:cs="Tahoma"/>
                <w:sz w:val="18"/>
                <w:szCs w:val="18"/>
              </w:rPr>
            </w:pPr>
            <w:r w:rsidRPr="00641ACE">
              <w:rPr>
                <w:rFonts w:cs="Tahoma"/>
                <w:sz w:val="18"/>
                <w:szCs w:val="18"/>
              </w:rPr>
              <w:t>(...) </w:t>
            </w:r>
          </w:p>
          <w:p w:rsidR="002E3A02" w:rsidRPr="00641ACE" w:rsidRDefault="002E3A02" w:rsidP="0060717C">
            <w:pPr>
              <w:spacing w:after="0" w:line="240" w:lineRule="auto"/>
              <w:rPr>
                <w:sz w:val="18"/>
                <w:szCs w:val="18"/>
              </w:rPr>
            </w:pPr>
            <w:r w:rsidRPr="00641ACE">
              <w:rPr>
                <w:rFonts w:cs="Tahoma"/>
                <w:sz w:val="18"/>
                <w:szCs w:val="18"/>
              </w:rPr>
              <w:t>3. Le respect des principes de consultation, participation et de transparence dans les processus  d’élaboration et de mise en œuvre des interventions de la Stratégie</w:t>
            </w:r>
            <w:r w:rsidRPr="00641ACE">
              <w:rPr>
                <w:rFonts w:cs="Cambria Math"/>
                <w:sz w:val="18"/>
                <w:szCs w:val="18"/>
              </w:rPr>
              <w:t>‐</w:t>
            </w:r>
            <w:r w:rsidRPr="00641ACE">
              <w:rPr>
                <w:rFonts w:cs="Tahoma"/>
                <w:sz w:val="18"/>
                <w:szCs w:val="18"/>
              </w:rPr>
              <w:t>cadre Nationale REDD+ et son  Plan d’investissement , conformément aux lignes directrices ONU</w:t>
            </w:r>
            <w:r w:rsidRPr="00641ACE">
              <w:rPr>
                <w:rFonts w:cs="Cambria Math"/>
                <w:sz w:val="18"/>
                <w:szCs w:val="18"/>
              </w:rPr>
              <w:t>‐</w:t>
            </w:r>
            <w:r w:rsidRPr="00641ACE">
              <w:rPr>
                <w:rFonts w:cs="Tahoma"/>
                <w:sz w:val="18"/>
                <w:szCs w:val="18"/>
              </w:rPr>
              <w:t xml:space="preserve">REDD/FCPF d’engagement des  parties prenantes et aux circonstances nationales, tout en reconnaissant et respectant le rôle et  la responsabilité de l’Etat dans les décisions finales. </w:t>
            </w:r>
            <w:r w:rsidRPr="000C3A96">
              <w:rPr>
                <w:rFonts w:cs="Tahoma"/>
                <w:sz w:val="18"/>
                <w:szCs w:val="18"/>
              </w:rPr>
              <w:t>Les modalités pratiques de l’engagement des  parties prenantes seront définies de manière participative dans la feuille de route validée par le  Comité de pilotage du Fonds National REDD+ avant la première session d’approbation des  programmes ;</w:t>
            </w:r>
            <w:r w:rsidRPr="00641ACE">
              <w:rPr>
                <w:rFonts w:cs="Tahoma"/>
                <w:sz w:val="18"/>
                <w:szCs w:val="18"/>
              </w:rPr>
              <w:t> </w:t>
            </w:r>
          </w:p>
          <w:p w:rsidR="002E3A02" w:rsidRPr="00641ACE" w:rsidRDefault="002E3A02" w:rsidP="0060717C">
            <w:pPr>
              <w:spacing w:after="0" w:line="240" w:lineRule="auto"/>
              <w:rPr>
                <w:sz w:val="18"/>
                <w:szCs w:val="18"/>
              </w:rPr>
            </w:pPr>
          </w:p>
          <w:p w:rsidR="002E3A02" w:rsidRPr="00641ACE" w:rsidRDefault="002E3A02" w:rsidP="0060717C">
            <w:pPr>
              <w:spacing w:after="0" w:line="240" w:lineRule="auto"/>
              <w:rPr>
                <w:sz w:val="18"/>
                <w:szCs w:val="18"/>
              </w:rPr>
            </w:pPr>
            <w:r w:rsidRPr="000C3A96">
              <w:rPr>
                <w:rFonts w:cs="Tahoma"/>
                <w:b/>
                <w:bCs/>
                <w:sz w:val="18"/>
                <w:szCs w:val="18"/>
              </w:rPr>
              <w:t>Objectif 8. En matière de gouvernance (US$ 26.4M dont US$ 8M pour les programmes intégrés)</w:t>
            </w:r>
            <w:r w:rsidRPr="000C3A96">
              <w:rPr>
                <w:rFonts w:cs="Tahoma"/>
                <w:sz w:val="18"/>
                <w:szCs w:val="18"/>
              </w:rPr>
              <w:t>: Promouvoir  l’alignement  dans  le  pays  des  interventions  du  secteur  public  et  privé,  national  et  international sur les objectifs REDD+; assurer la transparence et la consolidation de l’information ainsi  que l’application de la loi dans les secteurs pertinents pour la REDD+</w:t>
            </w:r>
            <w:r w:rsidRPr="00641ACE">
              <w:rPr>
                <w:rFonts w:cs="Tahoma"/>
                <w:sz w:val="18"/>
                <w:szCs w:val="18"/>
              </w:rPr>
              <w:t> </w:t>
            </w:r>
          </w:p>
          <w:p w:rsidR="002E3A02" w:rsidRPr="00641ACE" w:rsidRDefault="002E3A02" w:rsidP="0060717C">
            <w:pPr>
              <w:spacing w:after="0" w:line="240" w:lineRule="auto"/>
              <w:rPr>
                <w:rFonts w:cs="Tahoma"/>
                <w:sz w:val="18"/>
                <w:szCs w:val="18"/>
              </w:rPr>
            </w:pPr>
          </w:p>
          <w:p w:rsidR="002E3A02" w:rsidRPr="00641ACE" w:rsidRDefault="002E3A02" w:rsidP="0060717C">
            <w:pPr>
              <w:spacing w:after="0" w:line="240" w:lineRule="auto"/>
              <w:rPr>
                <w:sz w:val="18"/>
                <w:szCs w:val="18"/>
              </w:rPr>
            </w:pPr>
          </w:p>
        </w:tc>
      </w:tr>
    </w:tbl>
    <w:p w:rsidR="002E3A02" w:rsidRPr="000E1EEA" w:rsidRDefault="002E3A02" w:rsidP="002E3A02">
      <w:pPr>
        <w:ind w:left="708"/>
      </w:pPr>
    </w:p>
    <w:p w:rsidR="002E3A02" w:rsidRDefault="002E3A02" w:rsidP="002E3A02">
      <w:pPr>
        <w:jc w:val="both"/>
      </w:pPr>
      <w:r>
        <w:t>Le présent document vise à satisfaire les termes de la LOI, à la fois sur les principes et sur la nécessité qu’une feuille de route soit validée par le Comité de Pilotage avant la première cession d’approbation des programmes, fixée au 20 octobre 2016.</w:t>
      </w:r>
    </w:p>
    <w:p w:rsidR="002E3A02" w:rsidRDefault="002E3A02" w:rsidP="002E3A02">
      <w:pPr>
        <w:pStyle w:val="Heading1"/>
        <w:numPr>
          <w:ilvl w:val="0"/>
          <w:numId w:val="78"/>
        </w:numPr>
        <w:spacing w:before="0" w:after="240" w:line="259" w:lineRule="auto"/>
        <w:jc w:val="both"/>
        <w:rPr>
          <w:rFonts w:ascii="Calibri" w:hAnsi="Calibri"/>
          <w:b/>
          <w:sz w:val="24"/>
          <w:szCs w:val="24"/>
        </w:rPr>
      </w:pPr>
      <w:bookmarkStart w:id="92" w:name="_Toc464663024"/>
      <w:bookmarkStart w:id="93" w:name="_Toc469036950"/>
      <w:r>
        <w:rPr>
          <w:rFonts w:ascii="Calibri" w:hAnsi="Calibri"/>
          <w:b/>
          <w:sz w:val="24"/>
          <w:szCs w:val="24"/>
        </w:rPr>
        <w:t>Différentes catégories d’objets et programmes financés par le FONAREDD</w:t>
      </w:r>
      <w:bookmarkEnd w:id="92"/>
      <w:bookmarkEnd w:id="93"/>
    </w:p>
    <w:p w:rsidR="002E3A02" w:rsidRPr="000149F8" w:rsidRDefault="002E3A02" w:rsidP="002E3A02">
      <w:pPr>
        <w:jc w:val="both"/>
      </w:pPr>
      <w:r>
        <w:t xml:space="preserve">On peut distinguer deux types de projets financés par le FONAREDD : des projets intégrés et sectoriels. </w:t>
      </w:r>
    </w:p>
    <w:p w:rsidR="002E3A02" w:rsidRDefault="002E3A02" w:rsidP="002E3A02">
      <w:pPr>
        <w:numPr>
          <w:ilvl w:val="0"/>
          <w:numId w:val="80"/>
        </w:numPr>
        <w:spacing w:after="160" w:line="259" w:lineRule="auto"/>
        <w:jc w:val="both"/>
      </w:pPr>
      <w:r w:rsidRPr="000149F8">
        <w:rPr>
          <w:b/>
        </w:rPr>
        <w:t>Les Projets Intégrés REDD</w:t>
      </w:r>
      <w:r>
        <w:t xml:space="preserve"> sont construits autour de l’Aménagement du Territoire et combinent toutes les activités prévues par le Plan d’Investissement, autant que les budgets dévolus le permettent, y compris le planning familial. Ils comprennent donc également des investissements sectoriels et potentiellement des objectifs liés à l’encadrement juridique </w:t>
      </w:r>
      <w:r w:rsidRPr="00B56893">
        <w:rPr>
          <w:i/>
          <w:u w:val="single"/>
        </w:rPr>
        <w:t>provincial</w:t>
      </w:r>
      <w:r>
        <w:t xml:space="preserve"> des activités (promulgation d’édits). Ils peuvent comprendre des </w:t>
      </w:r>
      <w:r w:rsidRPr="00B56893">
        <w:rPr>
          <w:i/>
          <w:u w:val="single"/>
        </w:rPr>
        <w:t>activités pilotes</w:t>
      </w:r>
      <w:r>
        <w:t xml:space="preserve"> pour les programmes sectoriels ou habilitants de niveau national. </w:t>
      </w:r>
    </w:p>
    <w:p w:rsidR="002E3A02" w:rsidRDefault="002E3A02" w:rsidP="002E3A02">
      <w:pPr>
        <w:numPr>
          <w:ilvl w:val="0"/>
          <w:numId w:val="80"/>
        </w:numPr>
        <w:spacing w:after="160" w:line="259" w:lineRule="auto"/>
        <w:jc w:val="both"/>
      </w:pPr>
      <w:r w:rsidRPr="000149F8">
        <w:rPr>
          <w:b/>
        </w:rPr>
        <w:t>Les projets sectoriels</w:t>
      </w:r>
      <w:r>
        <w:t xml:space="preserve"> (reconquête de la savane, développement des cultures pérennes, lutte contre l’exploitation illégale du bois, modernisation de l’exploitation artisanale du bois…) peuvent se dérouler dans le cadre des projets intégrés mais aussi en dehors de ces projets. Dans ce cas ils ne bénéficient pas de l’encadrement participatif de ces projets et doivent donc les créer dans leurs espaces d’intervention. Dans certains cas les projets sectoriels ont </w:t>
      </w:r>
      <w:r>
        <w:lastRenderedPageBreak/>
        <w:t xml:space="preserve">également des objectifs habilitants d’adaptation des cadres politique et juridique au niveau national. C'est le cas du projet Gestion Durable des Forêts par exemple. </w:t>
      </w:r>
    </w:p>
    <w:p w:rsidR="002E3A02" w:rsidRPr="000149F8" w:rsidRDefault="002E3A02" w:rsidP="002E3A02">
      <w:pPr>
        <w:numPr>
          <w:ilvl w:val="0"/>
          <w:numId w:val="80"/>
        </w:numPr>
        <w:spacing w:after="160" w:line="259" w:lineRule="auto"/>
        <w:jc w:val="both"/>
        <w:rPr>
          <w:b/>
        </w:rPr>
      </w:pPr>
      <w:r w:rsidRPr="000149F8">
        <w:rPr>
          <w:b/>
        </w:rPr>
        <w:t xml:space="preserve">les projets habilitants </w:t>
      </w:r>
      <w:r>
        <w:t xml:space="preserve">sont concentrés sur l’élaboration des politiques et l’adaptation du cadre juridique, bien qu’ils puissent aussi comprendre des activités opérationnelles pilotes, dans ou en dehors des projets intégrés, ou des activités de formation. </w:t>
      </w:r>
      <w:r w:rsidRPr="000149F8">
        <w:rPr>
          <w:b/>
          <w:i/>
          <w:u w:val="single"/>
        </w:rPr>
        <w:t>Les prescrits de la feuille de route pour ces activités opérationnelles sont semblables à celles deux types de projets ci-dessus (intégrés et sectoriels.</w:t>
      </w:r>
    </w:p>
    <w:p w:rsidR="002E3A02" w:rsidRDefault="002E3A02" w:rsidP="002E3A02">
      <w:pPr>
        <w:jc w:val="both"/>
      </w:pPr>
      <w:r w:rsidRPr="00F81DE2">
        <w:rPr>
          <w:b/>
        </w:rPr>
        <w:t>Le tableau ci-dessous</w:t>
      </w:r>
      <w:r>
        <w:t xml:space="preserve"> suit par étape le </w:t>
      </w:r>
      <w:r>
        <w:rPr>
          <w:b/>
          <w:u w:val="single"/>
        </w:rPr>
        <w:t>chronogramme logique des étapes</w:t>
      </w:r>
      <w:r>
        <w:t xml:space="preserve"> d’un Programme financé par le FONAREDD et il leur fait correspondre des activités constitutives du processus participatif. Ces étapes et activités participatives constituent la feuille de route soumise à la validation du Comité de Pilotage. Il distingue trois types de projets, les projets intégrés, les projets sectoriels et les projets ayant comme objet l’élaboration des politiques et l’adaptation du cadre juridique. </w:t>
      </w:r>
    </w:p>
    <w:p w:rsidR="002E3A02" w:rsidRDefault="002E3A02" w:rsidP="002E3A02">
      <w:pPr>
        <w:pStyle w:val="Heading1"/>
        <w:numPr>
          <w:ilvl w:val="0"/>
          <w:numId w:val="78"/>
        </w:numPr>
        <w:spacing w:before="0" w:after="240" w:line="259" w:lineRule="auto"/>
        <w:rPr>
          <w:rFonts w:ascii="Calibri" w:hAnsi="Calibri"/>
          <w:b/>
          <w:sz w:val="24"/>
          <w:szCs w:val="24"/>
        </w:rPr>
      </w:pPr>
      <w:bookmarkStart w:id="94" w:name="_Toc464663025"/>
      <w:bookmarkStart w:id="95" w:name="_Toc469036951"/>
      <w:r>
        <w:rPr>
          <w:rFonts w:ascii="Calibri" w:hAnsi="Calibri"/>
          <w:b/>
          <w:sz w:val="24"/>
          <w:szCs w:val="24"/>
        </w:rPr>
        <w:t>R</w:t>
      </w:r>
      <w:r w:rsidRPr="000149F8">
        <w:rPr>
          <w:rFonts w:ascii="Calibri" w:hAnsi="Calibri"/>
          <w:b/>
          <w:sz w:val="24"/>
          <w:szCs w:val="24"/>
        </w:rPr>
        <w:t xml:space="preserve">emarque générale </w:t>
      </w:r>
      <w:r>
        <w:rPr>
          <w:rFonts w:ascii="Calibri" w:hAnsi="Calibri"/>
          <w:b/>
          <w:sz w:val="24"/>
          <w:szCs w:val="24"/>
        </w:rPr>
        <w:t>sur le ciblage des parties prenantes :</w:t>
      </w:r>
      <w:bookmarkEnd w:id="94"/>
      <w:bookmarkEnd w:id="95"/>
    </w:p>
    <w:p w:rsidR="002E3A02" w:rsidRDefault="002E3A02" w:rsidP="002E3A02">
      <w:pPr>
        <w:jc w:val="both"/>
      </w:pPr>
      <w:r>
        <w:t>En application de la LOI et de la politique du Gouvernement de la RDC, le FONAREDD vise à lutter contre la déforestation et le changement climatique et à améliorer les conditions de vie des populations. Il doit pour se faire cibler l’ensemble des catégories de la population de ses zones d’intervention comme au niveau national. Il doit le faire à la fois pour raison sociale et par souci d’efficacité quant à son objet technique : les jeunes au sein des populations par exemple sont les vecteurs les plus impliqués dans la déforestation, les femmes fournissent une grande partie de la force de travail aux cultures sur brulis, et leur rôle dans la croissance démographique est central, les peuples autochtones pygmées aussi dans les zones forestières. Il est donc essentiel que ces catégories soient prises en compte, au même titre que les catégories professionnelles et les autres parties prenantes. Elles doivent l’être à tous les niveaux et toutes les étapes :</w:t>
      </w:r>
    </w:p>
    <w:p w:rsidR="002E3A02" w:rsidRDefault="002E3A02" w:rsidP="002E3A02">
      <w:pPr>
        <w:numPr>
          <w:ilvl w:val="0"/>
          <w:numId w:val="81"/>
        </w:numPr>
        <w:spacing w:after="160" w:line="259" w:lineRule="auto"/>
        <w:jc w:val="both"/>
      </w:pPr>
      <w:r>
        <w:t>dans le travail d’appui à la « structuration du milieu », dans les projets intégrés, en favorisant l’émergence des associations féminines, de jeune, de peuples autochtones pygmées et ceci à tous les niveaux de l’organisation territoriale ;</w:t>
      </w:r>
    </w:p>
    <w:p w:rsidR="002E3A02" w:rsidRDefault="002E3A02" w:rsidP="002E3A02">
      <w:pPr>
        <w:numPr>
          <w:ilvl w:val="0"/>
          <w:numId w:val="81"/>
        </w:numPr>
        <w:spacing w:after="160" w:line="259" w:lineRule="auto"/>
        <w:jc w:val="both"/>
      </w:pPr>
      <w:r>
        <w:t xml:space="preserve">dans la représentation es qualité et </w:t>
      </w:r>
      <w:r w:rsidRPr="00F81DE2">
        <w:rPr>
          <w:i/>
          <w:u w:val="single"/>
        </w:rPr>
        <w:t>statutaire</w:t>
      </w:r>
      <w:r>
        <w:t xml:space="preserve"> des organisations de ces catégories dans les Plateformes Multiacteurs : CLD, plateformes de groupement, d’ETD, de territoire ;</w:t>
      </w:r>
    </w:p>
    <w:p w:rsidR="002E3A02" w:rsidRDefault="002E3A02" w:rsidP="002E3A02">
      <w:pPr>
        <w:numPr>
          <w:ilvl w:val="0"/>
          <w:numId w:val="81"/>
        </w:numPr>
        <w:spacing w:after="160" w:line="259" w:lineRule="auto"/>
        <w:jc w:val="both"/>
      </w:pPr>
      <w:r>
        <w:t>dans la représentation es qualité des organisations de ces catégories dans les Comités de Pilotage des projets et programmes ;</w:t>
      </w:r>
    </w:p>
    <w:p w:rsidR="002E3A02" w:rsidRDefault="002E3A02" w:rsidP="002E3A02">
      <w:pPr>
        <w:jc w:val="both"/>
      </w:pPr>
      <w:r>
        <w:t xml:space="preserve">De plus, les programmes sectoriels, intégrés et habilitants doivent considérer ces organisations et catégories dans : </w:t>
      </w:r>
    </w:p>
    <w:p w:rsidR="002E3A02" w:rsidRDefault="002E3A02" w:rsidP="002E3A02">
      <w:pPr>
        <w:numPr>
          <w:ilvl w:val="0"/>
          <w:numId w:val="81"/>
        </w:numPr>
        <w:spacing w:after="160" w:line="259" w:lineRule="auto"/>
        <w:jc w:val="both"/>
      </w:pPr>
      <w:r>
        <w:t xml:space="preserve"> la prise en compte de leurs intérêts vitaux à l’horizon de plusieurs générations dans l’usage des ressources naturelles ;</w:t>
      </w:r>
    </w:p>
    <w:p w:rsidR="002E3A02" w:rsidRDefault="002E3A02" w:rsidP="002E3A02">
      <w:pPr>
        <w:numPr>
          <w:ilvl w:val="0"/>
          <w:numId w:val="81"/>
        </w:numPr>
        <w:spacing w:after="160" w:line="259" w:lineRule="auto"/>
        <w:jc w:val="both"/>
      </w:pPr>
      <w:r>
        <w:t>les affectations de moyens opérationnels en ménageant des réserves systématiques à leur profit et en développant des méthodologies permettant leur implication et leur bénéfice spécifique ;</w:t>
      </w:r>
    </w:p>
    <w:p w:rsidR="002E3A02" w:rsidRDefault="002E3A02" w:rsidP="002E3A02">
      <w:pPr>
        <w:numPr>
          <w:ilvl w:val="0"/>
          <w:numId w:val="81"/>
        </w:numPr>
        <w:spacing w:after="160" w:line="259" w:lineRule="auto"/>
        <w:jc w:val="both"/>
      </w:pPr>
      <w:r>
        <w:t xml:space="preserve">les considérants et objectifs des évolutions politiques et juridiques, afin que leurs intérêts soient défendus à long termes. </w:t>
      </w:r>
    </w:p>
    <w:p w:rsidR="002E3A02" w:rsidRPr="00F81DE2" w:rsidRDefault="002E3A02" w:rsidP="002E3A02">
      <w:pPr>
        <w:sectPr w:rsidR="002E3A02" w:rsidRPr="00F81DE2">
          <w:footerReference w:type="default" r:id="rId63"/>
          <w:pgSz w:w="11906" w:h="16838"/>
          <w:pgMar w:top="1417" w:right="1417" w:bottom="1417" w:left="1417" w:header="708" w:footer="708" w:gutter="0"/>
          <w:cols w:space="708"/>
          <w:docGrid w:linePitch="360"/>
        </w:sectPr>
      </w:pPr>
    </w:p>
    <w:p w:rsidR="002E3A02" w:rsidRDefault="002E3A02" w:rsidP="002E3A02">
      <w:pPr>
        <w:pStyle w:val="Heading1"/>
        <w:numPr>
          <w:ilvl w:val="0"/>
          <w:numId w:val="78"/>
        </w:numPr>
        <w:spacing w:before="0" w:after="240" w:line="259" w:lineRule="auto"/>
        <w:rPr>
          <w:rFonts w:ascii="Calibri" w:hAnsi="Calibri"/>
          <w:b/>
          <w:sz w:val="24"/>
          <w:szCs w:val="24"/>
        </w:rPr>
      </w:pPr>
      <w:r w:rsidRPr="000149F8">
        <w:rPr>
          <w:rFonts w:ascii="Calibri" w:hAnsi="Calibri"/>
          <w:b/>
          <w:sz w:val="24"/>
          <w:szCs w:val="24"/>
        </w:rPr>
        <w:lastRenderedPageBreak/>
        <w:t xml:space="preserve"> </w:t>
      </w:r>
      <w:bookmarkStart w:id="96" w:name="_Toc464663026"/>
      <w:bookmarkStart w:id="97" w:name="_Toc469036952"/>
      <w:r>
        <w:rPr>
          <w:rFonts w:ascii="Calibri" w:hAnsi="Calibri"/>
          <w:b/>
          <w:sz w:val="24"/>
          <w:szCs w:val="24"/>
        </w:rPr>
        <w:t>F</w:t>
      </w:r>
      <w:r w:rsidRPr="000149F8">
        <w:rPr>
          <w:rFonts w:ascii="Calibri" w:hAnsi="Calibri"/>
          <w:b/>
          <w:sz w:val="24"/>
          <w:szCs w:val="24"/>
        </w:rPr>
        <w:t>euille de route de la gestion participative et transparente des programmes du FONAREDD</w:t>
      </w:r>
      <w:bookmarkEnd w:id="96"/>
      <w:bookmarkEnd w:id="97"/>
    </w:p>
    <w:p w:rsidR="002E3A02" w:rsidRPr="00504CF9" w:rsidRDefault="002E3A02" w:rsidP="002E3A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479"/>
        <w:gridCol w:w="10690"/>
        <w:gridCol w:w="3226"/>
      </w:tblGrid>
      <w:tr w:rsidR="002E3A02" w:rsidRPr="0081422D" w:rsidTr="0060717C">
        <w:trPr>
          <w:trHeight w:val="454"/>
          <w:tblHeader/>
        </w:trPr>
        <w:tc>
          <w:tcPr>
            <w:tcW w:w="578" w:type="pct"/>
            <w:shd w:val="clear" w:color="auto" w:fill="D9D9D9"/>
            <w:vAlign w:val="center"/>
          </w:tcPr>
          <w:p w:rsidR="002E3A02" w:rsidRPr="00E81281" w:rsidRDefault="002E3A02" w:rsidP="0060717C">
            <w:pPr>
              <w:spacing w:after="0"/>
              <w:rPr>
                <w:b/>
              </w:rPr>
            </w:pPr>
            <w:r w:rsidRPr="00E81281">
              <w:rPr>
                <w:b/>
              </w:rPr>
              <w:t>ETAPES</w:t>
            </w:r>
          </w:p>
        </w:tc>
        <w:tc>
          <w:tcPr>
            <w:tcW w:w="147" w:type="pct"/>
            <w:shd w:val="clear" w:color="auto" w:fill="D9D9D9"/>
            <w:vAlign w:val="center"/>
          </w:tcPr>
          <w:p w:rsidR="002E3A02" w:rsidRPr="00E81281" w:rsidRDefault="002E3A02" w:rsidP="0060717C">
            <w:pPr>
              <w:spacing w:after="0"/>
              <w:rPr>
                <w:b/>
              </w:rPr>
            </w:pPr>
          </w:p>
        </w:tc>
        <w:tc>
          <w:tcPr>
            <w:tcW w:w="3284" w:type="pct"/>
            <w:shd w:val="clear" w:color="auto" w:fill="D9D9D9"/>
            <w:vAlign w:val="center"/>
          </w:tcPr>
          <w:p w:rsidR="002E3A02" w:rsidRPr="00E81281" w:rsidRDefault="002E3A02" w:rsidP="0060717C">
            <w:pPr>
              <w:spacing w:after="0"/>
              <w:rPr>
                <w:b/>
              </w:rPr>
            </w:pPr>
            <w:r w:rsidRPr="00E81281">
              <w:rPr>
                <w:b/>
              </w:rPr>
              <w:t xml:space="preserve">PROCESSUS PARTICIPATIF </w:t>
            </w:r>
          </w:p>
        </w:tc>
        <w:tc>
          <w:tcPr>
            <w:tcW w:w="991" w:type="pct"/>
            <w:shd w:val="clear" w:color="auto" w:fill="D9D9D9"/>
            <w:vAlign w:val="center"/>
          </w:tcPr>
          <w:p w:rsidR="002E3A02" w:rsidRPr="00E81281" w:rsidRDefault="002E3A02" w:rsidP="0060717C">
            <w:pPr>
              <w:spacing w:after="0"/>
              <w:rPr>
                <w:b/>
              </w:rPr>
            </w:pPr>
            <w:r w:rsidRPr="00E81281">
              <w:rPr>
                <w:b/>
              </w:rPr>
              <w:t>SOURCE DE VERIFICATION</w:t>
            </w:r>
          </w:p>
        </w:tc>
      </w:tr>
      <w:tr w:rsidR="002E3A02" w:rsidRPr="00E343E3" w:rsidTr="0060717C">
        <w:trPr>
          <w:trHeight w:val="373"/>
        </w:trPr>
        <w:tc>
          <w:tcPr>
            <w:tcW w:w="578" w:type="pct"/>
            <w:shd w:val="clear" w:color="auto" w:fill="FFD966"/>
            <w:vAlign w:val="center"/>
          </w:tcPr>
          <w:p w:rsidR="002E3A02" w:rsidRPr="00E81281" w:rsidRDefault="002E3A02" w:rsidP="0060717C">
            <w:pPr>
              <w:jc w:val="center"/>
              <w:rPr>
                <w:sz w:val="20"/>
                <w:szCs w:val="20"/>
              </w:rPr>
            </w:pPr>
          </w:p>
        </w:tc>
        <w:tc>
          <w:tcPr>
            <w:tcW w:w="147" w:type="pct"/>
            <w:shd w:val="clear" w:color="auto" w:fill="FFD966"/>
            <w:vAlign w:val="center"/>
          </w:tcPr>
          <w:p w:rsidR="002E3A02" w:rsidRPr="00E81281" w:rsidRDefault="002E3A02" w:rsidP="0060717C">
            <w:pPr>
              <w:jc w:val="center"/>
              <w:rPr>
                <w:sz w:val="20"/>
                <w:szCs w:val="20"/>
              </w:rPr>
            </w:pPr>
          </w:p>
        </w:tc>
        <w:tc>
          <w:tcPr>
            <w:tcW w:w="3284" w:type="pct"/>
            <w:shd w:val="clear" w:color="auto" w:fill="FFD966"/>
            <w:vAlign w:val="center"/>
          </w:tcPr>
          <w:p w:rsidR="002E3A02" w:rsidRPr="00E81281" w:rsidRDefault="002E3A02" w:rsidP="0060717C">
            <w:pPr>
              <w:pStyle w:val="Heading2"/>
            </w:pPr>
            <w:bookmarkStart w:id="98" w:name="_Toc464663027"/>
            <w:bookmarkStart w:id="99" w:name="_Toc469036953"/>
            <w:r w:rsidRPr="00E81281">
              <w:t>TOUS PROJETS ET PROGRAMMES</w:t>
            </w:r>
            <w:bookmarkEnd w:id="98"/>
            <w:bookmarkEnd w:id="99"/>
          </w:p>
        </w:tc>
        <w:tc>
          <w:tcPr>
            <w:tcW w:w="991" w:type="pct"/>
            <w:shd w:val="clear" w:color="auto" w:fill="FFD966"/>
            <w:vAlign w:val="center"/>
          </w:tcPr>
          <w:p w:rsidR="002E3A02" w:rsidRPr="00E81281" w:rsidRDefault="002E3A02" w:rsidP="0060717C">
            <w:pPr>
              <w:jc w:val="center"/>
              <w:rPr>
                <w:sz w:val="20"/>
                <w:szCs w:val="20"/>
              </w:rPr>
            </w:pPr>
          </w:p>
        </w:tc>
      </w:tr>
      <w:tr w:rsidR="002E3A02" w:rsidRPr="00E343E3" w:rsidTr="0060717C">
        <w:tc>
          <w:tcPr>
            <w:tcW w:w="578" w:type="pct"/>
            <w:vMerge w:val="restart"/>
            <w:shd w:val="clear" w:color="auto" w:fill="D9D9D9"/>
            <w:vAlign w:val="center"/>
          </w:tcPr>
          <w:p w:rsidR="002E3A02" w:rsidRPr="00E81281" w:rsidRDefault="002E3A02" w:rsidP="0060717C">
            <w:pPr>
              <w:rPr>
                <w:b/>
                <w:sz w:val="20"/>
                <w:szCs w:val="20"/>
              </w:rPr>
            </w:pPr>
            <w:r w:rsidRPr="00E81281">
              <w:rPr>
                <w:b/>
                <w:sz w:val="20"/>
                <w:szCs w:val="20"/>
              </w:rPr>
              <w:t xml:space="preserve">Conception du programme </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1</w:t>
            </w:r>
          </w:p>
        </w:tc>
        <w:tc>
          <w:tcPr>
            <w:tcW w:w="3284" w:type="pct"/>
            <w:shd w:val="clear" w:color="auto" w:fill="auto"/>
          </w:tcPr>
          <w:p w:rsidR="002E3A02" w:rsidRPr="00E81281" w:rsidRDefault="002E3A02" w:rsidP="0060717C">
            <w:pPr>
              <w:rPr>
                <w:sz w:val="20"/>
                <w:szCs w:val="20"/>
              </w:rPr>
            </w:pPr>
            <w:r w:rsidRPr="00E81281">
              <w:rPr>
                <w:b/>
                <w:sz w:val="20"/>
                <w:szCs w:val="20"/>
                <w:u w:val="single"/>
              </w:rPr>
              <w:t>Identification des parties prenantes</w:t>
            </w:r>
            <w:r w:rsidRPr="00E81281">
              <w:rPr>
                <w:sz w:val="20"/>
                <w:szCs w:val="20"/>
              </w:rPr>
              <w:t xml:space="preserve"> : institutions, autorités, responsables techniques, experts locaux et nationaux, projets en cours de réalisation ou passés, ong locales et nationales, organisations paysannes, associations des femmes et des jeunes, de Peuples Autochtones  Pygmées (PAP), plateformes multi acteurs de différents niveaux territorial, différents niveaux d’acteurs du secteur privé. </w:t>
            </w:r>
          </w:p>
          <w:p w:rsidR="002E3A02" w:rsidRPr="00E81281" w:rsidRDefault="002E3A02" w:rsidP="0060717C">
            <w:pPr>
              <w:rPr>
                <w:sz w:val="20"/>
                <w:szCs w:val="20"/>
              </w:rPr>
            </w:pPr>
          </w:p>
        </w:tc>
        <w:tc>
          <w:tcPr>
            <w:tcW w:w="991" w:type="pct"/>
            <w:shd w:val="clear" w:color="auto" w:fill="auto"/>
          </w:tcPr>
          <w:p w:rsidR="002E3A02" w:rsidRPr="00E81281" w:rsidRDefault="002E3A02" w:rsidP="0060717C">
            <w:pPr>
              <w:rPr>
                <w:sz w:val="20"/>
                <w:szCs w:val="20"/>
              </w:rPr>
            </w:pPr>
            <w:r w:rsidRPr="00E81281">
              <w:rPr>
                <w:sz w:val="20"/>
                <w:szCs w:val="20"/>
              </w:rPr>
              <w:t>Liste et coordonnées des parties prenantes figurant dans les annexes des documents programme</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2</w:t>
            </w:r>
          </w:p>
        </w:tc>
        <w:tc>
          <w:tcPr>
            <w:tcW w:w="3284" w:type="pct"/>
            <w:shd w:val="clear" w:color="auto" w:fill="auto"/>
          </w:tcPr>
          <w:p w:rsidR="002E3A02" w:rsidRPr="00E81281" w:rsidRDefault="002E3A02" w:rsidP="0060717C">
            <w:pPr>
              <w:rPr>
                <w:sz w:val="20"/>
                <w:szCs w:val="20"/>
              </w:rPr>
            </w:pPr>
            <w:r w:rsidRPr="00E81281">
              <w:rPr>
                <w:b/>
                <w:sz w:val="20"/>
                <w:szCs w:val="20"/>
                <w:u w:val="single"/>
              </w:rPr>
              <w:t>Echanges distincts</w:t>
            </w:r>
            <w:r w:rsidRPr="00E81281">
              <w:rPr>
                <w:sz w:val="20"/>
                <w:szCs w:val="20"/>
              </w:rPr>
              <w:t xml:space="preserve"> avec les différentes catégories de parties prenantes éventuellement aux différents niveaux territoriaux (programmes intégrés), par échantillon, sur les principaux enjeux des sujets concernés (moteurs de la déforestation,  situations foncières, pratiques bonnes et mauvaises, problèmes et solutions, situations institutionnelles, arrangements de mise en œuvre, innovations et leurs résultats, diffusion des innovations…)</w:t>
            </w:r>
          </w:p>
        </w:tc>
        <w:tc>
          <w:tcPr>
            <w:tcW w:w="991" w:type="pct"/>
            <w:shd w:val="clear" w:color="auto" w:fill="auto"/>
          </w:tcPr>
          <w:p w:rsidR="002E3A02" w:rsidRPr="00E81281" w:rsidRDefault="002E3A02" w:rsidP="0060717C">
            <w:pPr>
              <w:rPr>
                <w:sz w:val="20"/>
                <w:szCs w:val="20"/>
              </w:rPr>
            </w:pPr>
            <w:r w:rsidRPr="00E81281">
              <w:rPr>
                <w:sz w:val="20"/>
                <w:szCs w:val="20"/>
              </w:rPr>
              <w:t>Compte rendu des échanges dans les annexes des documents programmes</w:t>
            </w:r>
          </w:p>
          <w:p w:rsidR="002E3A02" w:rsidRPr="00E81281" w:rsidRDefault="002E3A02" w:rsidP="0060717C">
            <w:pPr>
              <w:rPr>
                <w:sz w:val="20"/>
                <w:szCs w:val="20"/>
              </w:rPr>
            </w:pPr>
            <w:r w:rsidRPr="00E81281">
              <w:rPr>
                <w:sz w:val="20"/>
                <w:szCs w:val="20"/>
              </w:rPr>
              <w:t>Photographies et vidéo des rencontres</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3</w:t>
            </w:r>
          </w:p>
        </w:tc>
        <w:tc>
          <w:tcPr>
            <w:tcW w:w="3284" w:type="pct"/>
            <w:shd w:val="clear" w:color="auto" w:fill="auto"/>
          </w:tcPr>
          <w:p w:rsidR="002E3A02" w:rsidRPr="00E81281" w:rsidRDefault="002E3A02" w:rsidP="0060717C">
            <w:pPr>
              <w:rPr>
                <w:b/>
                <w:sz w:val="20"/>
                <w:szCs w:val="20"/>
                <w:u w:val="single"/>
              </w:rPr>
            </w:pPr>
            <w:r w:rsidRPr="00E81281">
              <w:rPr>
                <w:b/>
                <w:sz w:val="20"/>
                <w:szCs w:val="20"/>
                <w:u w:val="single"/>
              </w:rPr>
              <w:t xml:space="preserve">Ateliers de Diagnostics participatifs initiaux </w:t>
            </w:r>
            <w:r w:rsidRPr="00E81281">
              <w:rPr>
                <w:sz w:val="20"/>
                <w:szCs w:val="20"/>
              </w:rPr>
              <w:t>avec échantillons représentatifs des parties prenantes. Finalisations des diagnostics par sujets, forces et faiblesses (institutions, acteurs), priorités, estimation approximative des coûts de réalisation.</w:t>
            </w:r>
          </w:p>
        </w:tc>
        <w:tc>
          <w:tcPr>
            <w:tcW w:w="991" w:type="pct"/>
            <w:shd w:val="clear" w:color="auto" w:fill="auto"/>
          </w:tcPr>
          <w:p w:rsidR="002E3A02" w:rsidRPr="00E81281" w:rsidRDefault="002E3A02" w:rsidP="0060717C">
            <w:pPr>
              <w:rPr>
                <w:sz w:val="20"/>
                <w:szCs w:val="20"/>
              </w:rPr>
            </w:pPr>
            <w:r w:rsidRPr="00E81281">
              <w:rPr>
                <w:sz w:val="20"/>
                <w:szCs w:val="20"/>
              </w:rPr>
              <w:t xml:space="preserve">Compte rendu de ces ateliers </w:t>
            </w:r>
          </w:p>
          <w:p w:rsidR="002E3A02" w:rsidRPr="00E81281" w:rsidRDefault="002E3A02" w:rsidP="0060717C">
            <w:pPr>
              <w:rPr>
                <w:sz w:val="20"/>
                <w:szCs w:val="20"/>
              </w:rPr>
            </w:pPr>
            <w:r w:rsidRPr="00E81281">
              <w:rPr>
                <w:sz w:val="20"/>
                <w:szCs w:val="20"/>
              </w:rPr>
              <w:t>Photographie des ateliers</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4</w:t>
            </w:r>
          </w:p>
        </w:tc>
        <w:tc>
          <w:tcPr>
            <w:tcW w:w="3284" w:type="pct"/>
            <w:shd w:val="clear" w:color="auto" w:fill="auto"/>
          </w:tcPr>
          <w:p w:rsidR="002E3A02" w:rsidRPr="00E81281" w:rsidRDefault="002E3A02" w:rsidP="0060717C">
            <w:pPr>
              <w:rPr>
                <w:b/>
                <w:sz w:val="20"/>
                <w:szCs w:val="20"/>
              </w:rPr>
            </w:pPr>
            <w:r w:rsidRPr="00E81281">
              <w:rPr>
                <w:b/>
                <w:sz w:val="20"/>
                <w:szCs w:val="20"/>
                <w:u w:val="single"/>
              </w:rPr>
              <w:t>Formulation des idées de programme</w:t>
            </w:r>
            <w:r w:rsidRPr="00E81281">
              <w:rPr>
                <w:b/>
                <w:sz w:val="20"/>
                <w:szCs w:val="20"/>
              </w:rPr>
              <w:t xml:space="preserve"> : </w:t>
            </w:r>
            <w:r w:rsidRPr="00E81281">
              <w:rPr>
                <w:sz w:val="20"/>
                <w:szCs w:val="20"/>
              </w:rPr>
              <w:t>objectifs, résultats, activités, cadres de résultats et budgets provisoires</w:t>
            </w:r>
          </w:p>
        </w:tc>
        <w:tc>
          <w:tcPr>
            <w:tcW w:w="991" w:type="pct"/>
            <w:shd w:val="clear" w:color="auto" w:fill="auto"/>
          </w:tcPr>
          <w:p w:rsidR="002E3A02" w:rsidRPr="00E81281" w:rsidRDefault="002E3A02" w:rsidP="0060717C">
            <w:pPr>
              <w:rPr>
                <w:sz w:val="20"/>
                <w:szCs w:val="20"/>
              </w:rPr>
            </w:pPr>
            <w:r w:rsidRPr="00E81281">
              <w:rPr>
                <w:sz w:val="20"/>
                <w:szCs w:val="20"/>
              </w:rPr>
              <w:t>Note d’Idée de Programme</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5</w:t>
            </w:r>
          </w:p>
        </w:tc>
        <w:tc>
          <w:tcPr>
            <w:tcW w:w="3284" w:type="pct"/>
            <w:shd w:val="clear" w:color="auto" w:fill="auto"/>
          </w:tcPr>
          <w:p w:rsidR="002E3A02" w:rsidRPr="00E81281" w:rsidRDefault="002E3A02" w:rsidP="0060717C">
            <w:pPr>
              <w:rPr>
                <w:sz w:val="20"/>
                <w:szCs w:val="20"/>
              </w:rPr>
            </w:pPr>
            <w:r w:rsidRPr="00E81281">
              <w:rPr>
                <w:b/>
                <w:sz w:val="20"/>
                <w:szCs w:val="20"/>
              </w:rPr>
              <w:t>Examen élargi et Validation des idées de programmes</w:t>
            </w:r>
            <w:r w:rsidRPr="00E81281">
              <w:rPr>
                <w:sz w:val="20"/>
                <w:szCs w:val="20"/>
              </w:rPr>
              <w:t xml:space="preserve"> par les autorités et les principales parties prenantes (ateliers réduits).</w:t>
            </w:r>
          </w:p>
        </w:tc>
        <w:tc>
          <w:tcPr>
            <w:tcW w:w="991" w:type="pct"/>
            <w:shd w:val="clear" w:color="auto" w:fill="auto"/>
          </w:tcPr>
          <w:p w:rsidR="002E3A02" w:rsidRPr="00E81281" w:rsidRDefault="002E3A02" w:rsidP="0060717C">
            <w:pPr>
              <w:rPr>
                <w:sz w:val="20"/>
                <w:szCs w:val="20"/>
              </w:rPr>
            </w:pPr>
            <w:r w:rsidRPr="00E81281">
              <w:rPr>
                <w:sz w:val="20"/>
                <w:szCs w:val="20"/>
              </w:rPr>
              <w:t>Comptes rendus des réunions de validation annexés au document projet</w:t>
            </w:r>
          </w:p>
        </w:tc>
      </w:tr>
      <w:tr w:rsidR="002E3A02" w:rsidRPr="00E343E3" w:rsidTr="0060717C">
        <w:tc>
          <w:tcPr>
            <w:tcW w:w="578" w:type="pct"/>
            <w:shd w:val="clear" w:color="auto" w:fill="auto"/>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6</w:t>
            </w:r>
          </w:p>
        </w:tc>
        <w:tc>
          <w:tcPr>
            <w:tcW w:w="3284" w:type="pct"/>
            <w:shd w:val="clear" w:color="auto" w:fill="auto"/>
          </w:tcPr>
          <w:p w:rsidR="002E3A02" w:rsidRPr="00E81281" w:rsidRDefault="002E3A02" w:rsidP="0060717C">
            <w:pPr>
              <w:rPr>
                <w:sz w:val="20"/>
                <w:szCs w:val="20"/>
              </w:rPr>
            </w:pPr>
            <w:r w:rsidRPr="00E81281">
              <w:rPr>
                <w:sz w:val="20"/>
                <w:szCs w:val="20"/>
                <w:highlight w:val="lightGray"/>
              </w:rPr>
              <w:t>N.B : 3 et 5 peuvent être conduits dans le même atelier. 4 en grande partie aussi.</w:t>
            </w:r>
            <w:r w:rsidRPr="00E81281">
              <w:rPr>
                <w:sz w:val="20"/>
                <w:szCs w:val="20"/>
              </w:rPr>
              <w:t xml:space="preserve"> </w:t>
            </w:r>
          </w:p>
        </w:tc>
        <w:tc>
          <w:tcPr>
            <w:tcW w:w="991" w:type="pct"/>
            <w:shd w:val="clear" w:color="auto" w:fill="auto"/>
          </w:tcPr>
          <w:p w:rsidR="002E3A02" w:rsidRPr="00E81281" w:rsidRDefault="002E3A02" w:rsidP="0060717C">
            <w:pPr>
              <w:rPr>
                <w:sz w:val="20"/>
                <w:szCs w:val="20"/>
              </w:rPr>
            </w:pPr>
          </w:p>
        </w:tc>
      </w:tr>
      <w:tr w:rsidR="002E3A02" w:rsidRPr="00E343E3" w:rsidTr="0060717C">
        <w:tc>
          <w:tcPr>
            <w:tcW w:w="578" w:type="pct"/>
            <w:shd w:val="clear" w:color="auto" w:fill="D9D9D9"/>
          </w:tcPr>
          <w:p w:rsidR="002E3A02" w:rsidRPr="00E81281" w:rsidRDefault="002E3A02" w:rsidP="0060717C">
            <w:pPr>
              <w:rPr>
                <w:b/>
                <w:sz w:val="20"/>
                <w:szCs w:val="20"/>
              </w:rPr>
            </w:pPr>
          </w:p>
        </w:tc>
        <w:tc>
          <w:tcPr>
            <w:tcW w:w="147" w:type="pct"/>
            <w:shd w:val="clear" w:color="auto" w:fill="D9D9D9"/>
            <w:vAlign w:val="center"/>
          </w:tcPr>
          <w:p w:rsidR="002E3A02" w:rsidRPr="00E81281" w:rsidRDefault="002E3A02" w:rsidP="0060717C">
            <w:pPr>
              <w:jc w:val="center"/>
              <w:rPr>
                <w:sz w:val="20"/>
                <w:szCs w:val="20"/>
              </w:rPr>
            </w:pPr>
          </w:p>
        </w:tc>
        <w:tc>
          <w:tcPr>
            <w:tcW w:w="3284" w:type="pct"/>
            <w:shd w:val="clear" w:color="auto" w:fill="D9D9D9"/>
            <w:vAlign w:val="center"/>
          </w:tcPr>
          <w:p w:rsidR="002E3A02" w:rsidRPr="00E81281" w:rsidRDefault="002E3A02" w:rsidP="0060717C">
            <w:pPr>
              <w:rPr>
                <w:b/>
                <w:sz w:val="20"/>
                <w:szCs w:val="20"/>
              </w:rPr>
            </w:pPr>
          </w:p>
        </w:tc>
        <w:tc>
          <w:tcPr>
            <w:tcW w:w="991" w:type="pct"/>
            <w:shd w:val="clear" w:color="auto" w:fill="D9D9D9"/>
          </w:tcPr>
          <w:p w:rsidR="002E3A02" w:rsidRPr="00E81281" w:rsidRDefault="002E3A02" w:rsidP="0060717C">
            <w:pPr>
              <w:rPr>
                <w:sz w:val="20"/>
                <w:szCs w:val="20"/>
              </w:rPr>
            </w:pPr>
          </w:p>
        </w:tc>
      </w:tr>
      <w:tr w:rsidR="002E3A02" w:rsidRPr="00E343E3" w:rsidTr="0060717C">
        <w:tc>
          <w:tcPr>
            <w:tcW w:w="578" w:type="pct"/>
            <w:shd w:val="clear" w:color="auto" w:fill="D9D9D9"/>
          </w:tcPr>
          <w:p w:rsidR="002E3A02" w:rsidRPr="00E81281" w:rsidRDefault="002E3A02" w:rsidP="0060717C">
            <w:pPr>
              <w:rPr>
                <w:b/>
                <w:sz w:val="20"/>
                <w:szCs w:val="20"/>
              </w:rPr>
            </w:pPr>
            <w:r w:rsidRPr="00E81281">
              <w:rPr>
                <w:b/>
                <w:sz w:val="20"/>
                <w:szCs w:val="20"/>
              </w:rPr>
              <w:t>Mise en œuvre du programme</w:t>
            </w:r>
          </w:p>
        </w:tc>
        <w:tc>
          <w:tcPr>
            <w:tcW w:w="147" w:type="pct"/>
            <w:shd w:val="clear" w:color="auto" w:fill="D9D9D9"/>
            <w:vAlign w:val="center"/>
          </w:tcPr>
          <w:p w:rsidR="002E3A02" w:rsidRPr="00E81281" w:rsidRDefault="002E3A02" w:rsidP="0060717C">
            <w:pPr>
              <w:jc w:val="center"/>
              <w:rPr>
                <w:sz w:val="20"/>
                <w:szCs w:val="20"/>
              </w:rPr>
            </w:pPr>
            <w:r w:rsidRPr="00E81281">
              <w:rPr>
                <w:sz w:val="20"/>
                <w:szCs w:val="20"/>
              </w:rPr>
              <w:t>5</w:t>
            </w:r>
          </w:p>
        </w:tc>
        <w:tc>
          <w:tcPr>
            <w:tcW w:w="3284" w:type="pct"/>
            <w:shd w:val="clear" w:color="auto" w:fill="FFD966"/>
            <w:vAlign w:val="center"/>
          </w:tcPr>
          <w:p w:rsidR="002E3A02" w:rsidRPr="00E81281" w:rsidRDefault="002E3A02" w:rsidP="0060717C">
            <w:pPr>
              <w:pStyle w:val="Heading2"/>
            </w:pPr>
            <w:bookmarkStart w:id="100" w:name="_Toc464663028"/>
            <w:bookmarkStart w:id="101" w:name="_Toc469036954"/>
            <w:r w:rsidRPr="00E81281">
              <w:t>PROGRAMMES INTEGRES ET PROJETS SECTORIELS</w:t>
            </w:r>
            <w:bookmarkEnd w:id="100"/>
            <w:bookmarkEnd w:id="101"/>
          </w:p>
        </w:tc>
        <w:tc>
          <w:tcPr>
            <w:tcW w:w="991" w:type="pct"/>
            <w:shd w:val="clear" w:color="auto" w:fill="D9D9D9"/>
          </w:tcPr>
          <w:p w:rsidR="002E3A02" w:rsidRPr="00E81281" w:rsidRDefault="002E3A02" w:rsidP="0060717C">
            <w:pPr>
              <w:rPr>
                <w:sz w:val="20"/>
                <w:szCs w:val="20"/>
              </w:rPr>
            </w:pPr>
          </w:p>
        </w:tc>
      </w:tr>
      <w:tr w:rsidR="002E3A02" w:rsidRPr="00E343E3" w:rsidTr="0060717C">
        <w:tc>
          <w:tcPr>
            <w:tcW w:w="578" w:type="pct"/>
            <w:shd w:val="clear" w:color="auto" w:fill="F2F2F2"/>
            <w:vAlign w:val="center"/>
          </w:tcPr>
          <w:p w:rsidR="002E3A02" w:rsidRPr="00E81281" w:rsidRDefault="002E3A02" w:rsidP="0060717C">
            <w:pPr>
              <w:jc w:val="center"/>
              <w:rPr>
                <w:b/>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0</w:t>
            </w:r>
          </w:p>
        </w:tc>
        <w:tc>
          <w:tcPr>
            <w:tcW w:w="3284" w:type="pct"/>
            <w:shd w:val="clear" w:color="auto" w:fill="auto"/>
          </w:tcPr>
          <w:p w:rsidR="002E3A02" w:rsidRPr="00E81281" w:rsidRDefault="002E3A02" w:rsidP="0060717C">
            <w:pPr>
              <w:rPr>
                <w:b/>
                <w:sz w:val="20"/>
                <w:szCs w:val="20"/>
              </w:rPr>
            </w:pPr>
            <w:r w:rsidRPr="00E81281">
              <w:rPr>
                <w:b/>
                <w:sz w:val="20"/>
                <w:szCs w:val="20"/>
              </w:rPr>
              <w:t>ATELIER DE LANCEMENT DES PROJETS</w:t>
            </w:r>
          </w:p>
          <w:p w:rsidR="002E3A02" w:rsidRPr="00E81281" w:rsidRDefault="002E3A02" w:rsidP="0060717C">
            <w:pPr>
              <w:rPr>
                <w:sz w:val="20"/>
                <w:szCs w:val="20"/>
              </w:rPr>
            </w:pPr>
            <w:r w:rsidRPr="00E81281">
              <w:rPr>
                <w:sz w:val="20"/>
                <w:szCs w:val="20"/>
              </w:rPr>
              <w:t xml:space="preserve">Ils réunissent les personnes représentatives des différentes parties prenantes, les autorités, les services techniques, les chefs coutumiers, les chefs de secteurs concernés, les CARGs (avant refondation quand ils existent) les chefs de groupement, les représentant des grandes organisations religieuses, ONG et projets, les représentants des PAP, des associations féminines etc. Les radios communautaires. </w:t>
            </w:r>
          </w:p>
          <w:p w:rsidR="002E3A02" w:rsidRPr="00E81281" w:rsidRDefault="002E3A02" w:rsidP="0060717C">
            <w:pPr>
              <w:rPr>
                <w:sz w:val="20"/>
                <w:szCs w:val="20"/>
              </w:rPr>
            </w:pPr>
            <w:r w:rsidRPr="00E81281">
              <w:rPr>
                <w:sz w:val="20"/>
                <w:szCs w:val="20"/>
              </w:rPr>
              <w:t>Projets présentés, discutés, procès-verbal signés par tous comprenant les remarques des parties prenantes.</w:t>
            </w:r>
          </w:p>
        </w:tc>
        <w:tc>
          <w:tcPr>
            <w:tcW w:w="991" w:type="pct"/>
            <w:shd w:val="clear" w:color="auto" w:fill="auto"/>
          </w:tcPr>
          <w:p w:rsidR="002E3A02" w:rsidRPr="00E81281" w:rsidRDefault="002E3A02" w:rsidP="0060717C">
            <w:pPr>
              <w:rPr>
                <w:sz w:val="20"/>
                <w:szCs w:val="20"/>
              </w:rPr>
            </w:pPr>
            <w:r w:rsidRPr="00E81281">
              <w:rPr>
                <w:sz w:val="20"/>
                <w:szCs w:val="20"/>
              </w:rPr>
              <w:t xml:space="preserve">Le PV signé notamment par tous les participants. </w:t>
            </w:r>
          </w:p>
          <w:p w:rsidR="002E3A02" w:rsidRPr="00E81281" w:rsidRDefault="002E3A02" w:rsidP="0060717C">
            <w:pPr>
              <w:rPr>
                <w:sz w:val="20"/>
                <w:szCs w:val="20"/>
              </w:rPr>
            </w:pPr>
            <w:r w:rsidRPr="00E81281">
              <w:rPr>
                <w:sz w:val="20"/>
                <w:szCs w:val="20"/>
              </w:rPr>
              <w:t>Actes d’engagement des parties prenantes.</w:t>
            </w:r>
          </w:p>
        </w:tc>
      </w:tr>
      <w:tr w:rsidR="002E3A02" w:rsidRPr="00E343E3" w:rsidTr="0060717C">
        <w:tc>
          <w:tcPr>
            <w:tcW w:w="578" w:type="pct"/>
            <w:vMerge w:val="restart"/>
            <w:shd w:val="clear" w:color="auto" w:fill="D9D9D9"/>
            <w:vAlign w:val="center"/>
          </w:tcPr>
          <w:p w:rsidR="002E3A02" w:rsidRPr="00E81281" w:rsidRDefault="002E3A02" w:rsidP="0060717C">
            <w:pPr>
              <w:rPr>
                <w:b/>
                <w:sz w:val="20"/>
                <w:szCs w:val="20"/>
              </w:rPr>
            </w:pPr>
            <w:r w:rsidRPr="00E81281">
              <w:rPr>
                <w:b/>
                <w:sz w:val="20"/>
                <w:szCs w:val="20"/>
              </w:rPr>
              <w:t>Gouvernance</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1</w:t>
            </w:r>
          </w:p>
        </w:tc>
        <w:tc>
          <w:tcPr>
            <w:tcW w:w="3284" w:type="pct"/>
            <w:shd w:val="clear" w:color="auto" w:fill="auto"/>
          </w:tcPr>
          <w:p w:rsidR="002E3A02" w:rsidRPr="00E81281" w:rsidRDefault="002E3A02" w:rsidP="0060717C">
            <w:pPr>
              <w:rPr>
                <w:sz w:val="20"/>
                <w:szCs w:val="20"/>
              </w:rPr>
            </w:pPr>
            <w:r w:rsidRPr="00E81281">
              <w:rPr>
                <w:b/>
                <w:sz w:val="20"/>
                <w:szCs w:val="20"/>
              </w:rPr>
              <w:t>RENFORCEMENT DES CAPACITES DES INSTITUTIONS TERRITORIALES</w:t>
            </w:r>
            <w:r w:rsidRPr="00E81281">
              <w:rPr>
                <w:sz w:val="20"/>
                <w:szCs w:val="20"/>
              </w:rPr>
              <w:t xml:space="preserve"> appelées à élaborer les Plans de Développement aux différents niveaux d’intervention : terroirs villageois, groupements, ETD, territoires. </w:t>
            </w:r>
          </w:p>
          <w:p w:rsidR="002E3A02" w:rsidRPr="00E81281" w:rsidRDefault="002E3A02" w:rsidP="0060717C">
            <w:pPr>
              <w:rPr>
                <w:b/>
                <w:sz w:val="20"/>
                <w:szCs w:val="20"/>
              </w:rPr>
            </w:pPr>
            <w:r w:rsidRPr="00E81281">
              <w:rPr>
                <w:b/>
                <w:sz w:val="20"/>
                <w:szCs w:val="20"/>
              </w:rPr>
              <w:t>Terroirs : création ou refondation des CLD</w:t>
            </w:r>
          </w:p>
          <w:p w:rsidR="002E3A02" w:rsidRPr="00E81281" w:rsidRDefault="002E3A02" w:rsidP="002E3A02">
            <w:pPr>
              <w:pStyle w:val="ListParagraph"/>
              <w:numPr>
                <w:ilvl w:val="0"/>
                <w:numId w:val="77"/>
              </w:numPr>
              <w:spacing w:line="259" w:lineRule="auto"/>
              <w:ind w:left="317" w:hanging="317"/>
              <w:contextualSpacing/>
              <w:rPr>
                <w:b/>
                <w:strike/>
                <w:sz w:val="20"/>
                <w:szCs w:val="20"/>
              </w:rPr>
            </w:pPr>
            <w:r w:rsidRPr="00E81281">
              <w:rPr>
                <w:sz w:val="20"/>
                <w:szCs w:val="20"/>
              </w:rPr>
              <w:t xml:space="preserve">Identification ou création des CLD et renforcement des capacités </w:t>
            </w:r>
          </w:p>
          <w:p w:rsidR="002E3A02" w:rsidRPr="00E81281" w:rsidRDefault="002E3A02" w:rsidP="002E3A02">
            <w:pPr>
              <w:pStyle w:val="ListParagraph"/>
              <w:numPr>
                <w:ilvl w:val="0"/>
                <w:numId w:val="77"/>
              </w:numPr>
              <w:spacing w:line="259" w:lineRule="auto"/>
              <w:ind w:left="317" w:hanging="317"/>
              <w:contextualSpacing/>
              <w:rPr>
                <w:strike/>
                <w:sz w:val="20"/>
                <w:szCs w:val="20"/>
              </w:rPr>
            </w:pPr>
            <w:r w:rsidRPr="00E81281">
              <w:rPr>
                <w:sz w:val="20"/>
                <w:szCs w:val="20"/>
              </w:rPr>
              <w:t xml:space="preserve">assemblées générales fondatrices des associations territoriales (CLD), </w:t>
            </w:r>
          </w:p>
          <w:p w:rsidR="002E3A02" w:rsidRPr="00E81281" w:rsidRDefault="002E3A02" w:rsidP="002E3A02">
            <w:pPr>
              <w:pStyle w:val="ListParagraph"/>
              <w:numPr>
                <w:ilvl w:val="0"/>
                <w:numId w:val="77"/>
              </w:numPr>
              <w:ind w:left="317" w:hanging="317"/>
              <w:contextualSpacing/>
              <w:rPr>
                <w:sz w:val="20"/>
                <w:szCs w:val="20"/>
              </w:rPr>
            </w:pPr>
            <w:r w:rsidRPr="00E81281">
              <w:rPr>
                <w:sz w:val="20"/>
                <w:szCs w:val="20"/>
              </w:rPr>
              <w:t>l’AG désigne le coordonnateur de CLD et établit la feuille de route ;</w:t>
            </w:r>
          </w:p>
          <w:p w:rsidR="002E3A02" w:rsidRPr="00E81281" w:rsidRDefault="002E3A02" w:rsidP="002E3A02">
            <w:pPr>
              <w:pStyle w:val="ListParagraph"/>
              <w:numPr>
                <w:ilvl w:val="0"/>
                <w:numId w:val="77"/>
              </w:numPr>
              <w:ind w:left="317" w:hanging="317"/>
              <w:contextualSpacing/>
              <w:rPr>
                <w:sz w:val="20"/>
                <w:szCs w:val="20"/>
              </w:rPr>
            </w:pPr>
            <w:r w:rsidRPr="00E81281">
              <w:rPr>
                <w:sz w:val="20"/>
                <w:szCs w:val="20"/>
              </w:rPr>
              <w:t>dépôt des statuts au bureau de l’ETD ; obtention de l’autorisation de fonctionner du chef d’ETD ;</w:t>
            </w:r>
          </w:p>
          <w:p w:rsidR="002E3A02" w:rsidRPr="00E81281" w:rsidRDefault="002E3A02" w:rsidP="0060717C">
            <w:pPr>
              <w:pStyle w:val="ListParagraph"/>
              <w:ind w:left="317"/>
              <w:rPr>
                <w:sz w:val="20"/>
                <w:szCs w:val="20"/>
              </w:rPr>
            </w:pPr>
          </w:p>
          <w:p w:rsidR="002E3A02" w:rsidRPr="00E81281" w:rsidRDefault="002E3A02" w:rsidP="0060717C">
            <w:pPr>
              <w:rPr>
                <w:b/>
                <w:sz w:val="20"/>
                <w:szCs w:val="20"/>
              </w:rPr>
            </w:pPr>
            <w:r w:rsidRPr="00E81281">
              <w:rPr>
                <w:b/>
                <w:sz w:val="20"/>
                <w:szCs w:val="20"/>
              </w:rPr>
              <w:t>Fondation ou refondation des plateformes multi acteurs de groupement,  d’ETD</w:t>
            </w:r>
          </w:p>
          <w:p w:rsidR="002E3A02" w:rsidRPr="00E81281" w:rsidRDefault="002E3A02" w:rsidP="0060717C">
            <w:pPr>
              <w:rPr>
                <w:sz w:val="20"/>
                <w:szCs w:val="20"/>
              </w:rPr>
            </w:pPr>
            <w:r w:rsidRPr="00E81281">
              <w:rPr>
                <w:sz w:val="20"/>
                <w:szCs w:val="20"/>
              </w:rPr>
              <w:t xml:space="preserve">Statut : commission para publique représentant local du Comité Foncier de Province. Membres : le chef de secteur, les chefs de groupement, les ongs locales et organisations paysannes, les organisations religieuses, les principales OP,  les représentants des CLD de terroirs, les représentants des fermiers et entreprises opérant dans l’ETD. Les représentants des services de l’état : police, agriculture, environnement, travaux publics ; etc.  </w:t>
            </w:r>
          </w:p>
          <w:p w:rsidR="002E3A02" w:rsidRPr="00E81281" w:rsidRDefault="002E3A02" w:rsidP="0060717C">
            <w:pPr>
              <w:rPr>
                <w:b/>
                <w:sz w:val="20"/>
                <w:szCs w:val="20"/>
              </w:rPr>
            </w:pPr>
            <w:r w:rsidRPr="00E81281">
              <w:rPr>
                <w:sz w:val="20"/>
                <w:szCs w:val="20"/>
              </w:rPr>
              <w:t>Assemblée fondatrice désigne son coordonnateur et établit sa feuille de route.  PV de création signée par l’AT.</w:t>
            </w:r>
          </w:p>
          <w:p w:rsidR="002E3A02" w:rsidRPr="00E81281" w:rsidRDefault="002E3A02" w:rsidP="0060717C">
            <w:pPr>
              <w:rPr>
                <w:b/>
                <w:sz w:val="20"/>
                <w:szCs w:val="20"/>
              </w:rPr>
            </w:pPr>
            <w:r w:rsidRPr="00E81281">
              <w:rPr>
                <w:b/>
                <w:sz w:val="20"/>
                <w:szCs w:val="20"/>
              </w:rPr>
              <w:lastRenderedPageBreak/>
              <w:t>Fondation ou refondation des plateformes de Territoire :</w:t>
            </w:r>
          </w:p>
          <w:p w:rsidR="002E3A02" w:rsidRPr="00E81281" w:rsidRDefault="002E3A02" w:rsidP="0060717C">
            <w:pPr>
              <w:rPr>
                <w:sz w:val="20"/>
                <w:szCs w:val="20"/>
              </w:rPr>
            </w:pPr>
            <w:r w:rsidRPr="00E81281">
              <w:rPr>
                <w:sz w:val="20"/>
                <w:szCs w:val="20"/>
              </w:rPr>
              <w:t>Statut : commission parapubliques représentant local du Comité Foncier de province. Membres : l’AT, les chefs de secteur, les coordonnateurs des plateformes multi acteurs d’ETD, les grands chefs coutumiers, les grandes ONGs, les représentants des : organisations religieuses de développement, principales OP, ONG de femmes, de PAP, les principaux fermiers et entreprises opérant dans le territoire, tous secteurs professionnels confondus. Le juge de paix, inspecteur de l’agriculture, superviseur de l’environnement, directeur des affaires foncières. médecin inspecteur, chef de la police. Assemblée Générale nomme le Coordonnateur de territoire et établit sa feuille de route. PV de création signée par l’AT.</w:t>
            </w:r>
          </w:p>
          <w:p w:rsidR="002E3A02" w:rsidRPr="00E81281" w:rsidRDefault="002E3A02" w:rsidP="0060717C">
            <w:pPr>
              <w:spacing w:after="0" w:line="240" w:lineRule="auto"/>
              <w:rPr>
                <w:b/>
                <w:color w:val="FF0000"/>
                <w:u w:val="single"/>
              </w:rPr>
            </w:pPr>
            <w:r w:rsidRPr="00E81281">
              <w:rPr>
                <w:b/>
                <w:color w:val="FF0000"/>
                <w:u w:val="single"/>
              </w:rPr>
              <w:t>Cas des projets sectoriels :</w:t>
            </w:r>
          </w:p>
          <w:p w:rsidR="002E3A02" w:rsidRDefault="002E3A02" w:rsidP="0060717C">
            <w:pPr>
              <w:spacing w:after="0" w:line="240" w:lineRule="auto"/>
            </w:pPr>
          </w:p>
          <w:p w:rsidR="002E3A02" w:rsidRPr="00E81281" w:rsidRDefault="002E3A02" w:rsidP="0060717C">
            <w:pPr>
              <w:rPr>
                <w:sz w:val="20"/>
                <w:szCs w:val="20"/>
              </w:rPr>
            </w:pPr>
            <w:r w:rsidRPr="00E81281">
              <w:rPr>
                <w:sz w:val="20"/>
                <w:szCs w:val="20"/>
              </w:rPr>
              <w:t>Tous les projets sectoriels à objets concrets (plantations, concessions communautaire et communale, etc) sont appelés à élaborer des plans simples de gestion (PSG) à leurs différents niveaux d’intervention : terroirs villageois, groupements, ETD, territoires :</w:t>
            </w:r>
          </w:p>
          <w:p w:rsidR="002E3A02" w:rsidRPr="00E81281" w:rsidRDefault="002E3A02" w:rsidP="0060717C">
            <w:pPr>
              <w:rPr>
                <w:sz w:val="20"/>
                <w:szCs w:val="20"/>
              </w:rPr>
            </w:pPr>
            <w:r w:rsidRPr="00E81281">
              <w:rPr>
                <w:sz w:val="20"/>
                <w:szCs w:val="20"/>
              </w:rPr>
              <w:t>Dans le cas des projets sectoriels, à priori répandus sur l’ensemble du territoire, et pour les projets situés en dehors des projets intégrés, la taille des projets détermine le niveau où les projets doivent réaliser des PSG, et ceci en tenant compte du rayon d’impact de ces projets, ainsi que du rapport coût bénéfice de ces PSG. Les tailles sont à adapter en fonction des densités humaines et des contextes fonciers) :</w:t>
            </w:r>
          </w:p>
          <w:p w:rsidR="002E3A02" w:rsidRPr="00E81281" w:rsidRDefault="002E3A02" w:rsidP="002E3A02">
            <w:pPr>
              <w:pStyle w:val="ListParagraph"/>
              <w:numPr>
                <w:ilvl w:val="0"/>
                <w:numId w:val="82"/>
              </w:numPr>
              <w:contextualSpacing/>
              <w:rPr>
                <w:sz w:val="20"/>
                <w:szCs w:val="20"/>
              </w:rPr>
            </w:pPr>
            <w:r w:rsidRPr="00E81281">
              <w:rPr>
                <w:sz w:val="20"/>
                <w:szCs w:val="20"/>
              </w:rPr>
              <w:t>si l’investissement ne dépasse pas les 50 et 200 ha (en fonction des densités humaines)</w:t>
            </w:r>
          </w:p>
          <w:p w:rsidR="002E3A02" w:rsidRPr="00E81281" w:rsidRDefault="002E3A02" w:rsidP="002E3A02">
            <w:pPr>
              <w:pStyle w:val="ListParagraph"/>
              <w:numPr>
                <w:ilvl w:val="0"/>
                <w:numId w:val="83"/>
              </w:numPr>
              <w:contextualSpacing/>
              <w:rPr>
                <w:sz w:val="20"/>
                <w:szCs w:val="20"/>
              </w:rPr>
            </w:pPr>
            <w:r w:rsidRPr="00E81281">
              <w:rPr>
                <w:sz w:val="20"/>
                <w:szCs w:val="20"/>
              </w:rPr>
              <w:t xml:space="preserve">le renforcement des capacités se limite au(x)  </w:t>
            </w:r>
            <w:r w:rsidRPr="00E81281">
              <w:rPr>
                <w:b/>
                <w:sz w:val="20"/>
                <w:szCs w:val="20"/>
                <w:u w:val="single"/>
              </w:rPr>
              <w:t>terroirs</w:t>
            </w:r>
            <w:r w:rsidRPr="00E81281">
              <w:rPr>
                <w:sz w:val="20"/>
                <w:szCs w:val="20"/>
              </w:rPr>
              <w:t xml:space="preserve"> immédiatement voisins du lieu de l’investissement </w:t>
            </w:r>
          </w:p>
          <w:p w:rsidR="002E3A02" w:rsidRPr="00E81281" w:rsidRDefault="002E3A02" w:rsidP="002E3A02">
            <w:pPr>
              <w:pStyle w:val="ListParagraph"/>
              <w:numPr>
                <w:ilvl w:val="0"/>
                <w:numId w:val="82"/>
              </w:numPr>
              <w:contextualSpacing/>
              <w:rPr>
                <w:sz w:val="20"/>
                <w:szCs w:val="20"/>
              </w:rPr>
            </w:pPr>
            <w:r w:rsidRPr="00E81281">
              <w:rPr>
                <w:sz w:val="20"/>
                <w:szCs w:val="20"/>
              </w:rPr>
              <w:t>si l’investissement est compris entre 200 et 500 ha  (à adapter en fonction des contextes fonciers</w:t>
            </w:r>
          </w:p>
          <w:p w:rsidR="002E3A02" w:rsidRPr="00E81281" w:rsidRDefault="002E3A02" w:rsidP="002E3A02">
            <w:pPr>
              <w:pStyle w:val="ListParagraph"/>
              <w:numPr>
                <w:ilvl w:val="0"/>
                <w:numId w:val="83"/>
              </w:numPr>
              <w:contextualSpacing/>
              <w:rPr>
                <w:sz w:val="20"/>
                <w:szCs w:val="20"/>
              </w:rPr>
            </w:pPr>
            <w:r w:rsidRPr="00E81281">
              <w:rPr>
                <w:sz w:val="20"/>
                <w:szCs w:val="20"/>
              </w:rPr>
              <w:t>le renforcement des capacités se limite aux terroirs immédiatement voisins du lieu de l’investissement</w:t>
            </w:r>
          </w:p>
          <w:p w:rsidR="002E3A02" w:rsidRPr="00E81281" w:rsidRDefault="002E3A02" w:rsidP="002E3A02">
            <w:pPr>
              <w:pStyle w:val="ListParagraph"/>
              <w:numPr>
                <w:ilvl w:val="0"/>
                <w:numId w:val="83"/>
              </w:numPr>
              <w:contextualSpacing/>
              <w:rPr>
                <w:sz w:val="20"/>
                <w:szCs w:val="20"/>
              </w:rPr>
            </w:pPr>
            <w:r w:rsidRPr="00E81281">
              <w:rPr>
                <w:sz w:val="20"/>
                <w:szCs w:val="20"/>
              </w:rPr>
              <w:t xml:space="preserve">ainsi qu’au groupement qui l’englobe. </w:t>
            </w:r>
          </w:p>
          <w:p w:rsidR="002E3A02" w:rsidRPr="00E81281" w:rsidRDefault="002E3A02" w:rsidP="002E3A02">
            <w:pPr>
              <w:pStyle w:val="ListParagraph"/>
              <w:numPr>
                <w:ilvl w:val="0"/>
                <w:numId w:val="83"/>
              </w:numPr>
              <w:contextualSpacing/>
              <w:rPr>
                <w:sz w:val="20"/>
                <w:szCs w:val="20"/>
              </w:rPr>
            </w:pPr>
            <w:r w:rsidRPr="00E81281">
              <w:rPr>
                <w:sz w:val="20"/>
                <w:szCs w:val="20"/>
              </w:rPr>
              <w:t xml:space="preserve">dans le groupement des groupements trop vastes, ils désignent des échelons coutumiers comme le clan, pertinent pour englober le projet dans un espace plus vaste et cohérent. </w:t>
            </w:r>
          </w:p>
          <w:p w:rsidR="002E3A02" w:rsidRPr="00E81281" w:rsidRDefault="002E3A02" w:rsidP="002E3A02">
            <w:pPr>
              <w:pStyle w:val="ListParagraph"/>
              <w:numPr>
                <w:ilvl w:val="0"/>
                <w:numId w:val="82"/>
              </w:numPr>
              <w:contextualSpacing/>
              <w:rPr>
                <w:sz w:val="20"/>
                <w:szCs w:val="20"/>
              </w:rPr>
            </w:pPr>
            <w:r w:rsidRPr="00E81281">
              <w:rPr>
                <w:sz w:val="20"/>
                <w:szCs w:val="20"/>
              </w:rPr>
              <w:t xml:space="preserve">si l’investissement est supérieur à 500 ha (concessions forestières et agricoles) le renforcement de capacité concerne : l’ETD (s), les groupements et les terroirs qui englobent le lieu de l’investissement. En ayant le souci de limiter le nombre de niveaux auxquels est fait le PSG. Si l’espace est très grand par rapport au territoire, le PSG est fait au niveau du territoire. </w:t>
            </w:r>
          </w:p>
          <w:p w:rsidR="002E3A02" w:rsidRPr="00E81281" w:rsidRDefault="002E3A02" w:rsidP="0060717C">
            <w:pPr>
              <w:rPr>
                <w:sz w:val="20"/>
                <w:szCs w:val="20"/>
              </w:rPr>
            </w:pPr>
          </w:p>
          <w:p w:rsidR="002E3A02" w:rsidRPr="00E81281" w:rsidRDefault="002E3A02" w:rsidP="0060717C">
            <w:pPr>
              <w:rPr>
                <w:sz w:val="20"/>
                <w:szCs w:val="20"/>
              </w:rPr>
            </w:pPr>
            <w:r w:rsidRPr="00E81281">
              <w:rPr>
                <w:sz w:val="20"/>
                <w:szCs w:val="20"/>
              </w:rPr>
              <w:lastRenderedPageBreak/>
              <w:t xml:space="preserve">Le renforcement de capacités consiste à </w:t>
            </w:r>
            <w:r w:rsidRPr="00E81281">
              <w:rPr>
                <w:b/>
                <w:sz w:val="20"/>
                <w:szCs w:val="20"/>
              </w:rPr>
              <w:t>créer des plateformes multi acteurs aux niveaux concernés</w:t>
            </w:r>
            <w:r w:rsidRPr="00E81281">
              <w:rPr>
                <w:sz w:val="20"/>
                <w:szCs w:val="20"/>
              </w:rPr>
              <w:t xml:space="preserve"> et à élaborer avec elles </w:t>
            </w:r>
            <w:r w:rsidRPr="00E81281">
              <w:rPr>
                <w:b/>
                <w:sz w:val="20"/>
                <w:szCs w:val="20"/>
              </w:rPr>
              <w:t>des Plans de Gestion des ressources naturelles</w:t>
            </w:r>
            <w:r w:rsidRPr="00E81281">
              <w:rPr>
                <w:sz w:val="20"/>
                <w:szCs w:val="20"/>
              </w:rPr>
              <w:t xml:space="preserve"> pour vérifier que : </w:t>
            </w:r>
          </w:p>
          <w:p w:rsidR="002E3A02" w:rsidRPr="00E81281" w:rsidRDefault="002E3A02" w:rsidP="002E3A02">
            <w:pPr>
              <w:pStyle w:val="ListParagraph"/>
              <w:numPr>
                <w:ilvl w:val="0"/>
                <w:numId w:val="84"/>
              </w:numPr>
              <w:contextualSpacing/>
              <w:rPr>
                <w:b/>
                <w:sz w:val="20"/>
                <w:szCs w:val="20"/>
              </w:rPr>
            </w:pPr>
            <w:r w:rsidRPr="00E81281">
              <w:rPr>
                <w:sz w:val="20"/>
                <w:szCs w:val="20"/>
              </w:rPr>
              <w:t xml:space="preserve">l’investissement ne créé pas de problème d’accès aux ressources vitales pour les populations impactées. </w:t>
            </w:r>
            <w:r w:rsidRPr="00E81281">
              <w:rPr>
                <w:b/>
                <w:sz w:val="20"/>
                <w:szCs w:val="20"/>
              </w:rPr>
              <w:t>S’il en créée, il est indispensable de trouver des alternatives aux personnes impactées.</w:t>
            </w:r>
          </w:p>
          <w:p w:rsidR="002E3A02" w:rsidRPr="00E81281" w:rsidRDefault="002E3A02" w:rsidP="002E3A02">
            <w:pPr>
              <w:pStyle w:val="ListParagraph"/>
              <w:numPr>
                <w:ilvl w:val="0"/>
                <w:numId w:val="84"/>
              </w:numPr>
              <w:contextualSpacing/>
              <w:rPr>
                <w:sz w:val="20"/>
                <w:szCs w:val="20"/>
              </w:rPr>
            </w:pPr>
            <w:r w:rsidRPr="00E81281">
              <w:rPr>
                <w:sz w:val="20"/>
                <w:szCs w:val="20"/>
              </w:rPr>
              <w:t xml:space="preserve">il s’inscrit dans une vision à long terme des populations sur la gestion des ressources naturelles. </w:t>
            </w:r>
          </w:p>
          <w:p w:rsidR="002E3A02" w:rsidRPr="00E81281" w:rsidRDefault="002E3A02" w:rsidP="002E3A02">
            <w:pPr>
              <w:pStyle w:val="ListParagraph"/>
              <w:numPr>
                <w:ilvl w:val="0"/>
                <w:numId w:val="84"/>
              </w:numPr>
              <w:contextualSpacing/>
              <w:rPr>
                <w:sz w:val="20"/>
                <w:szCs w:val="20"/>
              </w:rPr>
            </w:pPr>
            <w:r w:rsidRPr="00E81281">
              <w:rPr>
                <w:sz w:val="20"/>
                <w:szCs w:val="20"/>
              </w:rPr>
              <w:t>il peut prévoir des activités concernant indirectement l’investissement principal, par exemple des mesures de mises en défens villageoises conduites par les CLD pour protéger l’investissement principal et pour faire bénéficier les populations des techniques prévues (plantations).</w:t>
            </w:r>
          </w:p>
          <w:p w:rsidR="002E3A02" w:rsidRPr="00E81281" w:rsidRDefault="002E3A02" w:rsidP="0060717C">
            <w:pPr>
              <w:pStyle w:val="ListParagraph"/>
              <w:rPr>
                <w:sz w:val="20"/>
                <w:szCs w:val="20"/>
              </w:rPr>
            </w:pPr>
          </w:p>
          <w:p w:rsidR="002E3A02" w:rsidRPr="00E81281" w:rsidRDefault="002E3A02" w:rsidP="0060717C">
            <w:pPr>
              <w:rPr>
                <w:b/>
                <w:sz w:val="20"/>
                <w:szCs w:val="20"/>
              </w:rPr>
            </w:pPr>
            <w:r w:rsidRPr="00E81281">
              <w:rPr>
                <w:b/>
                <w:sz w:val="20"/>
                <w:szCs w:val="20"/>
              </w:rPr>
              <w:t>Les plans simples de gestion utilisent un modèle standard simplifié proposé par le FONAREDD.</w:t>
            </w:r>
          </w:p>
          <w:p w:rsidR="002E3A02" w:rsidRDefault="002E3A02" w:rsidP="0060717C">
            <w:r w:rsidRPr="00E81281">
              <w:rPr>
                <w:sz w:val="20"/>
                <w:szCs w:val="20"/>
              </w:rPr>
              <w:t>Les plateformes multi acteurs de terroir (CLD, conseils de gestion) sont formalisées (statuts déposés au Plan). Les plateformes multi acteurs d’ETD et de groupement ne sont formalisées que si les investissements sont conséquents. Si les CLD n’existent pas, nécessité d’en créer même dans les projets hors Piredd, s’il s’agit de concessions forestières. Ces comités de gestion font partie du CLD.</w:t>
            </w:r>
          </w:p>
          <w:p w:rsidR="002E3A02" w:rsidRPr="0066436A" w:rsidRDefault="002E3A02" w:rsidP="0060717C">
            <w:pPr>
              <w:spacing w:after="0" w:line="240" w:lineRule="auto"/>
            </w:pPr>
          </w:p>
        </w:tc>
        <w:tc>
          <w:tcPr>
            <w:tcW w:w="991" w:type="pct"/>
            <w:shd w:val="clear" w:color="auto" w:fill="auto"/>
          </w:tcPr>
          <w:p w:rsidR="002E3A02" w:rsidRPr="00E81281" w:rsidRDefault="002E3A02" w:rsidP="0060717C">
            <w:pPr>
              <w:rPr>
                <w:sz w:val="20"/>
                <w:szCs w:val="20"/>
              </w:rPr>
            </w:pPr>
            <w:r w:rsidRPr="00E81281">
              <w:rPr>
                <w:sz w:val="20"/>
                <w:szCs w:val="20"/>
              </w:rPr>
              <w:lastRenderedPageBreak/>
              <w:t>Les statuts, les PV de l’AG créant les CLD  par le Chef de l’ETD , les feuilles de route, les mandats, les autorisations d’exercer.</w:t>
            </w:r>
          </w:p>
          <w:p w:rsidR="002E3A02" w:rsidRPr="00E81281" w:rsidRDefault="002E3A02" w:rsidP="0060717C">
            <w:pPr>
              <w:rPr>
                <w:sz w:val="20"/>
                <w:szCs w:val="20"/>
              </w:rPr>
            </w:pPr>
            <w:r w:rsidRPr="00E81281">
              <w:rPr>
                <w:sz w:val="20"/>
                <w:szCs w:val="20"/>
              </w:rPr>
              <w:t xml:space="preserve"> Les photos des assemblées générales.</w:t>
            </w:r>
          </w:p>
          <w:p w:rsidR="002E3A02" w:rsidRPr="00E81281" w:rsidRDefault="002E3A02" w:rsidP="0060717C">
            <w:pPr>
              <w:rPr>
                <w:sz w:val="20"/>
                <w:szCs w:val="20"/>
              </w:rPr>
            </w:pPr>
          </w:p>
          <w:p w:rsidR="002E3A02" w:rsidRPr="00E81281" w:rsidRDefault="002E3A02" w:rsidP="0060717C">
            <w:pPr>
              <w:rPr>
                <w:sz w:val="20"/>
                <w:szCs w:val="20"/>
              </w:rPr>
            </w:pPr>
            <w:r w:rsidRPr="00E81281">
              <w:rPr>
                <w:sz w:val="20"/>
                <w:szCs w:val="20"/>
              </w:rPr>
              <w:t>De même pour toutes les plateformes</w:t>
            </w: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p>
          <w:p w:rsidR="002E3A02" w:rsidRPr="00E81281" w:rsidRDefault="002E3A02" w:rsidP="0060717C">
            <w:pPr>
              <w:rPr>
                <w:sz w:val="20"/>
                <w:szCs w:val="20"/>
              </w:rPr>
            </w:pPr>
            <w:r w:rsidRPr="00E81281">
              <w:rPr>
                <w:sz w:val="20"/>
                <w:szCs w:val="20"/>
              </w:rPr>
              <w:t>Les Plans Simples de Gestion ainsi que les photographies des ateliers d’élaboration de ces plans.</w:t>
            </w:r>
          </w:p>
          <w:p w:rsidR="002E3A02" w:rsidRPr="00E81281" w:rsidRDefault="002E3A02" w:rsidP="0060717C">
            <w:pPr>
              <w:rPr>
                <w:sz w:val="20"/>
                <w:szCs w:val="20"/>
              </w:rPr>
            </w:pPr>
            <w:r w:rsidRPr="00E81281">
              <w:rPr>
                <w:sz w:val="20"/>
                <w:szCs w:val="20"/>
              </w:rPr>
              <w:t>Vaut pour chaque niveau concerné</w:t>
            </w:r>
          </w:p>
          <w:p w:rsidR="002E3A02" w:rsidRPr="00E81281" w:rsidRDefault="002E3A02" w:rsidP="0060717C">
            <w:pPr>
              <w:rPr>
                <w:sz w:val="20"/>
                <w:szCs w:val="20"/>
              </w:rPr>
            </w:pP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2</w:t>
            </w:r>
          </w:p>
        </w:tc>
        <w:tc>
          <w:tcPr>
            <w:tcW w:w="3284" w:type="pct"/>
            <w:shd w:val="clear" w:color="auto" w:fill="auto"/>
          </w:tcPr>
          <w:p w:rsidR="002E3A02" w:rsidRPr="00E81281" w:rsidRDefault="002E3A02" w:rsidP="0060717C">
            <w:pPr>
              <w:rPr>
                <w:b/>
                <w:sz w:val="20"/>
                <w:szCs w:val="20"/>
              </w:rPr>
            </w:pPr>
            <w:r w:rsidRPr="00E81281">
              <w:rPr>
                <w:b/>
                <w:sz w:val="20"/>
                <w:szCs w:val="20"/>
              </w:rPr>
              <w:t>Création du Comité de Pilotage de Province</w:t>
            </w:r>
          </w:p>
          <w:p w:rsidR="002E3A02" w:rsidRPr="00E81281" w:rsidRDefault="002E3A02" w:rsidP="0060717C">
            <w:pPr>
              <w:rPr>
                <w:sz w:val="20"/>
                <w:szCs w:val="20"/>
              </w:rPr>
            </w:pPr>
            <w:r w:rsidRPr="00E81281">
              <w:rPr>
                <w:sz w:val="20"/>
                <w:szCs w:val="20"/>
              </w:rPr>
              <w:t xml:space="preserve">Comité provisoire comprend le Gouverneur, les ministres concernés, le président de la commission environnement de l’assemblée provinciale, le chef de projet intégré, les chefs des grands projets autres opérant dans la zone,  les chefs des services, les représentants locaux du GTCR-R  (CRONGD  ainsi que des grands réseaux religieux et sectoriels, RRN , REPALEF, etc.) . </w:t>
            </w:r>
          </w:p>
          <w:p w:rsidR="002E3A02" w:rsidRPr="00E81281" w:rsidRDefault="002E3A02" w:rsidP="0060717C">
            <w:pPr>
              <w:rPr>
                <w:sz w:val="20"/>
                <w:szCs w:val="20"/>
              </w:rPr>
            </w:pPr>
            <w:r w:rsidRPr="00E81281">
              <w:rPr>
                <w:sz w:val="20"/>
                <w:szCs w:val="20"/>
              </w:rPr>
              <w:t xml:space="preserve">Le Comité définitif comprend en plus les coordonnateurs des CARGs de territoire lorsqu’ils sont refondés ainsi que le chef du Comité Foncier provincial. Le secrétariat est assumé par le chef de projet et le superviseur de l’environnement.  Les plans de développement ainsi que tous les contrats entre le projet et les opérateurs sous-traitants ainsi qu’avec les bénéficiaires privés ou de terroir, sont présentés et validés par le Comité. Les conclusions sont largement diffusées par les radios rurales et enregistrées (plans de développement) par les administrations concernées. </w:t>
            </w:r>
          </w:p>
          <w:p w:rsidR="002E3A02" w:rsidRPr="00783FDC" w:rsidRDefault="002E3A02" w:rsidP="0060717C">
            <w:pPr>
              <w:rPr>
                <w:b/>
                <w:i/>
                <w:sz w:val="20"/>
                <w:szCs w:val="20"/>
                <w:u w:val="single"/>
              </w:rPr>
            </w:pPr>
            <w:r w:rsidRPr="00783FDC">
              <w:rPr>
                <w:b/>
                <w:i/>
                <w:sz w:val="20"/>
                <w:szCs w:val="20"/>
                <w:u w:val="single"/>
              </w:rPr>
              <w:lastRenderedPageBreak/>
              <w:t>Cas des projets sectoriels</w:t>
            </w:r>
          </w:p>
          <w:p w:rsidR="002E3A02" w:rsidRPr="00E81281" w:rsidRDefault="002E3A02" w:rsidP="0060717C">
            <w:pPr>
              <w:rPr>
                <w:sz w:val="20"/>
                <w:szCs w:val="20"/>
              </w:rPr>
            </w:pPr>
            <w:r w:rsidRPr="00E81281">
              <w:rPr>
                <w:sz w:val="20"/>
                <w:szCs w:val="20"/>
              </w:rPr>
              <w:t xml:space="preserve">De tels Comités de Pilotage Provinciaux ne sont nécessaires pour les projets sectoriels que lorsqu’ils interviennent massivement dans une province non couverte par un projet intégré (ils sont sous couvert des comités de pilotage des projets intégrés quand ils interviennent dans les PIREDD). Dans le cas contraire, ils se suffisent de mettre en place des Comités de Pilotage Nationaux. </w:t>
            </w:r>
          </w:p>
          <w:p w:rsidR="002E3A02" w:rsidRPr="00E81281" w:rsidRDefault="002E3A02" w:rsidP="0060717C">
            <w:pPr>
              <w:rPr>
                <w:sz w:val="20"/>
                <w:szCs w:val="20"/>
              </w:rPr>
            </w:pPr>
            <w:r w:rsidRPr="00E81281">
              <w:rPr>
                <w:sz w:val="20"/>
                <w:szCs w:val="20"/>
              </w:rPr>
              <w:t xml:space="preserve">Dans les provinces sans PIREDD, les projets sectoriels peuvent agir également au travers des </w:t>
            </w:r>
            <w:r w:rsidRPr="00783FDC">
              <w:rPr>
                <w:b/>
                <w:sz w:val="20"/>
                <w:szCs w:val="20"/>
              </w:rPr>
              <w:t>Conseils Consultatifs des Forêts</w:t>
            </w:r>
            <w:r w:rsidRPr="00E81281">
              <w:rPr>
                <w:b/>
                <w:sz w:val="20"/>
                <w:szCs w:val="20"/>
              </w:rPr>
              <w:t xml:space="preserve"> (CCF) </w:t>
            </w:r>
            <w:r w:rsidRPr="00783FDC">
              <w:rPr>
                <w:sz w:val="20"/>
                <w:szCs w:val="20"/>
              </w:rPr>
              <w:t xml:space="preserve">en les étoffant éventuellement, au moins ponctuellement, </w:t>
            </w:r>
            <w:r w:rsidRPr="00E81281">
              <w:rPr>
                <w:sz w:val="20"/>
                <w:szCs w:val="20"/>
              </w:rPr>
              <w:t xml:space="preserve">en fonction des thématiques des projets. Quand les CCF n’existent pas, ou fonctionnent mal et peu, les projets appuient leur mise en place, y compris en partageant les charges avec d’autres projets sectoriels. </w:t>
            </w:r>
          </w:p>
        </w:tc>
        <w:tc>
          <w:tcPr>
            <w:tcW w:w="991" w:type="pct"/>
            <w:shd w:val="clear" w:color="auto" w:fill="auto"/>
          </w:tcPr>
          <w:p w:rsidR="002E3A02" w:rsidRPr="00E81281" w:rsidRDefault="002E3A02" w:rsidP="0060717C">
            <w:pPr>
              <w:rPr>
                <w:sz w:val="20"/>
                <w:szCs w:val="20"/>
              </w:rPr>
            </w:pPr>
            <w:r w:rsidRPr="00E81281">
              <w:rPr>
                <w:sz w:val="20"/>
                <w:szCs w:val="20"/>
              </w:rPr>
              <w:lastRenderedPageBreak/>
              <w:t>Les PV de chaque réunion.</w:t>
            </w:r>
          </w:p>
          <w:p w:rsidR="002E3A02" w:rsidRPr="00E81281" w:rsidRDefault="002E3A02" w:rsidP="0060717C">
            <w:pPr>
              <w:rPr>
                <w:sz w:val="20"/>
                <w:szCs w:val="20"/>
              </w:rPr>
            </w:pPr>
            <w:r w:rsidRPr="00E81281">
              <w:rPr>
                <w:sz w:val="20"/>
                <w:szCs w:val="20"/>
              </w:rPr>
              <w:t>Les bordereaux d’enregistrement dans les différents services dont les affaires foncières.</w:t>
            </w:r>
          </w:p>
          <w:p w:rsidR="002E3A02" w:rsidRPr="00E81281" w:rsidRDefault="002E3A02" w:rsidP="0060717C">
            <w:pPr>
              <w:rPr>
                <w:sz w:val="20"/>
                <w:szCs w:val="20"/>
              </w:rPr>
            </w:pPr>
            <w:r w:rsidRPr="00E81281">
              <w:rPr>
                <w:sz w:val="20"/>
                <w:szCs w:val="20"/>
              </w:rPr>
              <w:t xml:space="preserve">Les bordereaux/contrats avec  les radios rurales précisant le nombre de  diffusions de conclusions des PV sur les ondes. </w:t>
            </w:r>
          </w:p>
          <w:p w:rsidR="002E3A02" w:rsidRPr="00E81281" w:rsidRDefault="002E3A02" w:rsidP="0060717C">
            <w:pPr>
              <w:rPr>
                <w:sz w:val="20"/>
                <w:szCs w:val="20"/>
              </w:rPr>
            </w:pPr>
          </w:p>
          <w:p w:rsidR="002E3A02" w:rsidRPr="00E81281" w:rsidRDefault="002E3A02" w:rsidP="0060717C">
            <w:pPr>
              <w:rPr>
                <w:sz w:val="20"/>
                <w:szCs w:val="20"/>
              </w:rPr>
            </w:pP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3</w:t>
            </w:r>
          </w:p>
        </w:tc>
        <w:tc>
          <w:tcPr>
            <w:tcW w:w="3284" w:type="pct"/>
            <w:shd w:val="clear" w:color="auto" w:fill="auto"/>
          </w:tcPr>
          <w:p w:rsidR="002E3A02" w:rsidRPr="00E81281" w:rsidRDefault="002E3A02" w:rsidP="0060717C">
            <w:pPr>
              <w:rPr>
                <w:b/>
                <w:sz w:val="20"/>
                <w:szCs w:val="20"/>
              </w:rPr>
            </w:pPr>
            <w:r w:rsidRPr="00E81281">
              <w:rPr>
                <w:b/>
                <w:sz w:val="20"/>
                <w:szCs w:val="20"/>
              </w:rPr>
              <w:t xml:space="preserve">Elaboration et validation des programmes de travail des services techniques appuyés par le projet </w:t>
            </w:r>
          </w:p>
          <w:p w:rsidR="002E3A02" w:rsidRPr="00E81281" w:rsidRDefault="002E3A02" w:rsidP="0060717C">
            <w:pPr>
              <w:rPr>
                <w:sz w:val="20"/>
                <w:szCs w:val="20"/>
              </w:rPr>
            </w:pPr>
            <w:r w:rsidRPr="00E81281">
              <w:rPr>
                <w:sz w:val="20"/>
                <w:szCs w:val="20"/>
              </w:rPr>
              <w:t xml:space="preserve">A chaque niveau (Territoire, ETD) les services techniques présentent aux Plateformes multi acteurs leurs feuilles de route contractuellement convenue avec les projets à fin de validation. </w:t>
            </w:r>
          </w:p>
          <w:p w:rsidR="002E3A02" w:rsidRPr="00E81281" w:rsidRDefault="002E3A02" w:rsidP="0060717C">
            <w:pPr>
              <w:rPr>
                <w:sz w:val="20"/>
                <w:szCs w:val="20"/>
              </w:rPr>
            </w:pPr>
            <w:r w:rsidRPr="00E81281">
              <w:rPr>
                <w:sz w:val="20"/>
                <w:szCs w:val="20"/>
              </w:rPr>
              <w:t>Ils présentent semestriellement leurs résultats en application de la feuille de route et les CARGs commentent et valident leurs Compte rendus</w:t>
            </w:r>
          </w:p>
          <w:p w:rsidR="002E3A02" w:rsidRPr="00783FDC" w:rsidRDefault="002E3A02" w:rsidP="0060717C">
            <w:pPr>
              <w:rPr>
                <w:b/>
                <w:i/>
                <w:sz w:val="20"/>
                <w:szCs w:val="20"/>
                <w:u w:val="single"/>
              </w:rPr>
            </w:pPr>
            <w:r w:rsidRPr="00783FDC">
              <w:rPr>
                <w:b/>
                <w:i/>
                <w:sz w:val="20"/>
                <w:szCs w:val="20"/>
                <w:u w:val="single"/>
              </w:rPr>
              <w:t xml:space="preserve">Cas des projets sectoriels </w:t>
            </w:r>
          </w:p>
          <w:p w:rsidR="002E3A02" w:rsidRPr="00E81281" w:rsidRDefault="002E3A02" w:rsidP="0060717C">
            <w:pPr>
              <w:rPr>
                <w:sz w:val="20"/>
                <w:szCs w:val="20"/>
              </w:rPr>
            </w:pPr>
            <w:r w:rsidRPr="00E81281">
              <w:rPr>
                <w:sz w:val="20"/>
                <w:szCs w:val="20"/>
              </w:rPr>
              <w:t xml:space="preserve">Cette mesure n’est requise des projets sectoriels que lorsque l’activité sectorielle implique ces services. </w:t>
            </w:r>
          </w:p>
        </w:tc>
        <w:tc>
          <w:tcPr>
            <w:tcW w:w="991" w:type="pct"/>
            <w:shd w:val="clear" w:color="auto" w:fill="auto"/>
          </w:tcPr>
          <w:p w:rsidR="002E3A02" w:rsidRPr="00E81281" w:rsidRDefault="002E3A02" w:rsidP="0060717C">
            <w:pPr>
              <w:rPr>
                <w:sz w:val="20"/>
                <w:szCs w:val="20"/>
              </w:rPr>
            </w:pPr>
            <w:r w:rsidRPr="00E81281">
              <w:rPr>
                <w:sz w:val="20"/>
                <w:szCs w:val="20"/>
              </w:rPr>
              <w:t>Les feuilles de routes et programmes de travail validés par les plateformes multi acteurs</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4</w:t>
            </w:r>
          </w:p>
        </w:tc>
        <w:tc>
          <w:tcPr>
            <w:tcW w:w="3284" w:type="pct"/>
            <w:shd w:val="clear" w:color="auto" w:fill="auto"/>
          </w:tcPr>
          <w:p w:rsidR="002E3A02" w:rsidRPr="00E81281" w:rsidRDefault="002E3A02" w:rsidP="0060717C">
            <w:pPr>
              <w:rPr>
                <w:sz w:val="20"/>
                <w:szCs w:val="20"/>
              </w:rPr>
            </w:pPr>
            <w:r w:rsidRPr="00E81281">
              <w:rPr>
                <w:b/>
                <w:sz w:val="20"/>
                <w:szCs w:val="20"/>
              </w:rPr>
              <w:t>Elaboration et validation des programmes de travail du Projet</w:t>
            </w:r>
            <w:r w:rsidRPr="00E81281">
              <w:rPr>
                <w:sz w:val="20"/>
                <w:szCs w:val="20"/>
              </w:rPr>
              <w:t xml:space="preserve"> par le Comité de Pilotage de zone  et compte rendus faits des activités passées à chaque Comité de Pilotage </w:t>
            </w:r>
          </w:p>
          <w:p w:rsidR="002E3A02" w:rsidRPr="00783FDC" w:rsidRDefault="002E3A02" w:rsidP="0060717C">
            <w:pPr>
              <w:rPr>
                <w:b/>
                <w:i/>
                <w:sz w:val="20"/>
                <w:szCs w:val="20"/>
                <w:u w:val="single"/>
              </w:rPr>
            </w:pPr>
            <w:r w:rsidRPr="00783FDC">
              <w:rPr>
                <w:b/>
                <w:i/>
                <w:sz w:val="20"/>
                <w:szCs w:val="20"/>
                <w:u w:val="single"/>
              </w:rPr>
              <w:t>Cas des projets sectoriels :</w:t>
            </w:r>
          </w:p>
          <w:p w:rsidR="002E3A02" w:rsidRPr="00E81281" w:rsidRDefault="002E3A02" w:rsidP="0060717C">
            <w:pPr>
              <w:rPr>
                <w:sz w:val="20"/>
                <w:szCs w:val="20"/>
              </w:rPr>
            </w:pPr>
            <w:r w:rsidRPr="00E81281">
              <w:rPr>
                <w:sz w:val="20"/>
                <w:szCs w:val="20"/>
              </w:rPr>
              <w:t xml:space="preserve">Le porteur de projet élabore son programme de travail et en rend compte aux plateformes multi acteurs de son niveau. Dans tous les cas il rend compte aux services techniques concernés et aux agents du projet. </w:t>
            </w:r>
          </w:p>
        </w:tc>
        <w:tc>
          <w:tcPr>
            <w:tcW w:w="991" w:type="pct"/>
            <w:shd w:val="clear" w:color="auto" w:fill="auto"/>
          </w:tcPr>
          <w:p w:rsidR="002E3A02" w:rsidRPr="00E81281" w:rsidRDefault="002E3A02" w:rsidP="0060717C">
            <w:pPr>
              <w:rPr>
                <w:sz w:val="20"/>
                <w:szCs w:val="20"/>
              </w:rPr>
            </w:pPr>
            <w:r w:rsidRPr="00E81281">
              <w:rPr>
                <w:sz w:val="20"/>
                <w:szCs w:val="20"/>
              </w:rPr>
              <w:t xml:space="preserve">Les programmes de travail et compte rendus commentés et signés par le Comité de Pilotage. </w:t>
            </w:r>
          </w:p>
        </w:tc>
      </w:tr>
      <w:tr w:rsidR="002E3A02" w:rsidRPr="00E343E3" w:rsidTr="0060717C">
        <w:tc>
          <w:tcPr>
            <w:tcW w:w="578" w:type="pct"/>
            <w:vMerge w:val="restart"/>
            <w:shd w:val="clear" w:color="auto" w:fill="F2F2F2"/>
            <w:vAlign w:val="center"/>
          </w:tcPr>
          <w:p w:rsidR="002E3A02" w:rsidRPr="00E81281" w:rsidRDefault="002E3A02" w:rsidP="0060717C">
            <w:pPr>
              <w:rPr>
                <w:b/>
                <w:sz w:val="20"/>
                <w:szCs w:val="20"/>
              </w:rPr>
            </w:pPr>
            <w:r w:rsidRPr="00E81281">
              <w:rPr>
                <w:b/>
                <w:sz w:val="20"/>
                <w:szCs w:val="20"/>
              </w:rPr>
              <w:t xml:space="preserve">Aménagement du </w:t>
            </w:r>
            <w:r w:rsidRPr="00E81281">
              <w:rPr>
                <w:b/>
                <w:sz w:val="20"/>
                <w:szCs w:val="20"/>
              </w:rPr>
              <w:lastRenderedPageBreak/>
              <w:t>territoire (AT) et élaboration des Plans de Développement ainsi que des Contrats d’Activité avec le Projet</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lastRenderedPageBreak/>
              <w:t>1</w:t>
            </w:r>
          </w:p>
        </w:tc>
        <w:tc>
          <w:tcPr>
            <w:tcW w:w="3284" w:type="pct"/>
            <w:shd w:val="clear" w:color="auto" w:fill="auto"/>
          </w:tcPr>
          <w:p w:rsidR="002E3A02" w:rsidRPr="00E81281" w:rsidRDefault="002E3A02" w:rsidP="0060717C">
            <w:pPr>
              <w:rPr>
                <w:sz w:val="20"/>
                <w:szCs w:val="20"/>
              </w:rPr>
            </w:pPr>
            <w:r w:rsidRPr="00E81281">
              <w:rPr>
                <w:b/>
                <w:sz w:val="20"/>
                <w:szCs w:val="20"/>
              </w:rPr>
              <w:t>Présentations de l’ensemble du processus de l’AT</w:t>
            </w:r>
            <w:r w:rsidRPr="00E81281">
              <w:rPr>
                <w:sz w:val="20"/>
                <w:szCs w:val="20"/>
              </w:rPr>
              <w:t xml:space="preserve">, de l’élaboration des plans et des contrats d’activité aux assemblées des </w:t>
            </w:r>
            <w:r w:rsidRPr="00E81281">
              <w:rPr>
                <w:sz w:val="20"/>
                <w:szCs w:val="20"/>
              </w:rPr>
              <w:lastRenderedPageBreak/>
              <w:t xml:space="preserve">plateformes multi acteurs et </w:t>
            </w:r>
            <w:r w:rsidRPr="00E81281">
              <w:rPr>
                <w:b/>
                <w:sz w:val="20"/>
                <w:szCs w:val="20"/>
              </w:rPr>
              <w:t>large diffusion par radios communautaires</w:t>
            </w:r>
            <w:r w:rsidRPr="00E81281">
              <w:rPr>
                <w:sz w:val="20"/>
                <w:szCs w:val="20"/>
              </w:rPr>
              <w:t xml:space="preserve"> et autres moyens adaptés.</w:t>
            </w:r>
          </w:p>
          <w:p w:rsidR="002E3A02" w:rsidRPr="00783FDC" w:rsidRDefault="002E3A02" w:rsidP="0060717C">
            <w:pPr>
              <w:rPr>
                <w:b/>
                <w:i/>
                <w:sz w:val="20"/>
                <w:szCs w:val="20"/>
                <w:u w:val="single"/>
              </w:rPr>
            </w:pPr>
            <w:r w:rsidRPr="00783FDC">
              <w:rPr>
                <w:b/>
                <w:i/>
                <w:sz w:val="20"/>
                <w:szCs w:val="20"/>
                <w:u w:val="single"/>
              </w:rPr>
              <w:t>Cas des projets sectoriels :</w:t>
            </w:r>
          </w:p>
          <w:p w:rsidR="002E3A02" w:rsidRPr="00E81281" w:rsidRDefault="002E3A02" w:rsidP="0060717C">
            <w:pPr>
              <w:rPr>
                <w:b/>
                <w:sz w:val="20"/>
                <w:szCs w:val="20"/>
              </w:rPr>
            </w:pPr>
            <w:r w:rsidRPr="00E81281">
              <w:rPr>
                <w:sz w:val="20"/>
                <w:szCs w:val="20"/>
              </w:rPr>
              <w:t xml:space="preserve">Le porteur de projet prend l’attache des radios communautaires de sa zone d’intervention pour les informer des dispositions du Plan Simple de Gestion ainsi que des dispositions prises au bénéfice des populations voisines du projet.  </w:t>
            </w:r>
          </w:p>
        </w:tc>
        <w:tc>
          <w:tcPr>
            <w:tcW w:w="991" w:type="pct"/>
            <w:shd w:val="clear" w:color="auto" w:fill="auto"/>
          </w:tcPr>
          <w:p w:rsidR="002E3A02" w:rsidRPr="00E81281" w:rsidRDefault="002E3A02" w:rsidP="0060717C">
            <w:pPr>
              <w:rPr>
                <w:sz w:val="20"/>
                <w:szCs w:val="20"/>
              </w:rPr>
            </w:pPr>
            <w:r w:rsidRPr="00E81281">
              <w:rPr>
                <w:sz w:val="20"/>
                <w:szCs w:val="20"/>
              </w:rPr>
              <w:lastRenderedPageBreak/>
              <w:t xml:space="preserve">Les communiqués et le nombre de </w:t>
            </w:r>
            <w:r w:rsidRPr="00E81281">
              <w:rPr>
                <w:sz w:val="20"/>
                <w:szCs w:val="20"/>
              </w:rPr>
              <w:lastRenderedPageBreak/>
              <w:t xml:space="preserve">diffusions attestées par les radios communautaires relatif au processus d’AT.   </w:t>
            </w:r>
          </w:p>
          <w:p w:rsidR="002E3A02" w:rsidRPr="00E81281" w:rsidRDefault="002E3A02" w:rsidP="0060717C">
            <w:pPr>
              <w:rPr>
                <w:sz w:val="20"/>
                <w:szCs w:val="20"/>
              </w:rPr>
            </w:pPr>
            <w:r w:rsidRPr="00E81281">
              <w:rPr>
                <w:sz w:val="20"/>
                <w:szCs w:val="20"/>
              </w:rPr>
              <w:t>Les bordereaux/contrats avec  les radios rurales précisant le nombre de  diffusions.</w:t>
            </w:r>
          </w:p>
        </w:tc>
      </w:tr>
      <w:tr w:rsidR="002E3A02" w:rsidRPr="00E343E3" w:rsidTr="0060717C">
        <w:tc>
          <w:tcPr>
            <w:tcW w:w="578" w:type="pct"/>
            <w:vMerge/>
            <w:shd w:val="clear" w:color="auto" w:fill="F2F2F2"/>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2</w:t>
            </w:r>
          </w:p>
        </w:tc>
        <w:tc>
          <w:tcPr>
            <w:tcW w:w="3284" w:type="pct"/>
            <w:shd w:val="clear" w:color="auto" w:fill="auto"/>
          </w:tcPr>
          <w:p w:rsidR="002E3A02" w:rsidRPr="00E81281" w:rsidRDefault="002E3A02" w:rsidP="0060717C">
            <w:pPr>
              <w:rPr>
                <w:sz w:val="20"/>
                <w:szCs w:val="20"/>
              </w:rPr>
            </w:pPr>
            <w:r w:rsidRPr="00E81281">
              <w:rPr>
                <w:b/>
                <w:sz w:val="20"/>
                <w:szCs w:val="20"/>
              </w:rPr>
              <w:t>Identification des grandes unités de paysage et de leurs dénominations et limites locales et administratives</w:t>
            </w:r>
            <w:r w:rsidRPr="00E81281">
              <w:rPr>
                <w:sz w:val="20"/>
                <w:szCs w:val="20"/>
              </w:rPr>
              <w:t>.</w:t>
            </w:r>
          </w:p>
          <w:p w:rsidR="002E3A02" w:rsidRPr="00E81281" w:rsidRDefault="002E3A02" w:rsidP="0060717C">
            <w:pPr>
              <w:rPr>
                <w:sz w:val="20"/>
                <w:szCs w:val="20"/>
              </w:rPr>
            </w:pPr>
            <w:r w:rsidRPr="00E81281">
              <w:rPr>
                <w:sz w:val="20"/>
                <w:szCs w:val="20"/>
              </w:rPr>
              <w:t>à chaque niveau des plateformes multi acteurs des groupes de personnes dont les chefs coutumiers sont désignés par les plateformes pour relever les limites avec les techniciens du projet ou les sous-traitants (ONG et autres)</w:t>
            </w:r>
          </w:p>
          <w:p w:rsidR="002E3A02" w:rsidRPr="00E81281" w:rsidRDefault="002E3A02" w:rsidP="0060717C">
            <w:pPr>
              <w:rPr>
                <w:sz w:val="20"/>
                <w:szCs w:val="20"/>
              </w:rPr>
            </w:pPr>
            <w:r w:rsidRPr="00E81281">
              <w:rPr>
                <w:sz w:val="20"/>
                <w:szCs w:val="20"/>
              </w:rPr>
              <w:t xml:space="preserve">Cartes pouvant être utilisées comme sous bassement : cartes google earth avec limites de groupements, d’ETD et de territoire et positionnement géo référencé des villages et agglomérations. </w:t>
            </w:r>
          </w:p>
          <w:p w:rsidR="002E3A02" w:rsidRPr="00783FDC" w:rsidRDefault="002E3A02" w:rsidP="0060717C">
            <w:pPr>
              <w:rPr>
                <w:b/>
                <w:i/>
                <w:sz w:val="20"/>
                <w:szCs w:val="20"/>
                <w:u w:val="single"/>
              </w:rPr>
            </w:pPr>
            <w:r w:rsidRPr="00783FDC">
              <w:rPr>
                <w:b/>
                <w:i/>
                <w:sz w:val="20"/>
                <w:szCs w:val="20"/>
                <w:u w:val="single"/>
              </w:rPr>
              <w:t>Cas des projets sectoriels :</w:t>
            </w:r>
          </w:p>
          <w:p w:rsidR="002E3A02" w:rsidRPr="00E81281" w:rsidRDefault="002E3A02" w:rsidP="0060717C">
            <w:pPr>
              <w:rPr>
                <w:sz w:val="20"/>
                <w:szCs w:val="20"/>
              </w:rPr>
            </w:pPr>
            <w:r w:rsidRPr="00E81281">
              <w:rPr>
                <w:sz w:val="20"/>
                <w:szCs w:val="20"/>
              </w:rPr>
              <w:t xml:space="preserve">Pertinent pour les projets sectoriels, aux niveaux définis par leur taille (voir ci-dessus). </w:t>
            </w:r>
          </w:p>
          <w:p w:rsidR="002E3A02" w:rsidRPr="00E81281" w:rsidRDefault="002E3A02" w:rsidP="0060717C">
            <w:pPr>
              <w:rPr>
                <w:sz w:val="20"/>
                <w:szCs w:val="20"/>
              </w:rPr>
            </w:pPr>
          </w:p>
        </w:tc>
        <w:tc>
          <w:tcPr>
            <w:tcW w:w="991" w:type="pct"/>
            <w:shd w:val="clear" w:color="auto" w:fill="auto"/>
          </w:tcPr>
          <w:p w:rsidR="002E3A02" w:rsidRPr="00E81281" w:rsidRDefault="002E3A02" w:rsidP="0060717C">
            <w:pPr>
              <w:rPr>
                <w:sz w:val="20"/>
                <w:szCs w:val="20"/>
              </w:rPr>
            </w:pPr>
            <w:r w:rsidRPr="00E81281">
              <w:rPr>
                <w:sz w:val="20"/>
                <w:szCs w:val="20"/>
              </w:rPr>
              <w:t>Les cartes de zonage et les tableaux d’unités de paysages en fonction des grands types de couverts végétaux et des lieux dits. (Normes AT ???)</w:t>
            </w:r>
          </w:p>
        </w:tc>
      </w:tr>
      <w:tr w:rsidR="002E3A02" w:rsidRPr="00E343E3" w:rsidTr="0060717C">
        <w:tc>
          <w:tcPr>
            <w:tcW w:w="578" w:type="pct"/>
            <w:vMerge/>
            <w:shd w:val="clear" w:color="auto" w:fill="F2F2F2"/>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3</w:t>
            </w:r>
          </w:p>
        </w:tc>
        <w:tc>
          <w:tcPr>
            <w:tcW w:w="3284" w:type="pct"/>
            <w:shd w:val="clear" w:color="auto" w:fill="auto"/>
          </w:tcPr>
          <w:p w:rsidR="002E3A02" w:rsidRPr="00E81281" w:rsidRDefault="002E3A02" w:rsidP="0060717C">
            <w:pPr>
              <w:rPr>
                <w:sz w:val="20"/>
                <w:szCs w:val="20"/>
              </w:rPr>
            </w:pPr>
            <w:r w:rsidRPr="00E81281">
              <w:rPr>
                <w:b/>
                <w:sz w:val="20"/>
                <w:szCs w:val="20"/>
              </w:rPr>
              <w:t xml:space="preserve">Identification des modalités actuelles et souhaitables de l’appropriation et des formes d’utilisation des unités de paysages. </w:t>
            </w:r>
            <w:r w:rsidRPr="00E81281">
              <w:rPr>
                <w:sz w:val="20"/>
                <w:szCs w:val="20"/>
              </w:rPr>
              <w:t xml:space="preserve">Sont en particulier prises les décisions portant sur les usages stratégiques liés à la sécurité alimentaire et à la préservation des écosystèmes les plus précieux. </w:t>
            </w:r>
          </w:p>
          <w:p w:rsidR="002E3A02" w:rsidRPr="00E81281" w:rsidRDefault="002E3A02" w:rsidP="0060717C">
            <w:pPr>
              <w:rPr>
                <w:sz w:val="20"/>
                <w:szCs w:val="20"/>
              </w:rPr>
            </w:pPr>
            <w:r w:rsidRPr="00E81281">
              <w:rPr>
                <w:b/>
                <w:sz w:val="20"/>
                <w:szCs w:val="20"/>
              </w:rPr>
              <w:t>Modalités de réalisation :</w:t>
            </w:r>
            <w:r w:rsidRPr="00E81281">
              <w:rPr>
                <w:sz w:val="20"/>
                <w:szCs w:val="20"/>
              </w:rPr>
              <w:t xml:space="preserve"> ateliers des plateformes multi acteurs à chaque niveau concerné, </w:t>
            </w:r>
            <w:r w:rsidRPr="00E81281">
              <w:rPr>
                <w:b/>
                <w:sz w:val="20"/>
                <w:szCs w:val="20"/>
                <w:u w:val="single"/>
              </w:rPr>
              <w:t>après</w:t>
            </w:r>
            <w:r w:rsidRPr="00E81281">
              <w:rPr>
                <w:sz w:val="20"/>
                <w:szCs w:val="20"/>
              </w:rPr>
              <w:t xml:space="preserve"> refondation des organisations de niveau inférieur. TOUTEFOIS une première étape provisoire de planification doit être réalisée au niveau des provinces, territoires, et éventuellement ETD, AVANT le renforcement des capacités des niveaux inférieurs, afin de fournir aux planifications de rang inférieur des éléments d’orientation, qui devront faire l’objet de confirmations dans un deuxième temps du processus, qui devient alors remontant.</w:t>
            </w:r>
          </w:p>
          <w:p w:rsidR="002E3A02" w:rsidRPr="00783FDC" w:rsidRDefault="002E3A02" w:rsidP="0060717C">
            <w:pPr>
              <w:rPr>
                <w:b/>
                <w:i/>
                <w:sz w:val="20"/>
                <w:szCs w:val="20"/>
                <w:u w:val="single"/>
              </w:rPr>
            </w:pPr>
            <w:r w:rsidRPr="00783FDC">
              <w:rPr>
                <w:b/>
                <w:i/>
                <w:sz w:val="20"/>
                <w:szCs w:val="20"/>
                <w:u w:val="single"/>
              </w:rPr>
              <w:lastRenderedPageBreak/>
              <w:t>Cas des projets sectoriels :</w:t>
            </w:r>
          </w:p>
          <w:p w:rsidR="002E3A02" w:rsidRPr="00E81281" w:rsidRDefault="002E3A02" w:rsidP="0060717C">
            <w:pPr>
              <w:rPr>
                <w:sz w:val="20"/>
                <w:szCs w:val="20"/>
              </w:rPr>
            </w:pPr>
            <w:r w:rsidRPr="00E81281">
              <w:rPr>
                <w:sz w:val="20"/>
                <w:szCs w:val="20"/>
              </w:rPr>
              <w:t xml:space="preserve">Ils utilisent cette même méthode </w:t>
            </w:r>
          </w:p>
        </w:tc>
        <w:tc>
          <w:tcPr>
            <w:tcW w:w="991" w:type="pct"/>
            <w:shd w:val="clear" w:color="auto" w:fill="auto"/>
          </w:tcPr>
          <w:p w:rsidR="002E3A02" w:rsidRPr="00E81281" w:rsidRDefault="002E3A02" w:rsidP="0060717C">
            <w:pPr>
              <w:rPr>
                <w:sz w:val="20"/>
                <w:szCs w:val="20"/>
              </w:rPr>
            </w:pPr>
            <w:r w:rsidRPr="00E81281">
              <w:rPr>
                <w:sz w:val="20"/>
                <w:szCs w:val="20"/>
              </w:rPr>
              <w:lastRenderedPageBreak/>
              <w:t xml:space="preserve">Les tableaux présentant ces modalités souhaitées et les décisions de sauvegarde stratégiques. </w:t>
            </w:r>
          </w:p>
        </w:tc>
      </w:tr>
      <w:tr w:rsidR="002E3A02" w:rsidRPr="00E343E3" w:rsidTr="0060717C">
        <w:tc>
          <w:tcPr>
            <w:tcW w:w="578" w:type="pct"/>
            <w:vMerge/>
            <w:shd w:val="clear" w:color="auto" w:fill="F2F2F2"/>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4</w:t>
            </w:r>
          </w:p>
        </w:tc>
        <w:tc>
          <w:tcPr>
            <w:tcW w:w="3284" w:type="pct"/>
            <w:shd w:val="clear" w:color="auto" w:fill="auto"/>
          </w:tcPr>
          <w:p w:rsidR="002E3A02" w:rsidRPr="00E81281" w:rsidRDefault="002E3A02" w:rsidP="0060717C">
            <w:pPr>
              <w:rPr>
                <w:sz w:val="20"/>
                <w:szCs w:val="20"/>
              </w:rPr>
            </w:pPr>
            <w:r w:rsidRPr="00E81281">
              <w:rPr>
                <w:b/>
                <w:sz w:val="20"/>
                <w:szCs w:val="20"/>
              </w:rPr>
              <w:t>Elaboration des priorités sectorielles de développement</w:t>
            </w:r>
            <w:r w:rsidRPr="00E81281">
              <w:rPr>
                <w:sz w:val="20"/>
                <w:szCs w:val="20"/>
              </w:rPr>
              <w:t xml:space="preserve"> (pour tous secteurs, agriculture-élevage, forêts, transport et commercialisation…). Ces priorités ainsi que les tableaux normatifs sur les usages des terres constituent le plan de développement. Ils sont élaborés par les plateformes multi acteurs de chaque niveau territorial. </w:t>
            </w:r>
          </w:p>
          <w:p w:rsidR="002E3A02" w:rsidRPr="00783FDC" w:rsidRDefault="002E3A02" w:rsidP="0060717C">
            <w:pPr>
              <w:rPr>
                <w:b/>
                <w:i/>
                <w:sz w:val="20"/>
                <w:szCs w:val="20"/>
                <w:u w:val="single"/>
              </w:rPr>
            </w:pPr>
            <w:r w:rsidRPr="00783FDC">
              <w:rPr>
                <w:b/>
                <w:i/>
                <w:sz w:val="20"/>
                <w:szCs w:val="20"/>
                <w:u w:val="single"/>
              </w:rPr>
              <w:t xml:space="preserve">Cas des projets sectoriels </w:t>
            </w:r>
          </w:p>
          <w:p w:rsidR="002E3A02" w:rsidRPr="00E81281" w:rsidRDefault="002E3A02" w:rsidP="0060717C">
            <w:pPr>
              <w:rPr>
                <w:sz w:val="20"/>
                <w:szCs w:val="20"/>
              </w:rPr>
            </w:pPr>
            <w:r w:rsidRPr="00E81281">
              <w:rPr>
                <w:sz w:val="20"/>
                <w:szCs w:val="20"/>
              </w:rPr>
              <w:t>Aux niveaux définis par leur taille (voir ci-dessus)</w:t>
            </w:r>
          </w:p>
        </w:tc>
        <w:tc>
          <w:tcPr>
            <w:tcW w:w="991" w:type="pct"/>
            <w:shd w:val="clear" w:color="auto" w:fill="auto"/>
          </w:tcPr>
          <w:p w:rsidR="002E3A02" w:rsidRPr="00E81281" w:rsidRDefault="002E3A02" w:rsidP="0060717C">
            <w:pPr>
              <w:rPr>
                <w:sz w:val="20"/>
                <w:szCs w:val="20"/>
              </w:rPr>
            </w:pPr>
            <w:r w:rsidRPr="00E81281">
              <w:rPr>
                <w:sz w:val="20"/>
                <w:szCs w:val="20"/>
              </w:rPr>
              <w:t xml:space="preserve">Les plans de développement validés par toutes les plateformes et ETD. </w:t>
            </w:r>
          </w:p>
        </w:tc>
      </w:tr>
      <w:tr w:rsidR="002E3A02" w:rsidRPr="00E343E3" w:rsidTr="0060717C">
        <w:tc>
          <w:tcPr>
            <w:tcW w:w="578" w:type="pct"/>
            <w:vMerge/>
            <w:shd w:val="clear" w:color="auto" w:fill="F2F2F2"/>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5</w:t>
            </w:r>
          </w:p>
        </w:tc>
        <w:tc>
          <w:tcPr>
            <w:tcW w:w="3284" w:type="pct"/>
            <w:shd w:val="clear" w:color="auto" w:fill="auto"/>
          </w:tcPr>
          <w:p w:rsidR="002E3A02" w:rsidRPr="00E81281" w:rsidRDefault="002E3A02" w:rsidP="0060717C">
            <w:pPr>
              <w:rPr>
                <w:b/>
                <w:sz w:val="20"/>
                <w:szCs w:val="20"/>
              </w:rPr>
            </w:pPr>
            <w:r w:rsidRPr="00E81281">
              <w:rPr>
                <w:b/>
                <w:sz w:val="20"/>
                <w:szCs w:val="20"/>
              </w:rPr>
              <w:t xml:space="preserve">Enregistrement et communication des plans à tous les niveaux des services techniques et entités territoriales parmi lesquels les affaires foncières, le plan, l’agriculture, l’environnement. </w:t>
            </w:r>
          </w:p>
          <w:p w:rsidR="002E3A02" w:rsidRPr="00783FDC" w:rsidRDefault="002E3A02" w:rsidP="0060717C">
            <w:pPr>
              <w:rPr>
                <w:b/>
                <w:i/>
                <w:sz w:val="20"/>
                <w:szCs w:val="20"/>
                <w:u w:val="single"/>
              </w:rPr>
            </w:pPr>
            <w:r w:rsidRPr="00783FDC">
              <w:rPr>
                <w:b/>
                <w:i/>
                <w:sz w:val="20"/>
                <w:szCs w:val="20"/>
                <w:u w:val="single"/>
              </w:rPr>
              <w:t xml:space="preserve">Cas des projets sectoriels </w:t>
            </w:r>
          </w:p>
          <w:p w:rsidR="002E3A02" w:rsidRPr="00783FDC" w:rsidRDefault="002E3A02" w:rsidP="0060717C">
            <w:pPr>
              <w:rPr>
                <w:sz w:val="20"/>
                <w:szCs w:val="20"/>
              </w:rPr>
            </w:pPr>
            <w:r w:rsidRPr="00E81281">
              <w:rPr>
                <w:sz w:val="20"/>
                <w:szCs w:val="20"/>
              </w:rPr>
              <w:t>A</w:t>
            </w:r>
            <w:r w:rsidRPr="00783FDC">
              <w:rPr>
                <w:sz w:val="20"/>
                <w:szCs w:val="20"/>
              </w:rPr>
              <w:t>ux</w:t>
            </w:r>
            <w:r w:rsidRPr="00E81281">
              <w:rPr>
                <w:sz w:val="20"/>
                <w:szCs w:val="20"/>
              </w:rPr>
              <w:t xml:space="preserve"> niveaux concernés par leurs tailles (cf ci-dessus).</w:t>
            </w:r>
          </w:p>
        </w:tc>
        <w:tc>
          <w:tcPr>
            <w:tcW w:w="991" w:type="pct"/>
            <w:shd w:val="clear" w:color="auto" w:fill="auto"/>
          </w:tcPr>
          <w:p w:rsidR="002E3A02" w:rsidRPr="00E81281" w:rsidRDefault="002E3A02" w:rsidP="0060717C">
            <w:pPr>
              <w:rPr>
                <w:sz w:val="20"/>
                <w:szCs w:val="20"/>
              </w:rPr>
            </w:pPr>
            <w:r w:rsidRPr="00E81281">
              <w:rPr>
                <w:sz w:val="20"/>
                <w:szCs w:val="20"/>
              </w:rPr>
              <w:t>Les bordereaux d’enregistrement</w:t>
            </w:r>
          </w:p>
        </w:tc>
      </w:tr>
      <w:tr w:rsidR="002E3A02" w:rsidRPr="00E343E3" w:rsidTr="0060717C">
        <w:tc>
          <w:tcPr>
            <w:tcW w:w="578" w:type="pct"/>
            <w:vMerge w:val="restart"/>
            <w:shd w:val="clear" w:color="auto" w:fill="D9D9D9"/>
          </w:tcPr>
          <w:p w:rsidR="002E3A02" w:rsidRPr="00E81281" w:rsidRDefault="002E3A02" w:rsidP="0060717C">
            <w:pPr>
              <w:rPr>
                <w:b/>
                <w:sz w:val="20"/>
                <w:szCs w:val="20"/>
              </w:rPr>
            </w:pPr>
            <w:r w:rsidRPr="00E81281">
              <w:rPr>
                <w:b/>
                <w:sz w:val="20"/>
                <w:szCs w:val="20"/>
              </w:rPr>
              <w:t xml:space="preserve">Identification et mise en œuvre des contrats d’activité liés aux plans. </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1</w:t>
            </w:r>
          </w:p>
        </w:tc>
        <w:tc>
          <w:tcPr>
            <w:tcW w:w="3284" w:type="pct"/>
            <w:shd w:val="clear" w:color="auto" w:fill="auto"/>
          </w:tcPr>
          <w:p w:rsidR="002E3A02" w:rsidRPr="00E81281" w:rsidRDefault="002E3A02" w:rsidP="0060717C">
            <w:pPr>
              <w:rPr>
                <w:b/>
                <w:sz w:val="20"/>
                <w:szCs w:val="20"/>
              </w:rPr>
            </w:pPr>
            <w:r w:rsidRPr="00E81281">
              <w:rPr>
                <w:b/>
                <w:sz w:val="20"/>
                <w:szCs w:val="20"/>
              </w:rPr>
              <w:t>Identification des investissements d’intérêt collectif et des processus de mise en œuvre.</w:t>
            </w:r>
          </w:p>
          <w:p w:rsidR="002E3A02" w:rsidRPr="00E81281" w:rsidRDefault="002E3A02" w:rsidP="0060717C">
            <w:pPr>
              <w:rPr>
                <w:sz w:val="20"/>
                <w:szCs w:val="20"/>
              </w:rPr>
            </w:pPr>
            <w:r w:rsidRPr="00E81281">
              <w:rPr>
                <w:sz w:val="20"/>
                <w:szCs w:val="20"/>
              </w:rPr>
              <w:t xml:space="preserve">priorités N° 1 des plans de développement d’ETD, de Territoire et de Province (Copil, Cargs de Territoire, d’ETD), même provisoires, sur la base du calibrage estimatif  des coûts réalisés en atelier de planification (rappelé en atelier de lancement). La gestion de la mise en œuvre faîte par le projet (appel d’offre ou régie, large transparence sur les processus). </w:t>
            </w:r>
          </w:p>
          <w:p w:rsidR="002E3A02" w:rsidRPr="00783FDC" w:rsidRDefault="002E3A02" w:rsidP="0060717C">
            <w:pPr>
              <w:rPr>
                <w:b/>
                <w:i/>
                <w:sz w:val="20"/>
                <w:szCs w:val="20"/>
                <w:u w:val="single"/>
              </w:rPr>
            </w:pPr>
            <w:r w:rsidRPr="00783FDC">
              <w:rPr>
                <w:b/>
                <w:i/>
                <w:sz w:val="20"/>
                <w:szCs w:val="20"/>
                <w:u w:val="single"/>
              </w:rPr>
              <w:t>Cas des projets sectoriels :</w:t>
            </w:r>
          </w:p>
          <w:p w:rsidR="002E3A02" w:rsidRPr="00E81281" w:rsidRDefault="002E3A02" w:rsidP="0060717C">
            <w:pPr>
              <w:rPr>
                <w:sz w:val="20"/>
                <w:szCs w:val="20"/>
              </w:rPr>
            </w:pPr>
            <w:r w:rsidRPr="00E81281">
              <w:rPr>
                <w:sz w:val="20"/>
                <w:szCs w:val="20"/>
              </w:rPr>
              <w:t>Aux niveaux définis par leur taille, et en complément des projets intégrés quand ils existent, ainsi qu’en application des dispositions légales (exemple des cahiers des charges forestiers).</w:t>
            </w:r>
          </w:p>
        </w:tc>
        <w:tc>
          <w:tcPr>
            <w:tcW w:w="991" w:type="pct"/>
            <w:shd w:val="clear" w:color="auto" w:fill="auto"/>
          </w:tcPr>
          <w:p w:rsidR="002E3A02" w:rsidRPr="00E81281" w:rsidRDefault="002E3A02" w:rsidP="0060717C">
            <w:pPr>
              <w:rPr>
                <w:sz w:val="20"/>
                <w:szCs w:val="20"/>
              </w:rPr>
            </w:pPr>
            <w:r w:rsidRPr="00E81281">
              <w:rPr>
                <w:sz w:val="20"/>
                <w:szCs w:val="20"/>
              </w:rPr>
              <w:t>Les contrats de mise en œuvre passés avec les communautés (ex. entretien des routes) les TDR, AMI, décisions publiées par les radios communautaires.</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2</w:t>
            </w:r>
          </w:p>
        </w:tc>
        <w:tc>
          <w:tcPr>
            <w:tcW w:w="3284" w:type="pct"/>
            <w:shd w:val="clear" w:color="auto" w:fill="auto"/>
          </w:tcPr>
          <w:p w:rsidR="002E3A02" w:rsidRPr="00E81281" w:rsidRDefault="002E3A02" w:rsidP="0060717C">
            <w:pPr>
              <w:rPr>
                <w:sz w:val="20"/>
                <w:szCs w:val="20"/>
              </w:rPr>
            </w:pPr>
            <w:r w:rsidRPr="00E81281">
              <w:rPr>
                <w:b/>
                <w:sz w:val="20"/>
                <w:szCs w:val="20"/>
              </w:rPr>
              <w:t>Feuille de route de suivi évaluation</w:t>
            </w:r>
            <w:r w:rsidRPr="00E81281">
              <w:rPr>
                <w:sz w:val="20"/>
                <w:szCs w:val="20"/>
              </w:rPr>
              <w:t xml:space="preserve"> signée avec les plateformes multi acteurs concernés pour l’ensemble de  contrats liés aux investissements collectifs. Moyens mis à la disposition des plateformes multi acteurs pour qu’ils soient en mesure d’effectuer ce </w:t>
            </w:r>
            <w:r w:rsidRPr="00E81281">
              <w:rPr>
                <w:sz w:val="20"/>
                <w:szCs w:val="20"/>
              </w:rPr>
              <w:lastRenderedPageBreak/>
              <w:t xml:space="preserve">suivi évaluation. Parmi ces moyens, accès à l’internet et au site de recours et plaintes de la CN-REDD, ainsi que tout   e-mail permettant de contacter les responsables techniques et comité de pilotage du projet. </w:t>
            </w:r>
          </w:p>
          <w:p w:rsidR="002E3A02" w:rsidRPr="00783FDC" w:rsidRDefault="002E3A02" w:rsidP="0060717C">
            <w:pPr>
              <w:rPr>
                <w:b/>
                <w:i/>
                <w:sz w:val="20"/>
                <w:szCs w:val="20"/>
                <w:u w:val="single"/>
              </w:rPr>
            </w:pPr>
            <w:r w:rsidRPr="00783FDC">
              <w:rPr>
                <w:b/>
                <w:i/>
                <w:sz w:val="20"/>
                <w:szCs w:val="20"/>
                <w:u w:val="single"/>
              </w:rPr>
              <w:t>Cas des projets sectoriels :</w:t>
            </w:r>
          </w:p>
          <w:p w:rsidR="002E3A02" w:rsidRPr="00E81281" w:rsidRDefault="002E3A02" w:rsidP="0060717C">
            <w:pPr>
              <w:rPr>
                <w:sz w:val="20"/>
                <w:szCs w:val="20"/>
              </w:rPr>
            </w:pPr>
            <w:r w:rsidRPr="00783FDC">
              <w:rPr>
                <w:sz w:val="20"/>
                <w:szCs w:val="20"/>
              </w:rPr>
              <w:t xml:space="preserve">Le suivi évaluation concerne les quatre acteurs des projets sectoriels que sont : 1) les porteurs de projet ; 2) les communautés voisines du projet ; 3) les services techniques ; </w:t>
            </w:r>
            <w:r w:rsidRPr="00E81281">
              <w:rPr>
                <w:sz w:val="20"/>
                <w:szCs w:val="20"/>
              </w:rPr>
              <w:t>4)</w:t>
            </w:r>
            <w:r w:rsidRPr="00783FDC">
              <w:rPr>
                <w:sz w:val="20"/>
                <w:szCs w:val="20"/>
              </w:rPr>
              <w:t xml:space="preserve"> les plateformes multi acteurs. </w:t>
            </w:r>
          </w:p>
          <w:p w:rsidR="002E3A02" w:rsidRPr="00E81281" w:rsidRDefault="002E3A02" w:rsidP="0060717C">
            <w:pPr>
              <w:rPr>
                <w:sz w:val="20"/>
                <w:szCs w:val="20"/>
              </w:rPr>
            </w:pPr>
            <w:r w:rsidRPr="00783FDC">
              <w:rPr>
                <w:sz w:val="20"/>
                <w:szCs w:val="20"/>
              </w:rPr>
              <w:t xml:space="preserve">Pour chaque étape du projet, La feuille de route identifie : les activités de chaque acteur en matière de suivi évaluation ; 2)  les moyens nécessaires au suivi pour chaque acteur ; 3) les modalités du financement de ces moyens ; </w:t>
            </w:r>
            <w:r w:rsidRPr="00E81281">
              <w:rPr>
                <w:sz w:val="20"/>
                <w:szCs w:val="20"/>
              </w:rPr>
              <w:t>4)</w:t>
            </w:r>
            <w:r w:rsidRPr="00783FDC">
              <w:rPr>
                <w:sz w:val="20"/>
                <w:szCs w:val="20"/>
              </w:rPr>
              <w:t xml:space="preserve"> </w:t>
            </w:r>
            <w:r w:rsidRPr="00E81281">
              <w:rPr>
                <w:sz w:val="20"/>
                <w:szCs w:val="20"/>
              </w:rPr>
              <w:t>les formats</w:t>
            </w:r>
            <w:r w:rsidRPr="00783FDC">
              <w:rPr>
                <w:sz w:val="20"/>
                <w:szCs w:val="20"/>
              </w:rPr>
              <w:t xml:space="preserve"> des rapports de suivi évaluations et les destinataires de ces rapports. pour renseigner, observer, dénoncer. sur la base des indicateurs convenus avec l’ensemble des acteurs et largement diffusés. standardiser de préférence ces indicateurs. Mais les faire correspondre aux sous projets. fréquence régulière des rapports, </w:t>
            </w:r>
            <w:r w:rsidRPr="00E81281">
              <w:rPr>
                <w:sz w:val="20"/>
                <w:szCs w:val="20"/>
              </w:rPr>
              <w:t>adaptés</w:t>
            </w:r>
            <w:r w:rsidRPr="00783FDC">
              <w:rPr>
                <w:sz w:val="20"/>
                <w:szCs w:val="20"/>
              </w:rPr>
              <w:t xml:space="preserve"> à l’atteinte des résultats et au calendrier d’activité pour garantir les résultats.</w:t>
            </w:r>
          </w:p>
        </w:tc>
        <w:tc>
          <w:tcPr>
            <w:tcW w:w="991" w:type="pct"/>
            <w:shd w:val="clear" w:color="auto" w:fill="auto"/>
          </w:tcPr>
          <w:p w:rsidR="002E3A02" w:rsidRPr="00E81281" w:rsidRDefault="002E3A02" w:rsidP="0060717C">
            <w:pPr>
              <w:rPr>
                <w:sz w:val="20"/>
                <w:szCs w:val="20"/>
              </w:rPr>
            </w:pPr>
            <w:r w:rsidRPr="00E81281">
              <w:rPr>
                <w:sz w:val="20"/>
                <w:szCs w:val="20"/>
              </w:rPr>
              <w:lastRenderedPageBreak/>
              <w:t xml:space="preserve">Feuille de route de suivi évaluation cosignée par les présidents des </w:t>
            </w:r>
            <w:r w:rsidRPr="00E81281">
              <w:rPr>
                <w:sz w:val="20"/>
                <w:szCs w:val="20"/>
              </w:rPr>
              <w:lastRenderedPageBreak/>
              <w:t xml:space="preserve">Cargs et la direction du projet transmis au Comité de Pilotage. </w:t>
            </w:r>
          </w:p>
          <w:p w:rsidR="002E3A02" w:rsidRPr="00E81281" w:rsidRDefault="002E3A02" w:rsidP="0060717C">
            <w:pPr>
              <w:rPr>
                <w:sz w:val="20"/>
                <w:szCs w:val="20"/>
              </w:rPr>
            </w:pPr>
            <w:r w:rsidRPr="00E81281">
              <w:rPr>
                <w:sz w:val="20"/>
                <w:szCs w:val="20"/>
              </w:rPr>
              <w:t xml:space="preserve">Rapports de suivi évaluation des Cargs signés par les chefs de secteur et chefs coutumiers concernés. </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3</w:t>
            </w:r>
          </w:p>
        </w:tc>
        <w:tc>
          <w:tcPr>
            <w:tcW w:w="3284" w:type="pct"/>
            <w:shd w:val="clear" w:color="auto" w:fill="auto"/>
          </w:tcPr>
          <w:p w:rsidR="002E3A02" w:rsidRPr="00E81281" w:rsidRDefault="002E3A02" w:rsidP="0060717C">
            <w:pPr>
              <w:rPr>
                <w:sz w:val="20"/>
                <w:szCs w:val="20"/>
              </w:rPr>
            </w:pPr>
            <w:r w:rsidRPr="00E81281">
              <w:rPr>
                <w:b/>
                <w:sz w:val="20"/>
                <w:szCs w:val="20"/>
              </w:rPr>
              <w:t>Contrats négociés entre les CLD et le projet</w:t>
            </w:r>
            <w:r w:rsidRPr="00E81281">
              <w:rPr>
                <w:sz w:val="20"/>
                <w:szCs w:val="20"/>
              </w:rPr>
              <w:t xml:space="preserve"> pour toutes les mises en œuvre de toutes les activités dans le terroir : agroforesterie communautaire, plantations communautaires, mise en défens. Présence des coordonnateurs de Cargs dans toutes les négociations.</w:t>
            </w:r>
          </w:p>
          <w:p w:rsidR="002E3A02" w:rsidRPr="00783FDC" w:rsidRDefault="002E3A02" w:rsidP="0060717C">
            <w:pPr>
              <w:rPr>
                <w:b/>
                <w:i/>
                <w:sz w:val="20"/>
                <w:szCs w:val="20"/>
                <w:u w:val="single"/>
              </w:rPr>
            </w:pPr>
            <w:r w:rsidRPr="00783FDC">
              <w:rPr>
                <w:b/>
                <w:i/>
                <w:sz w:val="20"/>
                <w:szCs w:val="20"/>
                <w:u w:val="single"/>
              </w:rPr>
              <w:t>Cas des projets sectoriels :</w:t>
            </w:r>
          </w:p>
          <w:p w:rsidR="002E3A02" w:rsidRPr="00E81281" w:rsidRDefault="002E3A02" w:rsidP="0060717C">
            <w:pPr>
              <w:rPr>
                <w:sz w:val="20"/>
                <w:szCs w:val="20"/>
              </w:rPr>
            </w:pPr>
            <w:r w:rsidRPr="00E81281">
              <w:rPr>
                <w:sz w:val="20"/>
                <w:szCs w:val="20"/>
              </w:rPr>
              <w:t xml:space="preserve"> </w:t>
            </w:r>
            <w:r w:rsidRPr="00783FDC">
              <w:rPr>
                <w:sz w:val="20"/>
                <w:szCs w:val="20"/>
              </w:rPr>
              <w:t xml:space="preserve">S’assurer que toutes les activités et les engagements quantités des parties prenantes sont </w:t>
            </w:r>
            <w:r w:rsidRPr="00E81281">
              <w:rPr>
                <w:sz w:val="20"/>
                <w:szCs w:val="20"/>
              </w:rPr>
              <w:t>consignés</w:t>
            </w:r>
            <w:r w:rsidRPr="00783FDC">
              <w:rPr>
                <w:sz w:val="20"/>
                <w:szCs w:val="20"/>
              </w:rPr>
              <w:t xml:space="preserve"> dans des contrats. S’assurer que les objectifs des projets et des contrats correspondent bien aux attentes et aux intérêts des différentes catégories de parties prenantes et pas seulement de la volonté du projet.</w:t>
            </w:r>
          </w:p>
        </w:tc>
        <w:tc>
          <w:tcPr>
            <w:tcW w:w="991" w:type="pct"/>
            <w:shd w:val="clear" w:color="auto" w:fill="auto"/>
          </w:tcPr>
          <w:p w:rsidR="002E3A02" w:rsidRPr="00E81281" w:rsidRDefault="002E3A02" w:rsidP="0060717C">
            <w:pPr>
              <w:rPr>
                <w:sz w:val="20"/>
                <w:szCs w:val="20"/>
              </w:rPr>
            </w:pPr>
            <w:r w:rsidRPr="00E81281">
              <w:rPr>
                <w:sz w:val="20"/>
                <w:szCs w:val="20"/>
              </w:rPr>
              <w:t xml:space="preserve">Tous contrats transmis au Comité de Pilotage et contresignés par eux (mise œuvre peut commencer avant). </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4</w:t>
            </w:r>
          </w:p>
        </w:tc>
        <w:tc>
          <w:tcPr>
            <w:tcW w:w="3284" w:type="pct"/>
            <w:shd w:val="clear" w:color="auto" w:fill="auto"/>
          </w:tcPr>
          <w:p w:rsidR="002E3A02" w:rsidRPr="00E81281" w:rsidRDefault="002E3A02" w:rsidP="0060717C">
            <w:pPr>
              <w:rPr>
                <w:sz w:val="20"/>
                <w:szCs w:val="20"/>
              </w:rPr>
            </w:pPr>
            <w:r w:rsidRPr="00E81281">
              <w:rPr>
                <w:b/>
                <w:sz w:val="20"/>
                <w:szCs w:val="20"/>
              </w:rPr>
              <w:t>Contrats négociés entre le projet et les opérateurs privés y compris les petits paysans</w:t>
            </w:r>
            <w:r w:rsidRPr="00E81281">
              <w:rPr>
                <w:sz w:val="20"/>
                <w:szCs w:val="20"/>
              </w:rPr>
              <w:t xml:space="preserve"> : vérification par les CLD et les Cargs de la conformité de ces contrats avec les plans de développement. co signatures de ces contrats par les CLD et Cargs, ainsi que les agronomes de secteur et les affaires foncières, les superviseurs de l’environnement si concernés (mobilisation durable de superficies importantes). </w:t>
            </w:r>
          </w:p>
          <w:p w:rsidR="002E3A02" w:rsidRPr="00783FDC" w:rsidRDefault="002E3A02" w:rsidP="0060717C">
            <w:pPr>
              <w:rPr>
                <w:b/>
                <w:i/>
                <w:sz w:val="20"/>
                <w:szCs w:val="20"/>
                <w:u w:val="single"/>
              </w:rPr>
            </w:pPr>
            <w:r w:rsidRPr="00783FDC">
              <w:rPr>
                <w:b/>
                <w:i/>
                <w:sz w:val="20"/>
                <w:szCs w:val="20"/>
                <w:u w:val="single"/>
              </w:rPr>
              <w:t xml:space="preserve">Vaut pour les projets sectoriels </w:t>
            </w:r>
          </w:p>
        </w:tc>
        <w:tc>
          <w:tcPr>
            <w:tcW w:w="991" w:type="pct"/>
            <w:shd w:val="clear" w:color="auto" w:fill="auto"/>
          </w:tcPr>
          <w:p w:rsidR="002E3A02" w:rsidRPr="00E81281" w:rsidRDefault="002E3A02" w:rsidP="0060717C">
            <w:pPr>
              <w:rPr>
                <w:sz w:val="20"/>
                <w:szCs w:val="20"/>
              </w:rPr>
            </w:pPr>
            <w:r w:rsidRPr="00E81281">
              <w:rPr>
                <w:sz w:val="20"/>
                <w:szCs w:val="20"/>
              </w:rPr>
              <w:t xml:space="preserve">Co-Signature des plateformes et des services techniques concernés sur les contrats négociés. </w:t>
            </w:r>
          </w:p>
        </w:tc>
      </w:tr>
      <w:tr w:rsidR="002E3A02" w:rsidRPr="00E343E3" w:rsidTr="0060717C">
        <w:tc>
          <w:tcPr>
            <w:tcW w:w="578" w:type="pct"/>
            <w:vMerge/>
            <w:shd w:val="clear" w:color="auto" w:fill="D9D9D9"/>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5</w:t>
            </w:r>
          </w:p>
        </w:tc>
        <w:tc>
          <w:tcPr>
            <w:tcW w:w="3284" w:type="pct"/>
            <w:shd w:val="clear" w:color="auto" w:fill="auto"/>
          </w:tcPr>
          <w:p w:rsidR="002E3A02" w:rsidRPr="00E81281" w:rsidRDefault="002E3A02" w:rsidP="0060717C">
            <w:pPr>
              <w:rPr>
                <w:sz w:val="20"/>
                <w:szCs w:val="20"/>
              </w:rPr>
            </w:pPr>
            <w:r w:rsidRPr="00E81281">
              <w:rPr>
                <w:b/>
                <w:sz w:val="20"/>
                <w:szCs w:val="20"/>
              </w:rPr>
              <w:t>Feuille de route de suivi évaluation avec le comité de pilotage</w:t>
            </w:r>
            <w:r w:rsidRPr="00E81281">
              <w:rPr>
                <w:sz w:val="20"/>
                <w:szCs w:val="20"/>
              </w:rPr>
              <w:t xml:space="preserve"> permettant visites semestrielles des activités par les responsables provinciaux des services directement concernés par la mise en œuvre des contrats : intérieur, agriculture, environnement, affaires foncières. Moyens mis à disposition des intéressés par le projet. Objet de la feuille de route :</w:t>
            </w:r>
          </w:p>
          <w:p w:rsidR="002E3A02" w:rsidRPr="00E81281" w:rsidRDefault="002E3A02" w:rsidP="002E3A02">
            <w:pPr>
              <w:pStyle w:val="ListParagraph"/>
              <w:numPr>
                <w:ilvl w:val="0"/>
                <w:numId w:val="79"/>
              </w:numPr>
              <w:contextualSpacing/>
              <w:rPr>
                <w:sz w:val="20"/>
                <w:szCs w:val="20"/>
              </w:rPr>
            </w:pPr>
            <w:r w:rsidRPr="00E81281">
              <w:rPr>
                <w:sz w:val="20"/>
                <w:szCs w:val="20"/>
              </w:rPr>
              <w:t>situations des décaissements et des réalisations concrètes</w:t>
            </w:r>
          </w:p>
          <w:p w:rsidR="002E3A02" w:rsidRPr="00E81281" w:rsidRDefault="002E3A02" w:rsidP="002E3A02">
            <w:pPr>
              <w:pStyle w:val="ListParagraph"/>
              <w:numPr>
                <w:ilvl w:val="0"/>
                <w:numId w:val="79"/>
              </w:numPr>
              <w:contextualSpacing/>
              <w:rPr>
                <w:sz w:val="20"/>
                <w:szCs w:val="20"/>
              </w:rPr>
            </w:pPr>
            <w:r w:rsidRPr="00E81281">
              <w:rPr>
                <w:sz w:val="20"/>
                <w:szCs w:val="20"/>
              </w:rPr>
              <w:t>respect des engagements des contrats notamment des calendriers de mise en œuvre</w:t>
            </w:r>
          </w:p>
          <w:p w:rsidR="002E3A02" w:rsidRPr="00E81281" w:rsidRDefault="002E3A02" w:rsidP="002E3A02">
            <w:pPr>
              <w:pStyle w:val="ListParagraph"/>
              <w:numPr>
                <w:ilvl w:val="0"/>
                <w:numId w:val="79"/>
              </w:numPr>
              <w:contextualSpacing/>
              <w:rPr>
                <w:sz w:val="20"/>
                <w:szCs w:val="20"/>
              </w:rPr>
            </w:pPr>
            <w:r w:rsidRPr="00E81281">
              <w:rPr>
                <w:sz w:val="20"/>
                <w:szCs w:val="20"/>
              </w:rPr>
              <w:t>situations techniques, foncières</w:t>
            </w:r>
          </w:p>
          <w:p w:rsidR="002E3A02" w:rsidRPr="00E81281" w:rsidRDefault="002E3A02" w:rsidP="002E3A02">
            <w:pPr>
              <w:pStyle w:val="ListParagraph"/>
              <w:numPr>
                <w:ilvl w:val="0"/>
                <w:numId w:val="79"/>
              </w:numPr>
              <w:contextualSpacing/>
              <w:rPr>
                <w:sz w:val="20"/>
                <w:szCs w:val="20"/>
              </w:rPr>
            </w:pPr>
            <w:r w:rsidRPr="00E81281">
              <w:rPr>
                <w:sz w:val="20"/>
                <w:szCs w:val="20"/>
              </w:rPr>
              <w:t>conflits</w:t>
            </w:r>
          </w:p>
          <w:p w:rsidR="002E3A02" w:rsidRPr="00E81281" w:rsidRDefault="002E3A02" w:rsidP="0060717C">
            <w:pPr>
              <w:pStyle w:val="ListParagraph"/>
              <w:ind w:left="0"/>
              <w:rPr>
                <w:sz w:val="20"/>
                <w:szCs w:val="20"/>
              </w:rPr>
            </w:pPr>
          </w:p>
          <w:p w:rsidR="002E3A02" w:rsidRPr="00E81281" w:rsidRDefault="002E3A02" w:rsidP="0060717C">
            <w:pPr>
              <w:pStyle w:val="ListParagraph"/>
              <w:ind w:left="0"/>
              <w:rPr>
                <w:b/>
                <w:i/>
                <w:sz w:val="20"/>
                <w:szCs w:val="20"/>
                <w:u w:val="single"/>
              </w:rPr>
            </w:pPr>
            <w:r w:rsidRPr="00783FDC">
              <w:rPr>
                <w:b/>
                <w:i/>
                <w:sz w:val="20"/>
                <w:szCs w:val="20"/>
                <w:u w:val="single"/>
              </w:rPr>
              <w:t>Cas des projets sectoriels :</w:t>
            </w:r>
          </w:p>
          <w:p w:rsidR="002E3A02" w:rsidRPr="00783FDC" w:rsidRDefault="002E3A02" w:rsidP="0060717C">
            <w:pPr>
              <w:pStyle w:val="ListParagraph"/>
              <w:ind w:left="0"/>
              <w:rPr>
                <w:b/>
                <w:i/>
                <w:sz w:val="20"/>
                <w:szCs w:val="20"/>
                <w:u w:val="single"/>
              </w:rPr>
            </w:pPr>
          </w:p>
          <w:p w:rsidR="002E3A02" w:rsidRPr="00783FDC" w:rsidRDefault="002E3A02" w:rsidP="0060717C">
            <w:pPr>
              <w:rPr>
                <w:sz w:val="20"/>
                <w:szCs w:val="20"/>
              </w:rPr>
            </w:pPr>
            <w:r w:rsidRPr="00783FDC">
              <w:rPr>
                <w:sz w:val="20"/>
                <w:szCs w:val="20"/>
              </w:rPr>
              <w:t xml:space="preserve">pertinent dans le cas d’une insertion dans les projets intégrés. Suivi évaluation pour le projet et les services techniques, éventuellement par une ong intermédiaire et les Services Techniques. </w:t>
            </w:r>
          </w:p>
          <w:p w:rsidR="002E3A02" w:rsidRPr="00783FDC" w:rsidRDefault="002E3A02" w:rsidP="0060717C">
            <w:pPr>
              <w:rPr>
                <w:sz w:val="20"/>
                <w:szCs w:val="20"/>
              </w:rPr>
            </w:pPr>
            <w:r w:rsidRPr="00783FDC">
              <w:rPr>
                <w:sz w:val="20"/>
                <w:szCs w:val="20"/>
              </w:rPr>
              <w:t xml:space="preserve">En dehors des projets intégrés, les services techniques concernés par l’activité font ces visites régulières. </w:t>
            </w:r>
          </w:p>
          <w:p w:rsidR="002E3A02" w:rsidRPr="00E81281" w:rsidRDefault="002E3A02" w:rsidP="0060717C">
            <w:pPr>
              <w:pStyle w:val="ListParagraph"/>
              <w:rPr>
                <w:sz w:val="20"/>
                <w:szCs w:val="20"/>
              </w:rPr>
            </w:pPr>
          </w:p>
          <w:p w:rsidR="002E3A02" w:rsidRPr="00E81281" w:rsidRDefault="002E3A02" w:rsidP="0060717C">
            <w:pPr>
              <w:pStyle w:val="ListParagraph"/>
              <w:ind w:left="0"/>
              <w:rPr>
                <w:sz w:val="20"/>
                <w:szCs w:val="20"/>
              </w:rPr>
            </w:pPr>
          </w:p>
        </w:tc>
        <w:tc>
          <w:tcPr>
            <w:tcW w:w="991" w:type="pct"/>
            <w:shd w:val="clear" w:color="auto" w:fill="auto"/>
          </w:tcPr>
          <w:p w:rsidR="002E3A02" w:rsidRPr="00E81281" w:rsidRDefault="002E3A02" w:rsidP="0060717C">
            <w:pPr>
              <w:rPr>
                <w:sz w:val="20"/>
                <w:szCs w:val="20"/>
              </w:rPr>
            </w:pPr>
            <w:r w:rsidRPr="00E81281">
              <w:rPr>
                <w:sz w:val="20"/>
                <w:szCs w:val="20"/>
              </w:rPr>
              <w:t xml:space="preserve">Rapports des missions de suivi évaluation examinés en Comité de Pilotage, comme les rapports d’activité et de suivi financier présenté par les chefs de projet. </w:t>
            </w:r>
          </w:p>
          <w:p w:rsidR="002E3A02" w:rsidRPr="00E81281" w:rsidRDefault="002E3A02" w:rsidP="0060717C">
            <w:pPr>
              <w:rPr>
                <w:sz w:val="20"/>
                <w:szCs w:val="20"/>
              </w:rPr>
            </w:pPr>
            <w:r w:rsidRPr="00E81281">
              <w:rPr>
                <w:sz w:val="20"/>
                <w:szCs w:val="20"/>
              </w:rPr>
              <w:t>Réactions et résolutions exécutoires dans les procès-verbaux des Comités de Pilotage.</w:t>
            </w: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Evaluations à mi parcours, capitalisations, visites du secrétariat technique du FONAREDD</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6</w:t>
            </w:r>
          </w:p>
        </w:tc>
        <w:tc>
          <w:tcPr>
            <w:tcW w:w="3284" w:type="pct"/>
            <w:shd w:val="clear" w:color="auto" w:fill="auto"/>
          </w:tcPr>
          <w:p w:rsidR="002E3A02" w:rsidRPr="00E81281" w:rsidRDefault="002E3A02" w:rsidP="0060717C">
            <w:pPr>
              <w:rPr>
                <w:sz w:val="20"/>
                <w:szCs w:val="20"/>
              </w:rPr>
            </w:pPr>
            <w:r w:rsidRPr="00E81281">
              <w:rPr>
                <w:b/>
                <w:sz w:val="20"/>
                <w:szCs w:val="20"/>
              </w:rPr>
              <w:t>Rencontres de tous les responsables de plateformes et grands groupes d’intérêt</w:t>
            </w:r>
            <w:r w:rsidRPr="00E81281">
              <w:rPr>
                <w:sz w:val="20"/>
                <w:szCs w:val="20"/>
              </w:rPr>
              <w:t xml:space="preserve"> (PAP, femmes, fermiers…) des évaluations à mi-parcours mandatées par le FONAREDD. </w:t>
            </w:r>
          </w:p>
          <w:p w:rsidR="002E3A02" w:rsidRPr="00783FDC" w:rsidRDefault="002E3A02" w:rsidP="0060717C">
            <w:pPr>
              <w:rPr>
                <w:b/>
                <w:i/>
                <w:sz w:val="20"/>
                <w:szCs w:val="20"/>
                <w:u w:val="single"/>
              </w:rPr>
            </w:pPr>
            <w:r w:rsidRPr="00783FDC">
              <w:rPr>
                <w:b/>
                <w:i/>
                <w:sz w:val="20"/>
                <w:szCs w:val="20"/>
                <w:u w:val="single"/>
              </w:rPr>
              <w:t>Cas des projets sectoriels :</w:t>
            </w:r>
          </w:p>
          <w:p w:rsidR="002E3A02" w:rsidRPr="00E81281" w:rsidRDefault="002E3A02" w:rsidP="0060717C">
            <w:pPr>
              <w:rPr>
                <w:sz w:val="20"/>
                <w:szCs w:val="20"/>
              </w:rPr>
            </w:pPr>
            <w:r w:rsidRPr="00E81281">
              <w:rPr>
                <w:sz w:val="20"/>
                <w:szCs w:val="20"/>
              </w:rPr>
              <w:t xml:space="preserve">De mêmes, à leurs niveaux de taille. </w:t>
            </w:r>
          </w:p>
        </w:tc>
        <w:tc>
          <w:tcPr>
            <w:tcW w:w="991" w:type="pct"/>
            <w:shd w:val="clear" w:color="auto" w:fill="auto"/>
          </w:tcPr>
          <w:p w:rsidR="002E3A02" w:rsidRPr="00E81281" w:rsidRDefault="002E3A02" w:rsidP="0060717C">
            <w:pPr>
              <w:rPr>
                <w:sz w:val="20"/>
                <w:szCs w:val="20"/>
              </w:rPr>
            </w:pPr>
            <w:r w:rsidRPr="00E81281">
              <w:rPr>
                <w:sz w:val="20"/>
                <w:szCs w:val="20"/>
              </w:rPr>
              <w:t xml:space="preserve">Rapports des évaluations présentés aux plateformes et comité de pilotage, PV de ces réunions et débats largement diffusés. </w:t>
            </w:r>
          </w:p>
        </w:tc>
      </w:tr>
      <w:tr w:rsidR="002E3A02" w:rsidRPr="00E343E3" w:rsidTr="0060717C">
        <w:tc>
          <w:tcPr>
            <w:tcW w:w="578" w:type="pct"/>
            <w:shd w:val="clear" w:color="auto" w:fill="auto"/>
          </w:tcPr>
          <w:p w:rsidR="002E3A02" w:rsidRPr="00E81281" w:rsidRDefault="002E3A02" w:rsidP="0060717C">
            <w:pPr>
              <w:rPr>
                <w:b/>
                <w:sz w:val="20"/>
                <w:szCs w:val="20"/>
              </w:rPr>
            </w:pPr>
            <w:r w:rsidRPr="00E81281">
              <w:rPr>
                <w:b/>
                <w:sz w:val="20"/>
                <w:szCs w:val="20"/>
              </w:rPr>
              <w:t>COMMUNICATION</w:t>
            </w:r>
          </w:p>
          <w:p w:rsidR="002E3A02" w:rsidRPr="00783FDC" w:rsidRDefault="002E3A02" w:rsidP="0060717C">
            <w:pPr>
              <w:rPr>
                <w:b/>
                <w:sz w:val="20"/>
                <w:szCs w:val="20"/>
              </w:rPr>
            </w:pPr>
            <w:r w:rsidRPr="00E81281">
              <w:rPr>
                <w:b/>
                <w:sz w:val="20"/>
                <w:szCs w:val="20"/>
              </w:rPr>
              <w:t xml:space="preserve">(tout au long de la vie du projet) </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7</w:t>
            </w:r>
          </w:p>
        </w:tc>
        <w:tc>
          <w:tcPr>
            <w:tcW w:w="3284" w:type="pct"/>
            <w:shd w:val="clear" w:color="auto" w:fill="auto"/>
          </w:tcPr>
          <w:p w:rsidR="002E3A02" w:rsidRPr="00E81281" w:rsidRDefault="002E3A02" w:rsidP="0060717C">
            <w:pPr>
              <w:rPr>
                <w:b/>
                <w:sz w:val="20"/>
                <w:szCs w:val="20"/>
              </w:rPr>
            </w:pPr>
            <w:r w:rsidRPr="00E81281">
              <w:rPr>
                <w:b/>
                <w:sz w:val="20"/>
                <w:szCs w:val="20"/>
              </w:rPr>
              <w:t xml:space="preserve">Prévoir un plan de communication simplifié permettant à tous les acteurs dont les porteurs de projets (en zone intégrée ou en dehors pour les sectoriels) de transmettre des informations fiables, de contrecarrer la désinformation, mais aussi de recevoir et de diffuser les plaintes et recours, et de les traiter à tous les niveaux, de manière transparente. Baser ce plan sur la diffusion régulière des indicateurs des contrats de mise en œuvre. Le FONAREDD est sollicité pour proposer les outils standardisés de cette communication </w:t>
            </w:r>
          </w:p>
        </w:tc>
        <w:tc>
          <w:tcPr>
            <w:tcW w:w="991" w:type="pct"/>
            <w:shd w:val="clear" w:color="auto" w:fill="auto"/>
          </w:tcPr>
          <w:p w:rsidR="002E3A02" w:rsidRPr="00E81281" w:rsidRDefault="002E3A02" w:rsidP="0060717C">
            <w:pPr>
              <w:rPr>
                <w:sz w:val="20"/>
                <w:szCs w:val="20"/>
              </w:rPr>
            </w:pPr>
            <w:r w:rsidRPr="00E81281">
              <w:rPr>
                <w:sz w:val="20"/>
                <w:szCs w:val="20"/>
              </w:rPr>
              <w:t xml:space="preserve">Sera précisé dans la feuille de route sur la communication dans les programmes du FONAREDD, à élaborer. </w:t>
            </w:r>
          </w:p>
        </w:tc>
      </w:tr>
      <w:tr w:rsidR="002E3A02" w:rsidRPr="00E343E3" w:rsidTr="0060717C">
        <w:tc>
          <w:tcPr>
            <w:tcW w:w="578" w:type="pct"/>
            <w:shd w:val="clear" w:color="auto" w:fill="auto"/>
            <w:vAlign w:val="center"/>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rPr>
                <w:sz w:val="20"/>
                <w:szCs w:val="20"/>
              </w:rPr>
            </w:pPr>
          </w:p>
        </w:tc>
        <w:tc>
          <w:tcPr>
            <w:tcW w:w="3284" w:type="pct"/>
            <w:shd w:val="clear" w:color="auto" w:fill="FFD966"/>
            <w:vAlign w:val="center"/>
          </w:tcPr>
          <w:p w:rsidR="002E3A02" w:rsidRPr="00E81281" w:rsidRDefault="002E3A02" w:rsidP="0060717C">
            <w:pPr>
              <w:pStyle w:val="Heading2"/>
              <w:spacing w:before="0"/>
              <w:rPr>
                <w:b w:val="0"/>
                <w:sz w:val="20"/>
                <w:szCs w:val="20"/>
              </w:rPr>
            </w:pPr>
            <w:bookmarkStart w:id="102" w:name="_Toc464663029"/>
            <w:bookmarkStart w:id="103" w:name="_Toc469036955"/>
            <w:r w:rsidRPr="00783FDC">
              <w:t>ELABORATION DES POLITIQUES ET TEXTES JURIDIQUES</w:t>
            </w:r>
            <w:bookmarkEnd w:id="102"/>
            <w:bookmarkEnd w:id="103"/>
            <w:r w:rsidRPr="00E81281">
              <w:rPr>
                <w:b w:val="0"/>
                <w:sz w:val="20"/>
                <w:szCs w:val="20"/>
              </w:rPr>
              <w:t xml:space="preserve"> </w:t>
            </w:r>
          </w:p>
        </w:tc>
        <w:tc>
          <w:tcPr>
            <w:tcW w:w="991" w:type="pct"/>
            <w:shd w:val="clear" w:color="auto" w:fill="auto"/>
            <w:vAlign w:val="center"/>
          </w:tcPr>
          <w:p w:rsidR="002E3A02" w:rsidRPr="00E81281" w:rsidRDefault="002E3A02" w:rsidP="0060717C">
            <w:pPr>
              <w:rPr>
                <w:sz w:val="20"/>
                <w:szCs w:val="20"/>
              </w:rPr>
            </w:pP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 xml:space="preserve">Conception du programme </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1</w:t>
            </w:r>
          </w:p>
        </w:tc>
        <w:tc>
          <w:tcPr>
            <w:tcW w:w="3284" w:type="pct"/>
            <w:shd w:val="clear" w:color="auto" w:fill="FFFFFF"/>
          </w:tcPr>
          <w:p w:rsidR="002E3A02" w:rsidRPr="00783FDC" w:rsidRDefault="002E3A02" w:rsidP="0060717C">
            <w:pPr>
              <w:rPr>
                <w:sz w:val="20"/>
                <w:szCs w:val="20"/>
              </w:rPr>
            </w:pPr>
            <w:r w:rsidRPr="00783FDC">
              <w:rPr>
                <w:sz w:val="20"/>
                <w:szCs w:val="20"/>
              </w:rPr>
              <w:t>Voir plus haut (tous programmes)</w:t>
            </w:r>
          </w:p>
        </w:tc>
        <w:tc>
          <w:tcPr>
            <w:tcW w:w="991" w:type="pct"/>
            <w:shd w:val="clear" w:color="auto" w:fill="auto"/>
          </w:tcPr>
          <w:p w:rsidR="002E3A02" w:rsidRPr="00E81281" w:rsidRDefault="002E3A02" w:rsidP="0060717C">
            <w:pPr>
              <w:rPr>
                <w:sz w:val="20"/>
                <w:szCs w:val="20"/>
              </w:rPr>
            </w:pP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Atelier de lancement</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2</w:t>
            </w:r>
          </w:p>
        </w:tc>
        <w:tc>
          <w:tcPr>
            <w:tcW w:w="3284" w:type="pct"/>
            <w:shd w:val="clear" w:color="auto" w:fill="FFFFFF"/>
          </w:tcPr>
          <w:p w:rsidR="002E3A02" w:rsidRPr="00E81281" w:rsidRDefault="002E3A02" w:rsidP="0060717C">
            <w:pPr>
              <w:rPr>
                <w:sz w:val="20"/>
                <w:szCs w:val="20"/>
              </w:rPr>
            </w:pPr>
            <w:r w:rsidRPr="00783FDC">
              <w:rPr>
                <w:b/>
                <w:sz w:val="20"/>
                <w:szCs w:val="20"/>
              </w:rPr>
              <w:t>Atelier national de lancement</w:t>
            </w:r>
            <w:r w:rsidRPr="00E81281">
              <w:rPr>
                <w:sz w:val="20"/>
                <w:szCs w:val="20"/>
              </w:rPr>
              <w:t xml:space="preserve"> </w:t>
            </w:r>
            <w:r w:rsidRPr="00783FDC">
              <w:rPr>
                <w:sz w:val="20"/>
                <w:szCs w:val="20"/>
              </w:rPr>
              <w:t>réunissant les</w:t>
            </w:r>
            <w:r w:rsidRPr="00E81281">
              <w:rPr>
                <w:sz w:val="20"/>
                <w:szCs w:val="20"/>
              </w:rPr>
              <w:t xml:space="preserve"> grandes</w:t>
            </w:r>
            <w:r w:rsidRPr="00783FDC">
              <w:rPr>
                <w:sz w:val="20"/>
                <w:szCs w:val="20"/>
              </w:rPr>
              <w:t xml:space="preserve"> parties prenantes pour présenter</w:t>
            </w:r>
            <w:r w:rsidRPr="00E81281">
              <w:rPr>
                <w:sz w:val="20"/>
                <w:szCs w:val="20"/>
              </w:rPr>
              <w:t xml:space="preserve"> les objectifs,</w:t>
            </w:r>
            <w:r w:rsidRPr="00783FDC">
              <w:rPr>
                <w:sz w:val="20"/>
                <w:szCs w:val="20"/>
              </w:rPr>
              <w:t xml:space="preserve"> la méthodologie, les grandes étapes et jalons, le dispositif de mise en œuvre, les éléments du renforcement des capacités. </w:t>
            </w:r>
          </w:p>
          <w:p w:rsidR="002E3A02" w:rsidRPr="00783FDC" w:rsidRDefault="002E3A02" w:rsidP="0060717C">
            <w:pPr>
              <w:rPr>
                <w:sz w:val="20"/>
                <w:szCs w:val="20"/>
              </w:rPr>
            </w:pPr>
            <w:r w:rsidRPr="00E81281">
              <w:rPr>
                <w:sz w:val="20"/>
                <w:szCs w:val="20"/>
              </w:rPr>
              <w:t>Communiqués telé et radio diffusé (y compris chaînes provinciales) sur l’événement et tous les éléments et objectifs du programme clairement exprimés, afin que le public comprenne la nature du processus et son ambition.</w:t>
            </w:r>
          </w:p>
        </w:tc>
        <w:tc>
          <w:tcPr>
            <w:tcW w:w="991" w:type="pct"/>
            <w:shd w:val="clear" w:color="auto" w:fill="auto"/>
          </w:tcPr>
          <w:p w:rsidR="002E3A02" w:rsidRPr="00E81281" w:rsidRDefault="002E3A02" w:rsidP="0060717C">
            <w:pPr>
              <w:rPr>
                <w:sz w:val="20"/>
                <w:szCs w:val="20"/>
              </w:rPr>
            </w:pPr>
            <w:r w:rsidRPr="00E81281">
              <w:rPr>
                <w:sz w:val="20"/>
                <w:szCs w:val="20"/>
              </w:rPr>
              <w:t>Le dépliant de vulgarisation du document programme permettant de largement diffuser une information fiable sur ses objectifs</w:t>
            </w:r>
          </w:p>
          <w:p w:rsidR="002E3A02" w:rsidRPr="00E81281" w:rsidRDefault="002E3A02" w:rsidP="0060717C">
            <w:pPr>
              <w:rPr>
                <w:sz w:val="20"/>
                <w:szCs w:val="20"/>
              </w:rPr>
            </w:pPr>
            <w:r w:rsidRPr="00E81281">
              <w:rPr>
                <w:sz w:val="20"/>
                <w:szCs w:val="20"/>
              </w:rPr>
              <w:t>Le compte rendu de l’atelier</w:t>
            </w:r>
          </w:p>
          <w:p w:rsidR="002E3A02" w:rsidRPr="00E81281" w:rsidRDefault="002E3A02" w:rsidP="0060717C">
            <w:pPr>
              <w:rPr>
                <w:sz w:val="20"/>
                <w:szCs w:val="20"/>
              </w:rPr>
            </w:pPr>
            <w:r w:rsidRPr="00E81281">
              <w:rPr>
                <w:sz w:val="20"/>
                <w:szCs w:val="20"/>
              </w:rPr>
              <w:t xml:space="preserve">Les bordereaux de diffusion dans les différentes chaines permettant de couvrir toutes les provinces. </w:t>
            </w: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Renforcement des capacités des institutions clés</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3</w:t>
            </w:r>
          </w:p>
        </w:tc>
        <w:tc>
          <w:tcPr>
            <w:tcW w:w="3284" w:type="pct"/>
            <w:shd w:val="clear" w:color="auto" w:fill="FFFFFF"/>
          </w:tcPr>
          <w:p w:rsidR="002E3A02" w:rsidRPr="00E81281" w:rsidRDefault="002E3A02" w:rsidP="0060717C">
            <w:pPr>
              <w:rPr>
                <w:sz w:val="20"/>
                <w:szCs w:val="20"/>
              </w:rPr>
            </w:pPr>
            <w:r w:rsidRPr="00783FDC">
              <w:rPr>
                <w:b/>
                <w:sz w:val="20"/>
                <w:szCs w:val="20"/>
                <w:u w:val="single"/>
              </w:rPr>
              <w:t xml:space="preserve">Comité de pilotage : </w:t>
            </w:r>
            <w:r w:rsidRPr="00783FDC">
              <w:rPr>
                <w:sz w:val="20"/>
                <w:szCs w:val="20"/>
              </w:rPr>
              <w:t>pré</w:t>
            </w:r>
            <w:r w:rsidRPr="00E81281">
              <w:rPr>
                <w:sz w:val="20"/>
                <w:szCs w:val="20"/>
              </w:rPr>
              <w:t xml:space="preserve">sence de représentants de la société civile, des grands groupes d’intérêts dont les coutumiers, services techniques, experts nationaux de grand renom, principaux parlementaires concernés par le sujet. Moyens de travail ad hoc de ces experts. </w:t>
            </w:r>
          </w:p>
          <w:p w:rsidR="002E3A02" w:rsidRPr="00E81281" w:rsidRDefault="002E3A02" w:rsidP="0060717C">
            <w:pPr>
              <w:rPr>
                <w:sz w:val="20"/>
                <w:szCs w:val="20"/>
              </w:rPr>
            </w:pPr>
            <w:r w:rsidRPr="00E81281">
              <w:rPr>
                <w:sz w:val="20"/>
                <w:szCs w:val="20"/>
              </w:rPr>
              <w:t xml:space="preserve">Installation officielle du Comité de pilotage au moment de la cérémonie de lancement. </w:t>
            </w:r>
          </w:p>
          <w:p w:rsidR="002E3A02" w:rsidRPr="00E81281" w:rsidRDefault="002E3A02" w:rsidP="0060717C">
            <w:pPr>
              <w:rPr>
                <w:sz w:val="20"/>
                <w:szCs w:val="20"/>
              </w:rPr>
            </w:pPr>
            <w:r w:rsidRPr="00783FDC">
              <w:rPr>
                <w:b/>
                <w:sz w:val="20"/>
                <w:szCs w:val="20"/>
                <w:u w:val="single"/>
              </w:rPr>
              <w:t>Services techniques :</w:t>
            </w:r>
            <w:r w:rsidRPr="00E81281">
              <w:rPr>
                <w:sz w:val="20"/>
                <w:szCs w:val="20"/>
              </w:rPr>
              <w:t xml:space="preserve"> identification d’une cellule restreinte en charge du projet et assurée de sa continuité, capacités suffisantes en ressources humaines et en moyens techniques permettant d’assumer dans de bonnes conditions les tâches programmées dont la capitalisation des expériences passées et en cours. </w:t>
            </w:r>
          </w:p>
          <w:p w:rsidR="002E3A02" w:rsidRPr="00E81281" w:rsidRDefault="002E3A02" w:rsidP="0060717C">
            <w:pPr>
              <w:rPr>
                <w:sz w:val="20"/>
                <w:szCs w:val="20"/>
              </w:rPr>
            </w:pPr>
            <w:r w:rsidRPr="00783FDC">
              <w:rPr>
                <w:b/>
                <w:sz w:val="20"/>
                <w:szCs w:val="20"/>
                <w:u w:val="single"/>
              </w:rPr>
              <w:t>Pool d’expert locaux et internationaux</w:t>
            </w:r>
            <w:r w:rsidRPr="00E81281">
              <w:rPr>
                <w:sz w:val="20"/>
                <w:szCs w:val="20"/>
              </w:rPr>
              <w:t xml:space="preserve"> ; moyens disponibles en réserve, y compris pour appuyer l’élaboration d’édits provinciaux et pour renforcer les services techniques provinciaux lors de la rédaction de ces textes dans le cadre des projets intégrés (le cas échéant). </w:t>
            </w:r>
          </w:p>
          <w:p w:rsidR="002E3A02" w:rsidRPr="00783FDC" w:rsidRDefault="002E3A02" w:rsidP="0060717C">
            <w:pPr>
              <w:rPr>
                <w:sz w:val="20"/>
                <w:szCs w:val="20"/>
              </w:rPr>
            </w:pPr>
            <w:r w:rsidRPr="00783FDC">
              <w:rPr>
                <w:b/>
                <w:sz w:val="20"/>
                <w:szCs w:val="20"/>
                <w:u w:val="single"/>
              </w:rPr>
              <w:t xml:space="preserve">Constitution d’un pool </w:t>
            </w:r>
            <w:r w:rsidRPr="00E81281">
              <w:rPr>
                <w:b/>
                <w:sz w:val="20"/>
                <w:szCs w:val="20"/>
                <w:u w:val="single"/>
              </w:rPr>
              <w:t xml:space="preserve">restreint </w:t>
            </w:r>
            <w:r w:rsidRPr="00783FDC">
              <w:rPr>
                <w:b/>
                <w:sz w:val="20"/>
                <w:szCs w:val="20"/>
                <w:u w:val="single"/>
              </w:rPr>
              <w:t>d’expertise</w:t>
            </w:r>
            <w:r w:rsidRPr="00E81281">
              <w:rPr>
                <w:b/>
                <w:sz w:val="20"/>
                <w:szCs w:val="20"/>
                <w:u w:val="single"/>
              </w:rPr>
              <w:t xml:space="preserve"> chargée de porter le projet</w:t>
            </w:r>
            <w:r w:rsidRPr="00E81281">
              <w:rPr>
                <w:sz w:val="20"/>
                <w:szCs w:val="20"/>
              </w:rPr>
              <w:t xml:space="preserve"> (consultants et fonctionnaires) chargé d’accompagner l’ensemble du processus dont  la rédaction des textes, l’animation des missions d’études et de capitalisation, les ateliers de </w:t>
            </w:r>
            <w:r w:rsidRPr="00E81281">
              <w:rPr>
                <w:sz w:val="20"/>
                <w:szCs w:val="20"/>
              </w:rPr>
              <w:lastRenderedPageBreak/>
              <w:t xml:space="preserve">validation. </w:t>
            </w:r>
          </w:p>
        </w:tc>
        <w:tc>
          <w:tcPr>
            <w:tcW w:w="991" w:type="pct"/>
            <w:shd w:val="clear" w:color="auto" w:fill="auto"/>
          </w:tcPr>
          <w:p w:rsidR="002E3A02" w:rsidRPr="00E81281" w:rsidRDefault="002E3A02" w:rsidP="0060717C">
            <w:pPr>
              <w:rPr>
                <w:sz w:val="20"/>
                <w:szCs w:val="20"/>
              </w:rPr>
            </w:pPr>
            <w:r w:rsidRPr="00E81281">
              <w:rPr>
                <w:sz w:val="20"/>
                <w:szCs w:val="20"/>
              </w:rPr>
              <w:lastRenderedPageBreak/>
              <w:t>Compte rendu des séances du Comté de pilotage portant en particulier sur la prénité des experts, la suffisance et la disponibilité des moyens de renforcement des capacités (ou le programme d’acquisition de ces capacités)</w:t>
            </w:r>
          </w:p>
          <w:p w:rsidR="002E3A02" w:rsidRPr="00E81281" w:rsidRDefault="002E3A02" w:rsidP="0060717C">
            <w:pPr>
              <w:rPr>
                <w:sz w:val="20"/>
                <w:szCs w:val="20"/>
              </w:rPr>
            </w:pP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Etat des lieux du secteur</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4</w:t>
            </w:r>
          </w:p>
        </w:tc>
        <w:tc>
          <w:tcPr>
            <w:tcW w:w="3284" w:type="pct"/>
            <w:shd w:val="clear" w:color="auto" w:fill="FFFFFF"/>
          </w:tcPr>
          <w:p w:rsidR="002E3A02" w:rsidRPr="00E81281" w:rsidRDefault="002E3A02" w:rsidP="002E3A02">
            <w:pPr>
              <w:numPr>
                <w:ilvl w:val="0"/>
                <w:numId w:val="85"/>
              </w:numPr>
              <w:spacing w:after="160" w:line="259" w:lineRule="auto"/>
              <w:rPr>
                <w:sz w:val="20"/>
                <w:szCs w:val="20"/>
              </w:rPr>
            </w:pPr>
            <w:r w:rsidRPr="00E81281">
              <w:rPr>
                <w:sz w:val="20"/>
                <w:szCs w:val="20"/>
              </w:rPr>
              <w:t>Après l’examen des textes et de la littérature et le débroussaillage rédaction d’une note problématique détaillée réalisée par le groupe d’expert. S’il existe un draft zéro par exemple élaboré par le gouvernement il peut être soumis directement à l’examen détaillé du comité de pilotage, étape suivante ;</w:t>
            </w:r>
          </w:p>
          <w:p w:rsidR="002E3A02" w:rsidRPr="00E81281" w:rsidRDefault="002E3A02" w:rsidP="002E3A02">
            <w:pPr>
              <w:numPr>
                <w:ilvl w:val="0"/>
                <w:numId w:val="85"/>
              </w:numPr>
              <w:spacing w:after="160" w:line="259" w:lineRule="auto"/>
              <w:rPr>
                <w:sz w:val="20"/>
                <w:szCs w:val="20"/>
              </w:rPr>
            </w:pPr>
            <w:r w:rsidRPr="00E81281">
              <w:rPr>
                <w:sz w:val="20"/>
                <w:szCs w:val="20"/>
              </w:rPr>
              <w:t>examen détaillée de la note initiale par le comité de pilotage</w:t>
            </w:r>
          </w:p>
          <w:p w:rsidR="002E3A02" w:rsidRPr="00E81281" w:rsidRDefault="002E3A02" w:rsidP="002E3A02">
            <w:pPr>
              <w:numPr>
                <w:ilvl w:val="0"/>
                <w:numId w:val="85"/>
              </w:numPr>
              <w:spacing w:after="160" w:line="259" w:lineRule="auto"/>
              <w:rPr>
                <w:sz w:val="20"/>
                <w:szCs w:val="20"/>
              </w:rPr>
            </w:pPr>
            <w:r w:rsidRPr="00E81281">
              <w:rPr>
                <w:sz w:val="20"/>
                <w:szCs w:val="20"/>
              </w:rPr>
              <w:t>ateliers provinciaux en nombre échantillonné de provinces pour couvrir l’ensemble des situations foncières du pays ;</w:t>
            </w:r>
          </w:p>
          <w:p w:rsidR="002E3A02" w:rsidRPr="00E81281" w:rsidRDefault="002E3A02" w:rsidP="002E3A02">
            <w:pPr>
              <w:numPr>
                <w:ilvl w:val="0"/>
                <w:numId w:val="85"/>
              </w:numPr>
              <w:spacing w:after="160" w:line="259" w:lineRule="auto"/>
              <w:rPr>
                <w:sz w:val="20"/>
                <w:szCs w:val="20"/>
              </w:rPr>
            </w:pPr>
            <w:r w:rsidRPr="00E81281">
              <w:rPr>
                <w:sz w:val="20"/>
                <w:szCs w:val="20"/>
              </w:rPr>
              <w:t>visites des expériences spécifiques innovantes ou problématiques (notamment lors des déplacements pour animer les ateliers provinciaux ;</w:t>
            </w:r>
          </w:p>
          <w:p w:rsidR="002E3A02" w:rsidRPr="00E81281" w:rsidRDefault="002E3A02" w:rsidP="002E3A02">
            <w:pPr>
              <w:numPr>
                <w:ilvl w:val="0"/>
                <w:numId w:val="85"/>
              </w:numPr>
              <w:spacing w:after="160" w:line="259" w:lineRule="auto"/>
              <w:rPr>
                <w:sz w:val="20"/>
                <w:szCs w:val="20"/>
              </w:rPr>
            </w:pPr>
            <w:r w:rsidRPr="00E81281">
              <w:rPr>
                <w:sz w:val="20"/>
                <w:szCs w:val="20"/>
              </w:rPr>
              <w:t xml:space="preserve">rédaction de l’état des lieux par le groupe d’expert identifiant clairement les éléments de problématique et pointant </w:t>
            </w:r>
          </w:p>
          <w:p w:rsidR="002E3A02" w:rsidRPr="00E81281" w:rsidRDefault="002E3A02" w:rsidP="002E3A02">
            <w:pPr>
              <w:numPr>
                <w:ilvl w:val="0"/>
                <w:numId w:val="85"/>
              </w:numPr>
              <w:spacing w:after="160" w:line="259" w:lineRule="auto"/>
              <w:rPr>
                <w:sz w:val="20"/>
                <w:szCs w:val="20"/>
              </w:rPr>
            </w:pPr>
            <w:r w:rsidRPr="00E81281">
              <w:rPr>
                <w:sz w:val="20"/>
                <w:szCs w:val="20"/>
              </w:rPr>
              <w:t>examen de l’état des lieux par le Comité de Pilotage</w:t>
            </w:r>
          </w:p>
          <w:p w:rsidR="002E3A02" w:rsidRPr="00E81281" w:rsidRDefault="002E3A02" w:rsidP="002E3A02">
            <w:pPr>
              <w:numPr>
                <w:ilvl w:val="0"/>
                <w:numId w:val="85"/>
              </w:numPr>
              <w:spacing w:after="160" w:line="259" w:lineRule="auto"/>
              <w:rPr>
                <w:sz w:val="20"/>
                <w:szCs w:val="20"/>
              </w:rPr>
            </w:pPr>
            <w:r w:rsidRPr="00E81281">
              <w:rPr>
                <w:sz w:val="20"/>
                <w:szCs w:val="20"/>
              </w:rPr>
              <w:t xml:space="preserve">examen de l’état des lieux et validation lors d’un atelier national formulant des hypothèses </w:t>
            </w:r>
          </w:p>
          <w:p w:rsidR="002E3A02" w:rsidRPr="00783FDC" w:rsidRDefault="002E3A02" w:rsidP="002E3A02">
            <w:pPr>
              <w:numPr>
                <w:ilvl w:val="0"/>
                <w:numId w:val="85"/>
              </w:numPr>
              <w:spacing w:after="160" w:line="259" w:lineRule="auto"/>
              <w:rPr>
                <w:sz w:val="20"/>
                <w:szCs w:val="20"/>
              </w:rPr>
            </w:pPr>
            <w:r w:rsidRPr="00E81281">
              <w:rPr>
                <w:sz w:val="20"/>
                <w:szCs w:val="20"/>
              </w:rPr>
              <w:t xml:space="preserve">validation finale de l’état des lieux par le comité de pilotage. </w:t>
            </w:r>
          </w:p>
        </w:tc>
        <w:tc>
          <w:tcPr>
            <w:tcW w:w="991" w:type="pct"/>
            <w:shd w:val="clear" w:color="auto" w:fill="auto"/>
          </w:tcPr>
          <w:p w:rsidR="002E3A02" w:rsidRPr="00E81281" w:rsidRDefault="002E3A02" w:rsidP="0060717C">
            <w:pPr>
              <w:rPr>
                <w:sz w:val="20"/>
                <w:szCs w:val="20"/>
              </w:rPr>
            </w:pPr>
            <w:r w:rsidRPr="00E81281">
              <w:rPr>
                <w:sz w:val="20"/>
                <w:szCs w:val="20"/>
              </w:rPr>
              <w:t>Compte rendu du Comité de Pilotage sur l’analyse des textes</w:t>
            </w:r>
          </w:p>
          <w:p w:rsidR="002E3A02" w:rsidRPr="00E81281" w:rsidRDefault="002E3A02" w:rsidP="0060717C">
            <w:pPr>
              <w:rPr>
                <w:sz w:val="20"/>
                <w:szCs w:val="20"/>
              </w:rPr>
            </w:pPr>
            <w:r w:rsidRPr="00E81281">
              <w:rPr>
                <w:sz w:val="20"/>
                <w:szCs w:val="20"/>
              </w:rPr>
              <w:t>Choix des provinces validé par le Comité de Pilotage</w:t>
            </w:r>
          </w:p>
          <w:p w:rsidR="002E3A02" w:rsidRPr="00E81281" w:rsidRDefault="002E3A02" w:rsidP="0060717C">
            <w:pPr>
              <w:rPr>
                <w:sz w:val="20"/>
                <w:szCs w:val="20"/>
              </w:rPr>
            </w:pPr>
            <w:r w:rsidRPr="00E81281">
              <w:rPr>
                <w:sz w:val="20"/>
                <w:szCs w:val="20"/>
              </w:rPr>
              <w:t>Le compte rendu des ateliers provinciaux et des visites de site</w:t>
            </w:r>
          </w:p>
          <w:p w:rsidR="002E3A02" w:rsidRPr="00E81281" w:rsidRDefault="002E3A02" w:rsidP="0060717C">
            <w:pPr>
              <w:rPr>
                <w:sz w:val="20"/>
                <w:szCs w:val="20"/>
              </w:rPr>
            </w:pPr>
            <w:r w:rsidRPr="00E81281">
              <w:rPr>
                <w:sz w:val="20"/>
                <w:szCs w:val="20"/>
              </w:rPr>
              <w:t>L’état des lieux</w:t>
            </w:r>
          </w:p>
          <w:p w:rsidR="002E3A02" w:rsidRPr="00E81281" w:rsidRDefault="002E3A02" w:rsidP="0060717C">
            <w:pPr>
              <w:rPr>
                <w:sz w:val="20"/>
                <w:szCs w:val="20"/>
              </w:rPr>
            </w:pPr>
            <w:r w:rsidRPr="00E81281">
              <w:rPr>
                <w:sz w:val="20"/>
                <w:szCs w:val="20"/>
              </w:rPr>
              <w:t>Le compte rendu de l’état des lieux par le comité de pilotage</w:t>
            </w:r>
          </w:p>
          <w:p w:rsidR="002E3A02" w:rsidRPr="00E81281" w:rsidRDefault="002E3A02" w:rsidP="0060717C">
            <w:pPr>
              <w:rPr>
                <w:sz w:val="20"/>
                <w:szCs w:val="20"/>
              </w:rPr>
            </w:pPr>
            <w:r w:rsidRPr="00E81281">
              <w:rPr>
                <w:sz w:val="20"/>
                <w:szCs w:val="20"/>
              </w:rPr>
              <w:t>Compte rendu de l’atelier national sur l’état des lieux</w:t>
            </w:r>
          </w:p>
          <w:p w:rsidR="002E3A02" w:rsidRPr="00E81281" w:rsidRDefault="002E3A02" w:rsidP="0060717C">
            <w:pPr>
              <w:rPr>
                <w:sz w:val="20"/>
                <w:szCs w:val="20"/>
              </w:rPr>
            </w:pPr>
            <w:r w:rsidRPr="00E81281">
              <w:rPr>
                <w:sz w:val="20"/>
                <w:szCs w:val="20"/>
              </w:rPr>
              <w:t>Validation de l’état des lieux et des pistes de travail pour la politique et la réforme des textes.</w:t>
            </w:r>
          </w:p>
          <w:p w:rsidR="002E3A02" w:rsidRPr="00E81281" w:rsidRDefault="002E3A02" w:rsidP="0060717C">
            <w:pPr>
              <w:rPr>
                <w:sz w:val="20"/>
                <w:szCs w:val="20"/>
              </w:rPr>
            </w:pP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Rédaction de la note de politique</w:t>
            </w:r>
            <w:r w:rsidRPr="00E81281">
              <w:rPr>
                <w:b/>
                <w:sz w:val="20"/>
                <w:szCs w:val="20"/>
              </w:rPr>
              <w:t xml:space="preserve"> nationale </w:t>
            </w:r>
            <w:r w:rsidRPr="00783FDC">
              <w:rPr>
                <w:b/>
                <w:sz w:val="20"/>
                <w:szCs w:val="20"/>
              </w:rPr>
              <w:t xml:space="preserve"> </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5</w:t>
            </w:r>
          </w:p>
        </w:tc>
        <w:tc>
          <w:tcPr>
            <w:tcW w:w="3284" w:type="pct"/>
            <w:shd w:val="clear" w:color="auto" w:fill="FFFFFF"/>
          </w:tcPr>
          <w:p w:rsidR="002E3A02" w:rsidRPr="00E81281" w:rsidRDefault="002E3A02" w:rsidP="0060717C">
            <w:pPr>
              <w:rPr>
                <w:sz w:val="20"/>
                <w:szCs w:val="20"/>
              </w:rPr>
            </w:pPr>
            <w:r w:rsidRPr="00E81281">
              <w:rPr>
                <w:sz w:val="20"/>
                <w:szCs w:val="20"/>
              </w:rPr>
              <w:t>Travail d’experts. des consultations de groupes d’intérêt peuvent être organisées. Parmi ces groupes d’intérêt figurent les peuples autochtones pygmées, les entrepreneurs agricoles, les forestiers…</w:t>
            </w:r>
          </w:p>
          <w:p w:rsidR="002E3A02" w:rsidRPr="00E81281" w:rsidRDefault="002E3A02" w:rsidP="0060717C">
            <w:pPr>
              <w:rPr>
                <w:sz w:val="20"/>
                <w:szCs w:val="20"/>
              </w:rPr>
            </w:pPr>
            <w:r w:rsidRPr="00E81281">
              <w:rPr>
                <w:sz w:val="20"/>
                <w:szCs w:val="20"/>
              </w:rPr>
              <w:t xml:space="preserve">Réunion du comité de pilotage permettant de pré valider la note de politique. </w:t>
            </w:r>
          </w:p>
          <w:p w:rsidR="002E3A02" w:rsidRPr="00783FDC" w:rsidRDefault="002E3A02" w:rsidP="0060717C">
            <w:pPr>
              <w:rPr>
                <w:sz w:val="20"/>
                <w:szCs w:val="20"/>
              </w:rPr>
            </w:pPr>
            <w:r w:rsidRPr="00E81281">
              <w:rPr>
                <w:sz w:val="20"/>
                <w:szCs w:val="20"/>
              </w:rPr>
              <w:t xml:space="preserve">Atelier national de validation comportant des représentants de chaque province. Il est présidé par le Ministre en charge de la politique. La politique est validée par cet atelier. </w:t>
            </w:r>
          </w:p>
        </w:tc>
        <w:tc>
          <w:tcPr>
            <w:tcW w:w="991" w:type="pct"/>
            <w:shd w:val="clear" w:color="auto" w:fill="auto"/>
          </w:tcPr>
          <w:p w:rsidR="002E3A02" w:rsidRPr="00E81281" w:rsidRDefault="002E3A02" w:rsidP="0060717C">
            <w:pPr>
              <w:rPr>
                <w:sz w:val="20"/>
                <w:szCs w:val="20"/>
              </w:rPr>
            </w:pPr>
            <w:r w:rsidRPr="00E81281">
              <w:rPr>
                <w:sz w:val="20"/>
                <w:szCs w:val="20"/>
              </w:rPr>
              <w:t>Les comptes rendus détaillés des échanges avec les groupes d’intérêt</w:t>
            </w:r>
          </w:p>
          <w:p w:rsidR="002E3A02" w:rsidRPr="00E81281" w:rsidRDefault="002E3A02" w:rsidP="0060717C">
            <w:pPr>
              <w:rPr>
                <w:sz w:val="20"/>
                <w:szCs w:val="20"/>
              </w:rPr>
            </w:pPr>
            <w:r w:rsidRPr="00E81281">
              <w:rPr>
                <w:sz w:val="20"/>
                <w:szCs w:val="20"/>
              </w:rPr>
              <w:t>La note de pré validation</w:t>
            </w:r>
          </w:p>
          <w:p w:rsidR="002E3A02" w:rsidRPr="00E81281" w:rsidRDefault="002E3A02" w:rsidP="0060717C">
            <w:pPr>
              <w:rPr>
                <w:sz w:val="20"/>
                <w:szCs w:val="20"/>
              </w:rPr>
            </w:pPr>
            <w:r w:rsidRPr="00E81281">
              <w:rPr>
                <w:sz w:val="20"/>
                <w:szCs w:val="20"/>
              </w:rPr>
              <w:t>Le compte rendu de l’atelier national de validation</w:t>
            </w:r>
          </w:p>
        </w:tc>
      </w:tr>
      <w:tr w:rsidR="002E3A02" w:rsidRPr="00E343E3" w:rsidTr="0060717C">
        <w:tc>
          <w:tcPr>
            <w:tcW w:w="578" w:type="pct"/>
            <w:shd w:val="clear" w:color="auto" w:fill="auto"/>
          </w:tcPr>
          <w:p w:rsidR="002E3A02" w:rsidRPr="00E81281" w:rsidRDefault="002E3A02" w:rsidP="0060717C">
            <w:pPr>
              <w:rPr>
                <w:b/>
                <w:sz w:val="20"/>
                <w:szCs w:val="20"/>
              </w:rPr>
            </w:pPr>
            <w:r w:rsidRPr="00E81281">
              <w:rPr>
                <w:b/>
                <w:sz w:val="20"/>
                <w:szCs w:val="20"/>
              </w:rPr>
              <w:lastRenderedPageBreak/>
              <w:t>Soumission de la politique en conseil des ministres et promulgation</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6</w:t>
            </w:r>
          </w:p>
        </w:tc>
        <w:tc>
          <w:tcPr>
            <w:tcW w:w="3284" w:type="pct"/>
            <w:shd w:val="clear" w:color="auto" w:fill="FFFFFF"/>
          </w:tcPr>
          <w:p w:rsidR="002E3A02" w:rsidRPr="00E81281" w:rsidRDefault="002E3A02" w:rsidP="0060717C">
            <w:pPr>
              <w:rPr>
                <w:sz w:val="20"/>
                <w:szCs w:val="20"/>
              </w:rPr>
            </w:pPr>
            <w:r w:rsidRPr="00E81281">
              <w:rPr>
                <w:sz w:val="20"/>
                <w:szCs w:val="20"/>
              </w:rPr>
              <w:t>Processus interne au gouvernement</w:t>
            </w:r>
          </w:p>
          <w:p w:rsidR="002E3A02" w:rsidRPr="00E81281" w:rsidRDefault="002E3A02" w:rsidP="0060717C">
            <w:pPr>
              <w:rPr>
                <w:sz w:val="20"/>
                <w:szCs w:val="20"/>
              </w:rPr>
            </w:pPr>
            <w:r w:rsidRPr="00E81281">
              <w:rPr>
                <w:sz w:val="20"/>
                <w:szCs w:val="20"/>
              </w:rPr>
              <w:t>Large diffusion des dispositions de la politique au moment de la promulgation</w:t>
            </w:r>
          </w:p>
        </w:tc>
        <w:tc>
          <w:tcPr>
            <w:tcW w:w="991" w:type="pct"/>
            <w:shd w:val="clear" w:color="auto" w:fill="auto"/>
          </w:tcPr>
          <w:p w:rsidR="002E3A02" w:rsidRPr="00E81281" w:rsidRDefault="002E3A02" w:rsidP="0060717C">
            <w:pPr>
              <w:rPr>
                <w:sz w:val="20"/>
                <w:szCs w:val="20"/>
              </w:rPr>
            </w:pPr>
            <w:r w:rsidRPr="00E81281">
              <w:rPr>
                <w:sz w:val="20"/>
                <w:szCs w:val="20"/>
              </w:rPr>
              <w:t>Les communiqués de presse (journaux, radios, télévision) dans toutes les provinces.</w:t>
            </w: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Lancement de projets pilotes d’envergure limitée permettant de suivre les hypothèses ou certaines des hypothèses de la politique</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7</w:t>
            </w:r>
          </w:p>
        </w:tc>
        <w:tc>
          <w:tcPr>
            <w:tcW w:w="3284" w:type="pct"/>
            <w:shd w:val="clear" w:color="auto" w:fill="FFFFFF"/>
          </w:tcPr>
          <w:p w:rsidR="002E3A02" w:rsidRPr="00E81281" w:rsidRDefault="002E3A02" w:rsidP="0060717C">
            <w:pPr>
              <w:rPr>
                <w:sz w:val="20"/>
                <w:szCs w:val="20"/>
              </w:rPr>
            </w:pPr>
            <w:r w:rsidRPr="00E81281">
              <w:rPr>
                <w:sz w:val="20"/>
                <w:szCs w:val="20"/>
              </w:rPr>
              <w:t xml:space="preserve">Cette étape, non obligatoire, peut s’appuyer sur les projets intégrés ou sectoriels du Fonaredd, ou sur des projets en cours en dehors des projets intégrés. </w:t>
            </w:r>
          </w:p>
          <w:p w:rsidR="002E3A02" w:rsidRPr="00E81281" w:rsidRDefault="002E3A02" w:rsidP="0060717C">
            <w:pPr>
              <w:rPr>
                <w:sz w:val="20"/>
                <w:szCs w:val="20"/>
              </w:rPr>
            </w:pPr>
            <w:r w:rsidRPr="00E81281">
              <w:rPr>
                <w:sz w:val="20"/>
                <w:szCs w:val="20"/>
              </w:rPr>
              <w:t>S’agissant de sous projets opérationnels, ils obéissent aux règles de participation, de consultation,  de transparence, de communication des projets intégrés ou sectoriels.</w:t>
            </w:r>
            <w:r w:rsidRPr="00E81281">
              <w:rPr>
                <w:sz w:val="20"/>
                <w:szCs w:val="20"/>
              </w:rPr>
              <w:br/>
            </w:r>
          </w:p>
          <w:p w:rsidR="002E3A02" w:rsidRPr="00783FDC" w:rsidRDefault="002E3A02" w:rsidP="0060717C">
            <w:pPr>
              <w:rPr>
                <w:sz w:val="20"/>
                <w:szCs w:val="20"/>
              </w:rPr>
            </w:pPr>
            <w:r w:rsidRPr="00E81281">
              <w:rPr>
                <w:sz w:val="20"/>
                <w:szCs w:val="20"/>
              </w:rPr>
              <w:t xml:space="preserve">Les leçons tirées de ces projets font l’objet d’une large diffusion et de réunions d’échange au niveau provincial et national. </w:t>
            </w:r>
          </w:p>
        </w:tc>
        <w:tc>
          <w:tcPr>
            <w:tcW w:w="991" w:type="pct"/>
            <w:shd w:val="clear" w:color="auto" w:fill="auto"/>
          </w:tcPr>
          <w:p w:rsidR="002E3A02" w:rsidRPr="00E81281" w:rsidRDefault="002E3A02" w:rsidP="0060717C">
            <w:pPr>
              <w:rPr>
                <w:sz w:val="20"/>
                <w:szCs w:val="20"/>
              </w:rPr>
            </w:pPr>
            <w:r w:rsidRPr="00E81281">
              <w:rPr>
                <w:sz w:val="20"/>
                <w:szCs w:val="20"/>
              </w:rPr>
              <w:t>Les compte rendus de suivi évaluation, de capitalisation des leçons de ces expériences</w:t>
            </w:r>
          </w:p>
        </w:tc>
      </w:tr>
      <w:tr w:rsidR="002E3A02" w:rsidRPr="00E343E3" w:rsidTr="0060717C">
        <w:tc>
          <w:tcPr>
            <w:tcW w:w="578" w:type="pct"/>
            <w:shd w:val="clear" w:color="auto" w:fill="auto"/>
          </w:tcPr>
          <w:p w:rsidR="002E3A02" w:rsidRPr="00783FDC" w:rsidRDefault="002E3A02" w:rsidP="0060717C">
            <w:pPr>
              <w:rPr>
                <w:b/>
                <w:sz w:val="20"/>
                <w:szCs w:val="20"/>
              </w:rPr>
            </w:pPr>
            <w:r w:rsidRPr="00783FDC">
              <w:rPr>
                <w:b/>
                <w:sz w:val="20"/>
                <w:szCs w:val="20"/>
              </w:rPr>
              <w:t>Rédaction des ébauches des textes juridique par le groupe d’expert</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8</w:t>
            </w:r>
          </w:p>
        </w:tc>
        <w:tc>
          <w:tcPr>
            <w:tcW w:w="3284" w:type="pct"/>
            <w:shd w:val="clear" w:color="auto" w:fill="FFFFFF"/>
          </w:tcPr>
          <w:p w:rsidR="002E3A02" w:rsidRPr="00E81281" w:rsidRDefault="002E3A02" w:rsidP="0060717C">
            <w:pPr>
              <w:rPr>
                <w:sz w:val="20"/>
                <w:szCs w:val="20"/>
              </w:rPr>
            </w:pPr>
            <w:r w:rsidRPr="00E81281">
              <w:rPr>
                <w:sz w:val="20"/>
                <w:szCs w:val="20"/>
              </w:rPr>
              <w:t xml:space="preserve">Consultations individuelles et collectives partielles possibles à la discrétion du groupe d’expert pour confronter ses réflexions. </w:t>
            </w:r>
          </w:p>
          <w:p w:rsidR="002E3A02" w:rsidRPr="00783FDC" w:rsidRDefault="002E3A02" w:rsidP="0060717C">
            <w:pPr>
              <w:rPr>
                <w:sz w:val="20"/>
                <w:szCs w:val="20"/>
              </w:rPr>
            </w:pPr>
            <w:r w:rsidRPr="00E81281">
              <w:rPr>
                <w:sz w:val="20"/>
                <w:szCs w:val="20"/>
              </w:rPr>
              <w:t>Les textes peuvent être de nature différente et compléter ou éclairer les applications spécifique</w:t>
            </w:r>
            <w:r>
              <w:rPr>
                <w:sz w:val="20"/>
                <w:szCs w:val="20"/>
              </w:rPr>
              <w:t>s</w:t>
            </w:r>
            <w:r w:rsidRPr="00E81281">
              <w:rPr>
                <w:sz w:val="20"/>
                <w:szCs w:val="20"/>
              </w:rPr>
              <w:t xml:space="preserve"> des chapitres des lois ou codes et règlements existants ou bien porter sur un corpus de loi complet (exemple de l’aménagement du territoire). </w:t>
            </w:r>
          </w:p>
        </w:tc>
        <w:tc>
          <w:tcPr>
            <w:tcW w:w="991" w:type="pct"/>
            <w:shd w:val="clear" w:color="auto" w:fill="auto"/>
          </w:tcPr>
          <w:p w:rsidR="002E3A02" w:rsidRPr="00E81281" w:rsidRDefault="002E3A02" w:rsidP="0060717C">
            <w:pPr>
              <w:rPr>
                <w:sz w:val="20"/>
                <w:szCs w:val="20"/>
              </w:rPr>
            </w:pPr>
          </w:p>
        </w:tc>
      </w:tr>
      <w:tr w:rsidR="002E3A02" w:rsidRPr="00E343E3" w:rsidTr="0060717C">
        <w:tc>
          <w:tcPr>
            <w:tcW w:w="578" w:type="pct"/>
            <w:shd w:val="clear" w:color="auto" w:fill="auto"/>
          </w:tcPr>
          <w:p w:rsidR="002E3A02" w:rsidRPr="00E81281" w:rsidRDefault="002E3A02" w:rsidP="0060717C">
            <w:pPr>
              <w:rPr>
                <w:sz w:val="20"/>
                <w:szCs w:val="20"/>
              </w:rPr>
            </w:pP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 xml:space="preserve">9 </w:t>
            </w:r>
          </w:p>
        </w:tc>
        <w:tc>
          <w:tcPr>
            <w:tcW w:w="3284" w:type="pct"/>
            <w:shd w:val="clear" w:color="auto" w:fill="FFFFFF"/>
          </w:tcPr>
          <w:p w:rsidR="002E3A02" w:rsidRPr="00E81281" w:rsidRDefault="002E3A02" w:rsidP="0060717C">
            <w:pPr>
              <w:rPr>
                <w:sz w:val="20"/>
                <w:szCs w:val="20"/>
              </w:rPr>
            </w:pPr>
            <w:r w:rsidRPr="00E81281">
              <w:rPr>
                <w:sz w:val="20"/>
                <w:szCs w:val="20"/>
              </w:rPr>
              <w:t xml:space="preserve">Soumission des textes à un atelier national (ou plusieurs en fonction du calendrier de production des textes). </w:t>
            </w:r>
            <w:r w:rsidRPr="00E81281">
              <w:rPr>
                <w:sz w:val="20"/>
                <w:szCs w:val="20"/>
              </w:rPr>
              <w:br/>
              <w:t xml:space="preserve">Ces ateliers nationaux comprennent des représentants de l’ensemble des groupes d’intérêt, de la représentation nationale, de la société civile, des provinces. </w:t>
            </w:r>
          </w:p>
          <w:p w:rsidR="002E3A02" w:rsidRPr="00783FDC" w:rsidRDefault="002E3A02" w:rsidP="0060717C">
            <w:pPr>
              <w:rPr>
                <w:sz w:val="20"/>
                <w:szCs w:val="20"/>
              </w:rPr>
            </w:pPr>
            <w:r w:rsidRPr="00E81281">
              <w:rPr>
                <w:sz w:val="20"/>
                <w:szCs w:val="20"/>
              </w:rPr>
              <w:t xml:space="preserve">Le Comité de Pilotage arbitre les éventuels points en désaccord lors de l’atelier avant de passer à la finalisation des propositions initiales de texte. </w:t>
            </w:r>
          </w:p>
        </w:tc>
        <w:tc>
          <w:tcPr>
            <w:tcW w:w="991" w:type="pct"/>
            <w:shd w:val="clear" w:color="auto" w:fill="auto"/>
          </w:tcPr>
          <w:p w:rsidR="002E3A02" w:rsidRPr="00E81281" w:rsidRDefault="002E3A02" w:rsidP="0060717C">
            <w:pPr>
              <w:rPr>
                <w:sz w:val="20"/>
                <w:szCs w:val="20"/>
              </w:rPr>
            </w:pPr>
            <w:r w:rsidRPr="00E81281">
              <w:rPr>
                <w:sz w:val="20"/>
                <w:szCs w:val="20"/>
              </w:rPr>
              <w:t>Compte rendu détaillé de l’atelier</w:t>
            </w:r>
          </w:p>
        </w:tc>
      </w:tr>
      <w:tr w:rsidR="002E3A02" w:rsidRPr="00E343E3" w:rsidTr="0060717C">
        <w:tc>
          <w:tcPr>
            <w:tcW w:w="578" w:type="pct"/>
            <w:shd w:val="clear" w:color="auto" w:fill="auto"/>
          </w:tcPr>
          <w:p w:rsidR="002E3A02" w:rsidRPr="00E81281" w:rsidRDefault="002E3A02" w:rsidP="0060717C">
            <w:pPr>
              <w:rPr>
                <w:sz w:val="20"/>
                <w:szCs w:val="20"/>
              </w:rPr>
            </w:pPr>
            <w:r w:rsidRPr="00E81281">
              <w:rPr>
                <w:sz w:val="20"/>
                <w:szCs w:val="20"/>
              </w:rPr>
              <w:t>Soumission des textes au Parlement</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 xml:space="preserve">10 </w:t>
            </w:r>
          </w:p>
        </w:tc>
        <w:tc>
          <w:tcPr>
            <w:tcW w:w="3284" w:type="pct"/>
            <w:shd w:val="clear" w:color="auto" w:fill="FFFFFF"/>
          </w:tcPr>
          <w:p w:rsidR="002E3A02" w:rsidRPr="00783FDC" w:rsidRDefault="002E3A02" w:rsidP="0060717C">
            <w:pPr>
              <w:rPr>
                <w:sz w:val="20"/>
                <w:szCs w:val="20"/>
              </w:rPr>
            </w:pPr>
            <w:r w:rsidRPr="00E81281">
              <w:rPr>
                <w:sz w:val="20"/>
                <w:szCs w:val="20"/>
              </w:rPr>
              <w:t xml:space="preserve">Les textes sont soumis au conseil des ministres avant transmission au parlement. Ils peuvent, avant transmission, recevoir des modifications vérifiées à nouveau par le groupe d’experts et le comité de pilotage. </w:t>
            </w:r>
          </w:p>
        </w:tc>
        <w:tc>
          <w:tcPr>
            <w:tcW w:w="991" w:type="pct"/>
            <w:shd w:val="clear" w:color="auto" w:fill="auto"/>
          </w:tcPr>
          <w:p w:rsidR="002E3A02" w:rsidRPr="00E81281" w:rsidRDefault="002E3A02" w:rsidP="0060717C">
            <w:pPr>
              <w:rPr>
                <w:sz w:val="20"/>
                <w:szCs w:val="20"/>
              </w:rPr>
            </w:pPr>
            <w:r w:rsidRPr="00E81281">
              <w:rPr>
                <w:sz w:val="20"/>
                <w:szCs w:val="20"/>
              </w:rPr>
              <w:t>Les textes eux-mêmes. Avant passage au Parlement.</w:t>
            </w:r>
          </w:p>
        </w:tc>
      </w:tr>
      <w:tr w:rsidR="002E3A02" w:rsidRPr="00E343E3" w:rsidTr="0060717C">
        <w:tc>
          <w:tcPr>
            <w:tcW w:w="578" w:type="pct"/>
            <w:shd w:val="clear" w:color="auto" w:fill="auto"/>
          </w:tcPr>
          <w:p w:rsidR="002E3A02" w:rsidRPr="00E81281" w:rsidRDefault="002E3A02" w:rsidP="0060717C">
            <w:pPr>
              <w:rPr>
                <w:sz w:val="20"/>
                <w:szCs w:val="20"/>
              </w:rPr>
            </w:pPr>
            <w:r w:rsidRPr="00E81281">
              <w:rPr>
                <w:sz w:val="20"/>
                <w:szCs w:val="20"/>
              </w:rPr>
              <w:lastRenderedPageBreak/>
              <w:t>Accompagnement du travail parlementaire sur les textes</w:t>
            </w:r>
          </w:p>
        </w:tc>
        <w:tc>
          <w:tcPr>
            <w:tcW w:w="147" w:type="pct"/>
            <w:shd w:val="clear" w:color="auto" w:fill="auto"/>
            <w:vAlign w:val="center"/>
          </w:tcPr>
          <w:p w:rsidR="002E3A02" w:rsidRPr="00E81281" w:rsidRDefault="002E3A02" w:rsidP="0060717C">
            <w:pPr>
              <w:jc w:val="center"/>
              <w:rPr>
                <w:sz w:val="20"/>
                <w:szCs w:val="20"/>
              </w:rPr>
            </w:pPr>
            <w:r w:rsidRPr="00E81281">
              <w:rPr>
                <w:sz w:val="20"/>
                <w:szCs w:val="20"/>
              </w:rPr>
              <w:t>11</w:t>
            </w:r>
          </w:p>
        </w:tc>
        <w:tc>
          <w:tcPr>
            <w:tcW w:w="3284" w:type="pct"/>
            <w:shd w:val="clear" w:color="auto" w:fill="FFFFFF"/>
          </w:tcPr>
          <w:p w:rsidR="002E3A02" w:rsidRPr="00E81281" w:rsidRDefault="002E3A02" w:rsidP="0060717C">
            <w:pPr>
              <w:rPr>
                <w:sz w:val="20"/>
                <w:szCs w:val="20"/>
              </w:rPr>
            </w:pPr>
            <w:r w:rsidRPr="00E81281">
              <w:rPr>
                <w:sz w:val="20"/>
                <w:szCs w:val="20"/>
              </w:rPr>
              <w:t xml:space="preserve">Le groupe d’expert reste en place durant l’examen par le Parlement pour appuyer le travail parlementaire, expliquer les textes et contribuer aux rédactions finales après </w:t>
            </w:r>
          </w:p>
        </w:tc>
        <w:tc>
          <w:tcPr>
            <w:tcW w:w="991" w:type="pct"/>
            <w:shd w:val="clear" w:color="auto" w:fill="auto"/>
          </w:tcPr>
          <w:p w:rsidR="002E3A02" w:rsidRPr="00E81281" w:rsidRDefault="002E3A02" w:rsidP="0060717C">
            <w:pPr>
              <w:rPr>
                <w:sz w:val="20"/>
                <w:szCs w:val="20"/>
              </w:rPr>
            </w:pPr>
          </w:p>
        </w:tc>
      </w:tr>
    </w:tbl>
    <w:p w:rsidR="00472FFD" w:rsidRPr="00ED144B" w:rsidRDefault="00472FFD" w:rsidP="00EF6F07"/>
    <w:sectPr w:rsidR="00472FFD" w:rsidRPr="00ED144B" w:rsidSect="002E3A02">
      <w:pgSz w:w="16838" w:h="11906" w:orient="landscape"/>
      <w:pgMar w:top="1411" w:right="389" w:bottom="1411" w:left="38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45E" w:rsidRDefault="0003745E" w:rsidP="004E7C36">
      <w:pPr>
        <w:spacing w:after="0" w:line="240" w:lineRule="auto"/>
      </w:pPr>
      <w:r>
        <w:separator/>
      </w:r>
    </w:p>
  </w:endnote>
  <w:endnote w:type="continuationSeparator" w:id="0">
    <w:p w:rsidR="0003745E" w:rsidRDefault="0003745E" w:rsidP="004E7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533595"/>
      <w:docPartObj>
        <w:docPartGallery w:val="Page Numbers (Bottom of Page)"/>
        <w:docPartUnique/>
      </w:docPartObj>
    </w:sdtPr>
    <w:sdtEndPr>
      <w:rPr>
        <w:noProof/>
      </w:rPr>
    </w:sdtEndPr>
    <w:sdtContent>
      <w:p w:rsidR="0003745E" w:rsidRDefault="0003745E">
        <w:pPr>
          <w:pStyle w:val="Footer"/>
          <w:jc w:val="center"/>
        </w:pPr>
        <w:r>
          <w:fldChar w:fldCharType="begin"/>
        </w:r>
        <w:r>
          <w:instrText xml:space="preserve"> PAGE   \* MERGEFORMAT </w:instrText>
        </w:r>
        <w:r>
          <w:fldChar w:fldCharType="separate"/>
        </w:r>
        <w:r w:rsidR="00260D67">
          <w:rPr>
            <w:noProof/>
          </w:rPr>
          <w:t>49</w:t>
        </w:r>
        <w:r>
          <w:rPr>
            <w:noProof/>
          </w:rPr>
          <w:fldChar w:fldCharType="end"/>
        </w:r>
      </w:p>
    </w:sdtContent>
  </w:sdt>
  <w:p w:rsidR="0003745E" w:rsidRDefault="00037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224671"/>
      <w:docPartObj>
        <w:docPartGallery w:val="Page Numbers (Bottom of Page)"/>
        <w:docPartUnique/>
      </w:docPartObj>
    </w:sdtPr>
    <w:sdtEndPr>
      <w:rPr>
        <w:noProof/>
      </w:rPr>
    </w:sdtEndPr>
    <w:sdtContent>
      <w:p w:rsidR="0003745E" w:rsidRDefault="0003745E">
        <w:pPr>
          <w:pStyle w:val="Footer"/>
          <w:jc w:val="center"/>
        </w:pPr>
        <w:r>
          <w:fldChar w:fldCharType="begin"/>
        </w:r>
        <w:r>
          <w:instrText xml:space="preserve"> PAGE   \* MERGEFORMAT </w:instrText>
        </w:r>
        <w:r>
          <w:fldChar w:fldCharType="separate"/>
        </w:r>
        <w:r w:rsidR="00260D67">
          <w:rPr>
            <w:noProof/>
          </w:rPr>
          <w:t>133</w:t>
        </w:r>
        <w:r>
          <w:rPr>
            <w:noProof/>
          </w:rPr>
          <w:fldChar w:fldCharType="end"/>
        </w:r>
      </w:p>
    </w:sdtContent>
  </w:sdt>
  <w:p w:rsidR="0003745E" w:rsidRDefault="000374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45E" w:rsidRPr="00220798" w:rsidRDefault="0003745E" w:rsidP="0060717C">
    <w:pPr>
      <w:pStyle w:val="Footer"/>
      <w:rPr>
        <w:sz w:val="18"/>
        <w:szCs w:val="18"/>
      </w:rPr>
    </w:pPr>
    <w:r w:rsidRPr="00220798">
      <w:rPr>
        <w:sz w:val="18"/>
        <w:szCs w:val="18"/>
      </w:rPr>
      <w:t>_____________________________________________________________________________________________________</w:t>
    </w:r>
  </w:p>
  <w:p w:rsidR="0003745E" w:rsidRPr="000C3A96" w:rsidRDefault="0003745E" w:rsidP="0060717C">
    <w:pPr>
      <w:pStyle w:val="Footer"/>
      <w:rPr>
        <w:sz w:val="18"/>
        <w:szCs w:val="18"/>
      </w:rPr>
    </w:pPr>
    <w:r>
      <w:rPr>
        <w:sz w:val="18"/>
        <w:szCs w:val="18"/>
      </w:rPr>
      <w:t xml:space="preserve">Feuille de Route </w:t>
    </w:r>
    <w:r w:rsidRPr="00EA62CF">
      <w:rPr>
        <w:sz w:val="18"/>
        <w:szCs w:val="18"/>
      </w:rPr>
      <w:t xml:space="preserve"> pour la gestion participative des projets du FONAREDD. </w:t>
    </w:r>
    <w:r>
      <w:rPr>
        <w:sz w:val="18"/>
        <w:szCs w:val="18"/>
      </w:rPr>
      <w:t>Octobre</w:t>
    </w:r>
    <w:r w:rsidRPr="000C3A96">
      <w:rPr>
        <w:sz w:val="18"/>
        <w:szCs w:val="18"/>
      </w:rPr>
      <w:t xml:space="preserve"> 2016.</w:t>
    </w:r>
  </w:p>
  <w:p w:rsidR="0003745E" w:rsidRDefault="0003745E">
    <w:pPr>
      <w:pStyle w:val="Footer"/>
      <w:jc w:val="center"/>
    </w:pPr>
    <w:r>
      <w:fldChar w:fldCharType="begin"/>
    </w:r>
    <w:r>
      <w:instrText>PAGE   \* MERGEFORMAT</w:instrText>
    </w:r>
    <w:r>
      <w:fldChar w:fldCharType="separate"/>
    </w:r>
    <w:r w:rsidR="00260D67">
      <w:rPr>
        <w:noProof/>
      </w:rPr>
      <w:t>159</w:t>
    </w:r>
    <w:r>
      <w:rPr>
        <w:noProof/>
      </w:rPr>
      <w:fldChar w:fldCharType="end"/>
    </w:r>
  </w:p>
  <w:p w:rsidR="0003745E" w:rsidRPr="003736E5" w:rsidRDefault="00037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45E" w:rsidRDefault="0003745E" w:rsidP="004E7C36">
      <w:pPr>
        <w:spacing w:after="0" w:line="240" w:lineRule="auto"/>
      </w:pPr>
      <w:r>
        <w:separator/>
      </w:r>
    </w:p>
  </w:footnote>
  <w:footnote w:type="continuationSeparator" w:id="0">
    <w:p w:rsidR="0003745E" w:rsidRDefault="0003745E" w:rsidP="004E7C36">
      <w:pPr>
        <w:spacing w:after="0" w:line="240" w:lineRule="auto"/>
      </w:pPr>
      <w:r>
        <w:continuationSeparator/>
      </w:r>
    </w:p>
  </w:footnote>
  <w:footnote w:id="1">
    <w:p w:rsidR="0003745E" w:rsidRPr="00D33E12" w:rsidRDefault="0003745E" w:rsidP="004E7C36">
      <w:pPr>
        <w:pStyle w:val="FootnoteText"/>
        <w:rPr>
          <w:sz w:val="18"/>
          <w:szCs w:val="18"/>
        </w:rPr>
      </w:pPr>
      <w:r w:rsidRPr="00D33E12">
        <w:rPr>
          <w:rStyle w:val="FootnoteReference"/>
          <w:sz w:val="18"/>
          <w:szCs w:val="18"/>
        </w:rPr>
        <w:footnoteRef/>
      </w:r>
      <w:r w:rsidRPr="00D33E12">
        <w:rPr>
          <w:sz w:val="18"/>
          <w:szCs w:val="18"/>
        </w:rPr>
        <w:t xml:space="preserve"> Le terme « programme REDD+ » fait référence aux programmes et aux projets. Ce modèle reprend la même structure de la fiche de Programme REDD+ soumise lors de la manifestation d’intérêt de façon plus détaillé et certains éléments additionnels tels que le plan de travail ou le budget par catégorie. </w:t>
      </w:r>
    </w:p>
  </w:footnote>
  <w:footnote w:id="2">
    <w:p w:rsidR="0003745E" w:rsidRPr="001E680D" w:rsidRDefault="0003745E" w:rsidP="004E7C36">
      <w:pPr>
        <w:pStyle w:val="FootnoteText"/>
      </w:pPr>
      <w:r w:rsidRPr="00D33E12">
        <w:rPr>
          <w:rStyle w:val="FootnoteReference"/>
          <w:sz w:val="18"/>
          <w:szCs w:val="18"/>
        </w:rPr>
        <w:footnoteRef/>
      </w:r>
      <w:r w:rsidRPr="00D33E12">
        <w:rPr>
          <w:sz w:val="18"/>
          <w:szCs w:val="18"/>
        </w:rPr>
        <w:t xml:space="preserve"> La date de commencement officielle de tout programme REDD+ approuvé correspond au transfert de fonds par le Bureau MPTF.</w:t>
      </w:r>
    </w:p>
  </w:footnote>
  <w:footnote w:id="3">
    <w:p w:rsidR="0003745E" w:rsidRPr="00732E44" w:rsidRDefault="0003745E">
      <w:pPr>
        <w:pStyle w:val="FootnoteText"/>
        <w:rPr>
          <w:sz w:val="18"/>
          <w:szCs w:val="18"/>
        </w:rPr>
      </w:pPr>
      <w:r w:rsidRPr="00732E44">
        <w:rPr>
          <w:rStyle w:val="FootnoteReference"/>
          <w:sz w:val="18"/>
          <w:szCs w:val="18"/>
        </w:rPr>
        <w:footnoteRef/>
      </w:r>
      <w:r w:rsidRPr="00732E44">
        <w:rPr>
          <w:sz w:val="18"/>
          <w:szCs w:val="18"/>
        </w:rPr>
        <w:t xml:space="preserve"> La préparation de ce projet  a débuté par une enquête terrain réalisée en novembre 2014 par Marc Rodriguez et Guy Ipanga. Elle s’inscrivait plus globalement dans le cadre d’un projet du BioCarbon Fund (BioCfplus) de la Banque mondiale avec le concours financier du gouvernement norvégien.</w:t>
      </w:r>
    </w:p>
  </w:footnote>
  <w:footnote w:id="4">
    <w:p w:rsidR="0003745E" w:rsidRPr="00F54D38" w:rsidRDefault="0003745E" w:rsidP="00ED144B">
      <w:pPr>
        <w:pStyle w:val="FootnoteText"/>
        <w:jc w:val="both"/>
      </w:pPr>
      <w:r>
        <w:rPr>
          <w:rStyle w:val="FootnoteReference"/>
        </w:rPr>
        <w:footnoteRef/>
      </w:r>
      <w:r>
        <w:t xml:space="preserve"> </w:t>
      </w:r>
      <w:r w:rsidRPr="00ED144B">
        <w:rPr>
          <w:sz w:val="18"/>
          <w:szCs w:val="18"/>
        </w:rPr>
        <w:t>Le plan d’investissement issu de la mission BioCf</w:t>
      </w:r>
      <w:r w:rsidRPr="00ED144B">
        <w:rPr>
          <w:i/>
          <w:sz w:val="18"/>
          <w:szCs w:val="18"/>
        </w:rPr>
        <w:t>plus</w:t>
      </w:r>
      <w:r w:rsidRPr="00ED144B">
        <w:rPr>
          <w:sz w:val="18"/>
          <w:szCs w:val="18"/>
        </w:rPr>
        <w:t xml:space="preserve"> de Novembre 2015 avait estimé les besoins à plus de 45 millions de dollars US</w:t>
      </w:r>
      <w:r>
        <w:rPr>
          <w:sz w:val="18"/>
          <w:szCs w:val="18"/>
        </w:rPr>
        <w:t xml:space="preserve"> sur 5 ans</w:t>
      </w:r>
      <w:r w:rsidRPr="00ED144B">
        <w:rPr>
          <w:sz w:val="18"/>
          <w:szCs w:val="18"/>
        </w:rPr>
        <w:t xml:space="preserve"> pour supporter l’ensemble des 1372 villages du </w:t>
      </w:r>
      <w:r>
        <w:rPr>
          <w:sz w:val="18"/>
          <w:szCs w:val="18"/>
        </w:rPr>
        <w:t>D</w:t>
      </w:r>
      <w:r w:rsidRPr="00ED144B">
        <w:rPr>
          <w:sz w:val="18"/>
          <w:szCs w:val="18"/>
        </w:rPr>
        <w:t xml:space="preserve">istrict de Mai-Ndombe. </w:t>
      </w:r>
      <w:r>
        <w:rPr>
          <w:sz w:val="18"/>
          <w:szCs w:val="18"/>
        </w:rPr>
        <w:t xml:space="preserve">Avec </w:t>
      </w:r>
      <w:r w:rsidRPr="001E7D41">
        <w:rPr>
          <w:sz w:val="18"/>
          <w:szCs w:val="18"/>
        </w:rPr>
        <w:t>30 millions de dollars US</w:t>
      </w:r>
      <w:r>
        <w:rPr>
          <w:sz w:val="18"/>
          <w:szCs w:val="18"/>
        </w:rPr>
        <w:t>, u</w:t>
      </w:r>
      <w:r w:rsidRPr="001E7D41">
        <w:rPr>
          <w:sz w:val="18"/>
          <w:szCs w:val="18"/>
        </w:rPr>
        <w:t>ne hiérarchisation des priorités s’impose</w:t>
      </w:r>
      <w:r>
        <w:rPr>
          <w:sz w:val="18"/>
          <w:szCs w:val="18"/>
        </w:rPr>
        <w:t>.</w:t>
      </w:r>
      <w:r w:rsidRPr="001E7D41">
        <w:rPr>
          <w:sz w:val="18"/>
          <w:szCs w:val="18"/>
        </w:rPr>
        <w:t xml:space="preserve"> </w:t>
      </w:r>
      <w:r>
        <w:rPr>
          <w:sz w:val="18"/>
          <w:szCs w:val="18"/>
        </w:rPr>
        <w:t xml:space="preserve">Seuls </w:t>
      </w:r>
      <w:r w:rsidRPr="00ED144B">
        <w:rPr>
          <w:sz w:val="18"/>
          <w:szCs w:val="18"/>
        </w:rPr>
        <w:t xml:space="preserve">600 </w:t>
      </w:r>
      <w:r w:rsidRPr="00F54D38">
        <w:rPr>
          <w:sz w:val="18"/>
          <w:szCs w:val="18"/>
        </w:rPr>
        <w:t>terroirs</w:t>
      </w:r>
      <w:r>
        <w:rPr>
          <w:sz w:val="18"/>
          <w:szCs w:val="18"/>
        </w:rPr>
        <w:t xml:space="preserve"> seront ainsi supportés.</w:t>
      </w:r>
      <w:r w:rsidRPr="00BE5AB1">
        <w:t xml:space="preserve"> </w:t>
      </w:r>
      <w:r>
        <w:rPr>
          <w:sz w:val="18"/>
          <w:szCs w:val="18"/>
        </w:rPr>
        <w:t>A</w:t>
      </w:r>
      <w:r w:rsidRPr="00BE5AB1">
        <w:rPr>
          <w:sz w:val="18"/>
          <w:szCs w:val="18"/>
        </w:rPr>
        <w:t>fin d’optimiser</w:t>
      </w:r>
      <w:r>
        <w:rPr>
          <w:sz w:val="18"/>
          <w:szCs w:val="18"/>
        </w:rPr>
        <w:t xml:space="preserve"> par ailleurs,</w:t>
      </w:r>
      <w:r w:rsidRPr="00BE5AB1">
        <w:rPr>
          <w:sz w:val="18"/>
          <w:szCs w:val="18"/>
        </w:rPr>
        <w:t xml:space="preserve"> l’efficacité globale des moyens et mécanismes disponibles au profit des communautés, les villages déjà soutenus par les concessions forestières au travers des « clauses sociales » n’ont pas vocation à intégrer le présent PIREDD, sauf en cas de circonstances exceptionnelles à préciser lors de la phase de mise en œuvre du projet.</w:t>
      </w:r>
    </w:p>
  </w:footnote>
  <w:footnote w:id="5">
    <w:p w:rsidR="0003745E" w:rsidRPr="002F11D0" w:rsidRDefault="0003745E" w:rsidP="00970C57">
      <w:pPr>
        <w:pStyle w:val="FootnoteText"/>
        <w:jc w:val="both"/>
        <w:rPr>
          <w:sz w:val="18"/>
          <w:szCs w:val="18"/>
        </w:rPr>
      </w:pPr>
      <w:r w:rsidRPr="002F11D0">
        <w:rPr>
          <w:rStyle w:val="FootnoteReference"/>
          <w:sz w:val="18"/>
          <w:szCs w:val="18"/>
        </w:rPr>
        <w:footnoteRef/>
      </w:r>
      <w:r w:rsidRPr="002F11D0">
        <w:rPr>
          <w:sz w:val="18"/>
          <w:szCs w:val="18"/>
        </w:rPr>
        <w:t xml:space="preserve"> Lors de la mission BioCf</w:t>
      </w:r>
      <w:r w:rsidRPr="002F11D0">
        <w:rPr>
          <w:i/>
          <w:sz w:val="18"/>
          <w:szCs w:val="18"/>
        </w:rPr>
        <w:t xml:space="preserve">plus </w:t>
      </w:r>
      <w:r w:rsidRPr="002F11D0">
        <w:rPr>
          <w:sz w:val="18"/>
          <w:szCs w:val="18"/>
        </w:rPr>
        <w:t>de préparation du présent projet, en novembre 2014, des ateliers de 3 jours tenus dans chacun des Territoires du District du Ma</w:t>
      </w:r>
      <w:r>
        <w:rPr>
          <w:sz w:val="18"/>
          <w:szCs w:val="18"/>
        </w:rPr>
        <w:t>i-</w:t>
      </w:r>
      <w:r w:rsidRPr="002F11D0">
        <w:rPr>
          <w:sz w:val="18"/>
          <w:szCs w:val="18"/>
        </w:rPr>
        <w:t xml:space="preserve">Ndombe ont permis d’actualiser les Plans de Développement de Territoire élaborés par le Projet Agricole du Bandundu (PAB) en 2010/2011 porté par le Ministère de l’Agriculture Provincial et financé par l’Union Européenne dans les Territoires d’Inongo et de Kutu. Les ateliers d’Oshwe et de Kiri ont jeté les bases de l’élaboration de tels plans (ils n’étaient pas dans la zone du PAB). </w:t>
      </w:r>
    </w:p>
  </w:footnote>
  <w:footnote w:id="6">
    <w:p w:rsidR="0003745E" w:rsidRDefault="0003745E" w:rsidP="00970C57">
      <w:pPr>
        <w:pStyle w:val="FootnoteText"/>
        <w:jc w:val="both"/>
      </w:pPr>
      <w:r w:rsidRPr="002F11D0">
        <w:rPr>
          <w:rStyle w:val="FootnoteReference"/>
          <w:sz w:val="18"/>
          <w:szCs w:val="18"/>
        </w:rPr>
        <w:footnoteRef/>
      </w:r>
      <w:r w:rsidRPr="002F11D0">
        <w:rPr>
          <w:sz w:val="18"/>
          <w:szCs w:val="18"/>
        </w:rPr>
        <w:t xml:space="preserve"> La CNI a déjà élaboré les limites géo-référencées des Territoires, Secteurs, Communes, et Groupements administratifs (2014) et tous les villages sont géo-référencés.</w:t>
      </w:r>
      <w:r>
        <w:t xml:space="preserve"> </w:t>
      </w:r>
    </w:p>
  </w:footnote>
  <w:footnote w:id="7">
    <w:p w:rsidR="0003745E" w:rsidRDefault="0003745E" w:rsidP="00970C57">
      <w:pPr>
        <w:pStyle w:val="FootnoteText"/>
      </w:pPr>
      <w:r>
        <w:rPr>
          <w:rStyle w:val="FootnoteReference"/>
        </w:rPr>
        <w:footnoteRef/>
      </w:r>
      <w:r>
        <w:t xml:space="preserve"> </w:t>
      </w:r>
      <w:r w:rsidRPr="00ED144B">
        <w:rPr>
          <w:sz w:val="18"/>
          <w:szCs w:val="18"/>
        </w:rPr>
        <w:t>Coques : baleinières de moins de 300 sacs, sans toit.</w:t>
      </w:r>
    </w:p>
  </w:footnote>
  <w:footnote w:id="8">
    <w:p w:rsidR="0003745E" w:rsidRDefault="0003745E" w:rsidP="00970C57">
      <w:pPr>
        <w:pStyle w:val="FootnoteText"/>
        <w:jc w:val="both"/>
      </w:pPr>
      <w:r>
        <w:rPr>
          <w:rStyle w:val="FootnoteReference"/>
        </w:rPr>
        <w:footnoteRef/>
      </w:r>
      <w:r>
        <w:t xml:space="preserve"> </w:t>
      </w:r>
      <w:r w:rsidRPr="00ED144B">
        <w:rPr>
          <w:sz w:val="18"/>
          <w:szCs w:val="18"/>
        </w:rPr>
        <w:t>La situation de l’hévéa est moins favorable. Les rendements escomptés en production paysanne sont de 5 à 600 kg de latex sec par ha, acheté 150 FC le kg (prix Congo Forêt Dima) soit un CA /ha de l’ordre de 100 dollars par an, en sachant qu’un planteur peut récolter 2 à 3 ha en étant employé à temps plein. Il est possible de doubler les rendements en utilisant des plants greffés.</w:t>
      </w:r>
    </w:p>
  </w:footnote>
  <w:footnote w:id="9">
    <w:p w:rsidR="0003745E" w:rsidRPr="002F11D0" w:rsidRDefault="0003745E" w:rsidP="00970C57">
      <w:pPr>
        <w:pStyle w:val="FootnoteText"/>
        <w:jc w:val="both"/>
        <w:rPr>
          <w:sz w:val="18"/>
          <w:szCs w:val="18"/>
        </w:rPr>
      </w:pPr>
      <w:r w:rsidRPr="002F11D0">
        <w:rPr>
          <w:rStyle w:val="FootnoteReference"/>
          <w:sz w:val="18"/>
          <w:szCs w:val="18"/>
        </w:rPr>
        <w:footnoteRef/>
      </w:r>
      <w:r w:rsidRPr="002F11D0">
        <w:rPr>
          <w:sz w:val="18"/>
          <w:szCs w:val="18"/>
        </w:rPr>
        <w:t xml:space="preserve"> Enquête sur les revenus des ménages, Mission BioCf</w:t>
      </w:r>
      <w:r w:rsidRPr="002F11D0">
        <w:rPr>
          <w:i/>
          <w:sz w:val="18"/>
          <w:szCs w:val="18"/>
        </w:rPr>
        <w:t xml:space="preserve">plus </w:t>
      </w:r>
      <w:r w:rsidRPr="002F11D0">
        <w:rPr>
          <w:sz w:val="18"/>
          <w:szCs w:val="18"/>
        </w:rPr>
        <w:t>Maï Ndombe. Novembre 2014.</w:t>
      </w:r>
    </w:p>
  </w:footnote>
  <w:footnote w:id="10">
    <w:p w:rsidR="0003745E" w:rsidRPr="002F11D0" w:rsidRDefault="0003745E" w:rsidP="00970C57">
      <w:pPr>
        <w:pStyle w:val="FootnoteText"/>
        <w:jc w:val="both"/>
        <w:rPr>
          <w:sz w:val="18"/>
          <w:szCs w:val="18"/>
        </w:rPr>
      </w:pPr>
      <w:r w:rsidRPr="002F11D0">
        <w:rPr>
          <w:rStyle w:val="FootnoteReference"/>
          <w:sz w:val="18"/>
          <w:szCs w:val="18"/>
        </w:rPr>
        <w:footnoteRef/>
      </w:r>
      <w:r w:rsidRPr="002F11D0">
        <w:rPr>
          <w:sz w:val="18"/>
          <w:szCs w:val="18"/>
        </w:rPr>
        <w:t xml:space="preserve"> Idem.</w:t>
      </w:r>
    </w:p>
  </w:footnote>
  <w:footnote w:id="11">
    <w:p w:rsidR="0003745E" w:rsidRDefault="0003745E" w:rsidP="00970C57">
      <w:pPr>
        <w:pStyle w:val="FootnoteText"/>
      </w:pPr>
      <w:r w:rsidRPr="002F11D0">
        <w:rPr>
          <w:rStyle w:val="FootnoteReference"/>
          <w:sz w:val="18"/>
          <w:szCs w:val="18"/>
        </w:rPr>
        <w:footnoteRef/>
      </w:r>
      <w:r w:rsidRPr="002F11D0">
        <w:rPr>
          <w:sz w:val="18"/>
          <w:szCs w:val="18"/>
        </w:rPr>
        <w:t xml:space="preserve"> Enquêtes de la Mission BioCfplus Maï Ndombe.</w:t>
      </w:r>
      <w:r>
        <w:t xml:space="preserve"> </w:t>
      </w:r>
    </w:p>
  </w:footnote>
  <w:footnote w:id="12">
    <w:p w:rsidR="0003745E" w:rsidRDefault="0003745E" w:rsidP="00970C57">
      <w:pPr>
        <w:pStyle w:val="FootnoteText"/>
        <w:jc w:val="both"/>
      </w:pPr>
      <w:r>
        <w:rPr>
          <w:rStyle w:val="FootnoteReference"/>
        </w:rPr>
        <w:footnoteRef/>
      </w:r>
      <w:r>
        <w:t xml:space="preserve"> </w:t>
      </w:r>
      <w:r w:rsidRPr="00ED144B">
        <w:rPr>
          <w:sz w:val="18"/>
          <w:szCs w:val="18"/>
        </w:rPr>
        <w:t>Echanges en cours.</w:t>
      </w:r>
    </w:p>
  </w:footnote>
  <w:footnote w:id="13">
    <w:p w:rsidR="0003745E" w:rsidRDefault="0003745E" w:rsidP="00970C57">
      <w:pPr>
        <w:pStyle w:val="FootnoteText"/>
        <w:jc w:val="both"/>
      </w:pPr>
      <w:r>
        <w:rPr>
          <w:rStyle w:val="FootnoteReference"/>
        </w:rPr>
        <w:footnoteRef/>
      </w:r>
      <w:r>
        <w:t xml:space="preserve"> </w:t>
      </w:r>
      <w:r w:rsidRPr="00ED144B">
        <w:rPr>
          <w:sz w:val="18"/>
          <w:szCs w:val="18"/>
        </w:rPr>
        <w:t>2 000 FC la bouteille de Primus, 2 700 FC le litre. Prix malaxeur : 1 200 FC le litre, 1,3 $US.</w:t>
      </w:r>
    </w:p>
  </w:footnote>
  <w:footnote w:id="14">
    <w:p w:rsidR="0003745E" w:rsidRDefault="0003745E" w:rsidP="00970C57">
      <w:pPr>
        <w:pStyle w:val="FootnoteText"/>
        <w:jc w:val="both"/>
      </w:pPr>
      <w:r>
        <w:rPr>
          <w:rStyle w:val="FootnoteReference"/>
        </w:rPr>
        <w:footnoteRef/>
      </w:r>
      <w:r>
        <w:t xml:space="preserve"> </w:t>
      </w:r>
      <w:r w:rsidRPr="002F11D0">
        <w:rPr>
          <w:sz w:val="18"/>
          <w:szCs w:val="18"/>
        </w:rPr>
        <w:t xml:space="preserve">Au début des années 90, le District du </w:t>
      </w:r>
      <w:r>
        <w:rPr>
          <w:sz w:val="18"/>
          <w:szCs w:val="18"/>
        </w:rPr>
        <w:t xml:space="preserve">Mai-Ndombe </w:t>
      </w:r>
      <w:r w:rsidRPr="002F11D0">
        <w:rPr>
          <w:sz w:val="18"/>
          <w:szCs w:val="18"/>
        </w:rPr>
        <w:t>produisait encore autour de 13 000 tonnes de café d’après les statistiques du Ministère de l’Agriculture (Monographie du PENSAR, Bandundu, Ministère de l’Agriculture, 1998). Il existait de grandes plantations dans le Territoire de Kutu, mais de nombreux petits agriculteurs s’adonnaient aussi à cette culture. La crise des prix du café sur le marché mondial ainsi que la zaïrianisation puis les troubles politiques ont eu raison de cette production, aujourd’hui résiduelle.</w:t>
      </w:r>
      <w:r>
        <w:t xml:space="preserve"> </w:t>
      </w:r>
    </w:p>
  </w:footnote>
  <w:footnote w:id="15">
    <w:p w:rsidR="0003745E" w:rsidRPr="002F11D0" w:rsidRDefault="0003745E" w:rsidP="00970C57">
      <w:pPr>
        <w:pStyle w:val="FootnoteText"/>
        <w:jc w:val="both"/>
        <w:rPr>
          <w:sz w:val="18"/>
          <w:szCs w:val="18"/>
        </w:rPr>
      </w:pPr>
      <w:r w:rsidRPr="002F11D0">
        <w:rPr>
          <w:rStyle w:val="FootnoteReference"/>
          <w:sz w:val="18"/>
          <w:szCs w:val="18"/>
        </w:rPr>
        <w:footnoteRef/>
      </w:r>
      <w:r w:rsidRPr="002F11D0">
        <w:rPr>
          <w:sz w:val="18"/>
          <w:szCs w:val="18"/>
        </w:rPr>
        <w:t xml:space="preserve"> En tablant sur un prix FOB Matadi de 2 000 $US la tonne, prix actuel maintenu depuis plusieurs années, le prix normal et raisonnable du café marchant est d’un dollar américain le kg. Sur cette base, le café en coque devrait être acheté dans les comptoirs à 450 FC/kg, alors qu’il est acheté à moins de 200 FC/kg.</w:t>
      </w:r>
    </w:p>
  </w:footnote>
  <w:footnote w:id="16">
    <w:p w:rsidR="0003745E" w:rsidRDefault="0003745E" w:rsidP="00970C57">
      <w:pPr>
        <w:pStyle w:val="FootnoteText"/>
        <w:jc w:val="both"/>
      </w:pPr>
      <w:r w:rsidRPr="002F11D0">
        <w:rPr>
          <w:rStyle w:val="FootnoteReference"/>
          <w:sz w:val="18"/>
          <w:szCs w:val="18"/>
        </w:rPr>
        <w:footnoteRef/>
      </w:r>
      <w:r w:rsidRPr="002F11D0">
        <w:rPr>
          <w:sz w:val="18"/>
          <w:szCs w:val="18"/>
        </w:rPr>
        <w:t xml:space="preserve"> La variété préconisée par l’INERA de Yangambi pour la zone a été introduite dans la zone par le projet PAB en 2010/2011 et il est possible de trouver des semences de cette variété en quantités permettant de créer d’importantes pépinières.</w:t>
      </w:r>
      <w:r>
        <w:t xml:space="preserve"> </w:t>
      </w:r>
    </w:p>
  </w:footnote>
  <w:footnote w:id="17">
    <w:p w:rsidR="0003745E" w:rsidRPr="002F11D0" w:rsidRDefault="0003745E" w:rsidP="00970C57">
      <w:pPr>
        <w:pStyle w:val="FootnoteText"/>
        <w:jc w:val="both"/>
        <w:rPr>
          <w:sz w:val="18"/>
          <w:szCs w:val="18"/>
        </w:rPr>
      </w:pPr>
      <w:r w:rsidRPr="002F11D0">
        <w:rPr>
          <w:rStyle w:val="FootnoteReference"/>
          <w:sz w:val="18"/>
          <w:szCs w:val="18"/>
        </w:rPr>
        <w:footnoteRef/>
      </w:r>
      <w:r w:rsidRPr="002F11D0">
        <w:rPr>
          <w:sz w:val="18"/>
          <w:szCs w:val="18"/>
        </w:rPr>
        <w:t xml:space="preserve"> Les baleinières, navires en bois à fond plat de capacités comprise entre 350 et 2500 sacs de manioc ont été équipées à partir de 2010 de moteurs hors bords diésel, au lieu de moteurs à essence, permettant de diviser par quatre les quantités et le coût du carburant dans le transport fluvial, améliorant ainsi de manière substantielle l’économie du transport fluvial. Ce progrès a été aussi la cause de l’augmentation considérable de la production du c</w:t>
      </w:r>
      <w:r>
        <w:rPr>
          <w:sz w:val="18"/>
          <w:szCs w:val="18"/>
        </w:rPr>
        <w:t>harbon de bois dans tout le Mai-</w:t>
      </w:r>
      <w:r w:rsidRPr="002F11D0">
        <w:rPr>
          <w:sz w:val="18"/>
          <w:szCs w:val="18"/>
        </w:rPr>
        <w:t xml:space="preserve">Ndombe. </w:t>
      </w:r>
    </w:p>
  </w:footnote>
  <w:footnote w:id="18">
    <w:p w:rsidR="0003745E" w:rsidRPr="002F11D0" w:rsidRDefault="0003745E" w:rsidP="00970C57">
      <w:pPr>
        <w:pStyle w:val="FootnoteText"/>
        <w:jc w:val="both"/>
        <w:rPr>
          <w:sz w:val="18"/>
          <w:szCs w:val="18"/>
        </w:rPr>
      </w:pPr>
      <w:r w:rsidRPr="002F11D0">
        <w:rPr>
          <w:rStyle w:val="FootnoteReference"/>
          <w:sz w:val="18"/>
          <w:szCs w:val="18"/>
        </w:rPr>
        <w:footnoteRef/>
      </w:r>
      <w:r w:rsidRPr="002F11D0">
        <w:rPr>
          <w:sz w:val="18"/>
          <w:szCs w:val="18"/>
        </w:rPr>
        <w:t xml:space="preserve"> Augmentation du nombre des baleinières, création de la société Flash Express basée à Nioki et desservant chaque semaine tous les villages riverains du District du Mai Ndombe.</w:t>
      </w:r>
    </w:p>
  </w:footnote>
  <w:footnote w:id="19">
    <w:p w:rsidR="0003745E" w:rsidRDefault="0003745E" w:rsidP="00970C57">
      <w:pPr>
        <w:pStyle w:val="FootnoteText"/>
        <w:jc w:val="both"/>
      </w:pPr>
      <w:r w:rsidRPr="002F11D0">
        <w:rPr>
          <w:rStyle w:val="FootnoteReference"/>
          <w:sz w:val="18"/>
          <w:szCs w:val="18"/>
        </w:rPr>
        <w:footnoteRef/>
      </w:r>
      <w:r w:rsidRPr="002F11D0">
        <w:rPr>
          <w:sz w:val="18"/>
          <w:szCs w:val="18"/>
        </w:rPr>
        <w:t xml:space="preserve"> Il se produit chaque année sur le réseau navigable dans les deux Districts entre deux et trois naufrages occasionnant la mort de plusieurs centaines de personnes.</w:t>
      </w:r>
      <w:r>
        <w:t xml:space="preserve"> </w:t>
      </w:r>
    </w:p>
  </w:footnote>
  <w:footnote w:id="20">
    <w:p w:rsidR="0003745E" w:rsidRPr="00944868" w:rsidRDefault="0003745E" w:rsidP="00ED144B">
      <w:pPr>
        <w:pStyle w:val="FootnoteText"/>
        <w:jc w:val="both"/>
      </w:pPr>
      <w:r>
        <w:rPr>
          <w:rStyle w:val="FootnoteReference"/>
        </w:rPr>
        <w:footnoteRef/>
      </w:r>
      <w:r>
        <w:t xml:space="preserve"> </w:t>
      </w:r>
      <w:r w:rsidRPr="00ED144B">
        <w:rPr>
          <w:sz w:val="18"/>
          <w:szCs w:val="18"/>
        </w:rPr>
        <w:t>Le PACDF inter</w:t>
      </w:r>
      <w:r>
        <w:rPr>
          <w:sz w:val="18"/>
          <w:szCs w:val="18"/>
        </w:rPr>
        <w:t>vient dans 3 territoires du Mai-</w:t>
      </w:r>
      <w:r w:rsidRPr="00ED144B">
        <w:rPr>
          <w:sz w:val="18"/>
          <w:szCs w:val="18"/>
        </w:rPr>
        <w:t>Ndombe : Kiri, Oshwe et Inongo et y dispose de délégués choisis par les communautés autochtones elles-mêmes.</w:t>
      </w:r>
    </w:p>
  </w:footnote>
  <w:footnote w:id="21">
    <w:p w:rsidR="0003745E" w:rsidRPr="00C23AD9" w:rsidRDefault="0003745E">
      <w:pPr>
        <w:pStyle w:val="FootnoteText"/>
      </w:pPr>
      <w:r>
        <w:rPr>
          <w:rStyle w:val="FootnoteReference"/>
        </w:rPr>
        <w:footnoteRef/>
      </w:r>
      <w:r>
        <w:t xml:space="preserve"> </w:t>
      </w:r>
      <w:r w:rsidRPr="00FA0CE8">
        <w:rPr>
          <w:sz w:val="18"/>
          <w:szCs w:val="18"/>
        </w:rPr>
        <w:t>Fact</w:t>
      </w:r>
      <w:r>
        <w:rPr>
          <w:sz w:val="18"/>
          <w:szCs w:val="18"/>
        </w:rPr>
        <w:t>eu</w:t>
      </w:r>
      <w:r w:rsidRPr="00ED144B">
        <w:rPr>
          <w:sz w:val="18"/>
          <w:szCs w:val="18"/>
        </w:rPr>
        <w:t>r d’émission des forêts primaires</w:t>
      </w:r>
      <w:r w:rsidRPr="00FA0CE8">
        <w:rPr>
          <w:sz w:val="18"/>
          <w:szCs w:val="18"/>
        </w:rPr>
        <w:t xml:space="preserve"> : 410.79 tCO2/ha (source : </w:t>
      </w:r>
      <w:r>
        <w:rPr>
          <w:sz w:val="18"/>
          <w:szCs w:val="18"/>
        </w:rPr>
        <w:t>Document du Programme de Réduction des Emissions du Mai-Ndombe</w:t>
      </w:r>
      <w:r w:rsidRPr="00ED144B">
        <w:rPr>
          <w:sz w:val="18"/>
          <w:szCs w:val="18"/>
        </w:rPr>
        <w:t>, Mai 2016).</w:t>
      </w:r>
    </w:p>
  </w:footnote>
  <w:footnote w:id="22">
    <w:p w:rsidR="0003745E" w:rsidRPr="00402011" w:rsidRDefault="0003745E">
      <w:pPr>
        <w:pStyle w:val="FootnoteText"/>
      </w:pPr>
      <w:r>
        <w:rPr>
          <w:rStyle w:val="FootnoteReference"/>
        </w:rPr>
        <w:footnoteRef/>
      </w:r>
      <w:r>
        <w:t xml:space="preserve"> </w:t>
      </w:r>
      <w:r w:rsidRPr="00402011">
        <w:rPr>
          <w:sz w:val="18"/>
          <w:szCs w:val="18"/>
        </w:rPr>
        <w:t>Agir sur les évolutions démographiques, John F. May, Académie royale de Belgique, 2013.</w:t>
      </w:r>
    </w:p>
  </w:footnote>
  <w:footnote w:id="23">
    <w:p w:rsidR="0003745E" w:rsidRPr="000F2DE3" w:rsidRDefault="0003745E">
      <w:pPr>
        <w:pStyle w:val="FootnoteText"/>
      </w:pPr>
      <w:r w:rsidRPr="000F2DE3">
        <w:rPr>
          <w:rStyle w:val="FootnoteReference"/>
        </w:rPr>
        <w:footnoteRef/>
      </w:r>
      <w:r w:rsidRPr="000F2DE3">
        <w:t xml:space="preserve"> </w:t>
      </w:r>
      <w:r w:rsidRPr="000F2DE3">
        <w:rPr>
          <w:sz w:val="18"/>
          <w:szCs w:val="18"/>
        </w:rPr>
        <w:t>Dans les systèmes matrilinéaires (Basakata de Kutu par exemple), les droits fonciers réfèrent aux clans maternels. L’accès des femmes à ces terres à des fins de plantations sera facilité.</w:t>
      </w:r>
    </w:p>
  </w:footnote>
  <w:footnote w:id="24">
    <w:p w:rsidR="0003745E" w:rsidRPr="002520C0" w:rsidRDefault="0003745E" w:rsidP="00ED144B">
      <w:pPr>
        <w:pStyle w:val="FootnoteText"/>
        <w:jc w:val="both"/>
      </w:pPr>
      <w:r w:rsidRPr="000F2DE3">
        <w:rPr>
          <w:rStyle w:val="FootnoteReference"/>
        </w:rPr>
        <w:footnoteRef/>
      </w:r>
      <w:r w:rsidRPr="000F2DE3">
        <w:t xml:space="preserve"> </w:t>
      </w:r>
      <w:r w:rsidRPr="000F2DE3">
        <w:rPr>
          <w:sz w:val="18"/>
          <w:szCs w:val="18"/>
        </w:rPr>
        <w:t>Les contrats de services seront rémunérés sur la base d’une réception par l’ALE des quantités réalisées de chacune des unités à délivrer prévue dans les contrats (PSE). Les paiements sur le terrain seront effectués par l’ALE.</w:t>
      </w:r>
    </w:p>
  </w:footnote>
  <w:footnote w:id="25">
    <w:p w:rsidR="0003745E" w:rsidRPr="000F2DE3" w:rsidRDefault="0003745E" w:rsidP="00006382">
      <w:pPr>
        <w:pStyle w:val="FootnoteText"/>
        <w:jc w:val="both"/>
      </w:pPr>
      <w:r w:rsidRPr="000F2DE3">
        <w:rPr>
          <w:rStyle w:val="FootnoteReference"/>
        </w:rPr>
        <w:footnoteRef/>
      </w:r>
      <w:r w:rsidRPr="000F2DE3">
        <w:t xml:space="preserve"> </w:t>
      </w:r>
      <w:r w:rsidRPr="000F2DE3">
        <w:rPr>
          <w:sz w:val="18"/>
          <w:szCs w:val="18"/>
        </w:rPr>
        <w:t>Le PIREDD Mai-Ndombe ne traite pas volontairement de l’exploitation forestière industrielle, qui est ou sera couvert par le projet AGEDUFOR et le programme sectoriel du FONAREDD sur la Gestion Durable des Forêts.</w:t>
      </w:r>
    </w:p>
  </w:footnote>
  <w:footnote w:id="26">
    <w:p w:rsidR="0003745E" w:rsidRPr="00034C2E" w:rsidRDefault="0003745E" w:rsidP="00006382">
      <w:pPr>
        <w:pStyle w:val="FootnoteText"/>
        <w:jc w:val="both"/>
      </w:pPr>
      <w:r w:rsidRPr="000F2DE3">
        <w:rPr>
          <w:rStyle w:val="FootnoteReference"/>
        </w:rPr>
        <w:footnoteRef/>
      </w:r>
      <w:r w:rsidRPr="000F2DE3">
        <w:t xml:space="preserve"> </w:t>
      </w:r>
      <w:r w:rsidRPr="000F2DE3">
        <w:rPr>
          <w:sz w:val="18"/>
          <w:szCs w:val="18"/>
        </w:rPr>
        <w:t>Il est aujourd’hui prématuré de fournir un programme de travail détaillé pour les services techniques de l’environnement, car il doit être établi conjointement avec l’AFD en charge du programme sectoriel du FONAREDD sur la Gestion Durable des Forêts. L’AFD a aujourd’hui (24 novembre 2016) finalisé le processus de sélection de son prestataire technique, mais ce dernier ne débutera sa mission qu’en 2017.</w:t>
      </w:r>
    </w:p>
  </w:footnote>
  <w:footnote w:id="27">
    <w:p w:rsidR="0003745E" w:rsidRPr="00C33B38" w:rsidRDefault="0003745E" w:rsidP="00AF2D73">
      <w:pPr>
        <w:pStyle w:val="FootnoteText"/>
        <w:rPr>
          <w:sz w:val="18"/>
          <w:szCs w:val="18"/>
        </w:rPr>
      </w:pPr>
      <w:r w:rsidRPr="00C33B38">
        <w:rPr>
          <w:rStyle w:val="FootnoteReference"/>
          <w:sz w:val="18"/>
          <w:szCs w:val="18"/>
        </w:rPr>
        <w:footnoteRef/>
      </w:r>
      <w:r w:rsidRPr="00C33B38">
        <w:rPr>
          <w:sz w:val="18"/>
          <w:szCs w:val="18"/>
        </w:rPr>
        <w:t xml:space="preserve"> Ces résultats doiv</w:t>
      </w:r>
      <w:r>
        <w:rPr>
          <w:sz w:val="18"/>
          <w:szCs w:val="18"/>
        </w:rPr>
        <w:t xml:space="preserve">ent s’inscrire dans le cadre de l’Effet et produits </w:t>
      </w:r>
      <w:r w:rsidRPr="00C33B38">
        <w:rPr>
          <w:sz w:val="18"/>
          <w:szCs w:val="18"/>
        </w:rPr>
        <w:t>attendu</w:t>
      </w:r>
      <w:r>
        <w:rPr>
          <w:sz w:val="18"/>
          <w:szCs w:val="18"/>
        </w:rPr>
        <w:t>s</w:t>
      </w:r>
      <w:r w:rsidRPr="00C33B38">
        <w:rPr>
          <w:sz w:val="18"/>
          <w:szCs w:val="18"/>
        </w:rPr>
        <w:t xml:space="preserve"> par le Fonds auquel le présent Programme REDD+ répond. Les indicateurs de Produits et les activités indicatives du Plan d’Investissement du fonds doivent influencer le choix des résultats immédiats et des activités principales présentés par le présent Programme REDD+. Veuillez ajouter des lignes si nécessaires pour les résultats 2, 3, etc. et les activités associées. </w:t>
      </w:r>
    </w:p>
  </w:footnote>
  <w:footnote w:id="28">
    <w:p w:rsidR="0003745E" w:rsidRPr="00F61BD3" w:rsidRDefault="0003745E" w:rsidP="00F61BD3">
      <w:pPr>
        <w:pStyle w:val="FootnoteText"/>
        <w:jc w:val="both"/>
        <w:rPr>
          <w:sz w:val="18"/>
          <w:szCs w:val="18"/>
        </w:rPr>
      </w:pPr>
      <w:r w:rsidRPr="00F61BD3">
        <w:rPr>
          <w:rStyle w:val="FootnoteReference"/>
          <w:sz w:val="18"/>
          <w:szCs w:val="18"/>
        </w:rPr>
        <w:footnoteRef/>
      </w:r>
      <w:r w:rsidRPr="00F61BD3">
        <w:rPr>
          <w:sz w:val="18"/>
          <w:szCs w:val="18"/>
        </w:rPr>
        <w:t xml:space="preserve"> En plus du CGES, des cadres spécifiques ont été développés pour répondre aux exigences des politiques opérationnelles spé</w:t>
      </w:r>
      <w:r>
        <w:rPr>
          <w:sz w:val="18"/>
          <w:szCs w:val="18"/>
        </w:rPr>
        <w:t xml:space="preserve">cifiques de la Banque mondiale, et plus particulièrement </w:t>
      </w:r>
      <w:r w:rsidRPr="00F61BD3">
        <w:rPr>
          <w:sz w:val="18"/>
          <w:szCs w:val="18"/>
        </w:rPr>
        <w:t>un cadre de développement des peuples autochtones</w:t>
      </w:r>
      <w:r>
        <w:rPr>
          <w:sz w:val="18"/>
          <w:szCs w:val="18"/>
        </w:rPr>
        <w:t>, un cadre traitant de possibles</w:t>
      </w:r>
      <w:r w:rsidRPr="00F61BD3">
        <w:rPr>
          <w:sz w:val="18"/>
          <w:szCs w:val="18"/>
        </w:rPr>
        <w:t xml:space="preserve"> réinstallation</w:t>
      </w:r>
      <w:r>
        <w:rPr>
          <w:sz w:val="18"/>
          <w:szCs w:val="18"/>
        </w:rPr>
        <w:t>s</w:t>
      </w:r>
      <w:r w:rsidRPr="00F61BD3">
        <w:rPr>
          <w:sz w:val="18"/>
          <w:szCs w:val="18"/>
        </w:rPr>
        <w:t xml:space="preserve"> involontaire</w:t>
      </w:r>
      <w:r>
        <w:rPr>
          <w:sz w:val="18"/>
          <w:szCs w:val="18"/>
        </w:rPr>
        <w:t>s</w:t>
      </w:r>
      <w:r w:rsidRPr="00F61BD3">
        <w:rPr>
          <w:sz w:val="18"/>
          <w:szCs w:val="18"/>
        </w:rPr>
        <w:t>, un cadre su</w:t>
      </w:r>
      <w:r>
        <w:rPr>
          <w:sz w:val="18"/>
          <w:szCs w:val="18"/>
        </w:rPr>
        <w:t>r les pesticides, un cadre sur les</w:t>
      </w:r>
      <w:r w:rsidRPr="00F61BD3">
        <w:rPr>
          <w:sz w:val="18"/>
          <w:szCs w:val="18"/>
        </w:rPr>
        <w:t xml:space="preserve"> biens culturels, et un cadre </w:t>
      </w:r>
      <w:r>
        <w:rPr>
          <w:sz w:val="18"/>
          <w:szCs w:val="18"/>
        </w:rPr>
        <w:t>traitant d’éventuelles limitations d’accès aux ressources naturelles</w:t>
      </w:r>
      <w:r w:rsidRPr="00F61BD3">
        <w:rPr>
          <w:sz w:val="18"/>
          <w:szCs w:val="18"/>
        </w:rPr>
        <w:t>. Tous ces instruments ont été analysés et approuvés par la Banque mondiale au début de 2015 dans le cadre de la diligence raisonnable de la Banque pour la phase de préparation REDD + (de préparation).</w:t>
      </w:r>
    </w:p>
  </w:footnote>
  <w:footnote w:id="29">
    <w:p w:rsidR="0003745E" w:rsidRDefault="0003745E" w:rsidP="0002196E">
      <w:pPr>
        <w:pStyle w:val="FootnoteText"/>
      </w:pPr>
      <w:r>
        <w:rPr>
          <w:rStyle w:val="FootnoteReference"/>
        </w:rPr>
        <w:footnoteRef/>
      </w:r>
      <w:r>
        <w:t xml:space="preserve"> </w:t>
      </w:r>
      <w:r>
        <w:rPr>
          <w:rFonts w:eastAsia="Times New Roman"/>
        </w:rPr>
        <w:t>loi organique n°08/016 du 7 octobre 2008 portant composition, organisation et fonctionnement des entités territoriales décentralisées et leurs rapports avec l'Etat et les Provinces</w:t>
      </w:r>
      <w:r>
        <w:rPr>
          <w:rFonts w:eastAsia="Times New Roman"/>
        </w:rPr>
        <w:br/>
      </w:r>
    </w:p>
  </w:footnote>
  <w:footnote w:id="30">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Dans tous les calculs du présent rapport, le taux de croissance démographique en milieu rural est celui de Leon de Saint Moulin et de l’Institut National de la Statistique (3,4% en moyenne annuelle nationale, 3% en milieu rural et 6% dans les villes et cités). Ces chiffres ont été revus récemment à la baisse par les Nations Unies (rapport Guingamp sur la Quantification et la budgétisation du Plan Stratégique de Planification Familiale, 2013). Ce rapport retient deux valeurs : l’une à 2,9% par an élaborée avec le modèle Spectrum et l’autre à 2,7% (Nations Unies). </w:t>
      </w:r>
    </w:p>
  </w:footnote>
  <w:footnote w:id="31">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A partir de 2010 les baleinières, navires en bois à fond plats de 350 à 3500 sacs sont motorisés avec des moteurs hors-bords diésel à consommation de carburant dix fois moindre en volume et en coût à celle de la précédente motorisation à essence. Une baleinière de 2000 sacs représente un investissement total de 25 000 dollars, le même que celui d’un camion d’occasion de 120 sacs, et pour des coûts en carburant comparables à la course. </w:t>
      </w:r>
    </w:p>
  </w:footnote>
  <w:footnote w:id="32">
    <w:p w:rsidR="0003745E" w:rsidRPr="0002196E" w:rsidRDefault="0003745E" w:rsidP="0002196E">
      <w:pPr>
        <w:pStyle w:val="FootnoteText"/>
        <w:jc w:val="both"/>
        <w:rPr>
          <w:sz w:val="18"/>
          <w:szCs w:val="18"/>
        </w:rPr>
      </w:pPr>
      <w:r w:rsidRPr="0002196E">
        <w:rPr>
          <w:rStyle w:val="FootnoteReference"/>
          <w:sz w:val="18"/>
          <w:szCs w:val="18"/>
        </w:rPr>
        <w:footnoteRef/>
      </w:r>
      <w:r w:rsidRPr="0002196E">
        <w:rPr>
          <w:sz w:val="18"/>
          <w:szCs w:val="18"/>
        </w:rPr>
        <w:t xml:space="preserve"> 240 000 en comptant 10 baleinières de 2000 sacs par mois, ce qui est une estimation très « conservatrice ». </w:t>
      </w:r>
    </w:p>
  </w:footnote>
  <w:footnote w:id="33">
    <w:p w:rsidR="0003745E" w:rsidRPr="0002196E" w:rsidRDefault="0003745E" w:rsidP="0002196E">
      <w:pPr>
        <w:pStyle w:val="FootnoteText"/>
        <w:jc w:val="both"/>
        <w:rPr>
          <w:sz w:val="18"/>
          <w:szCs w:val="18"/>
        </w:rPr>
      </w:pPr>
      <w:r w:rsidRPr="0002196E">
        <w:rPr>
          <w:rStyle w:val="FootnoteReference"/>
          <w:sz w:val="18"/>
          <w:szCs w:val="18"/>
        </w:rPr>
        <w:footnoteRef/>
      </w:r>
      <w:r w:rsidRPr="0002196E">
        <w:rPr>
          <w:sz w:val="18"/>
          <w:szCs w:val="18"/>
        </w:rPr>
        <w:t xml:space="preserve"> Enquête de la mission BioCf</w:t>
      </w:r>
      <w:r w:rsidRPr="0002196E">
        <w:rPr>
          <w:i/>
          <w:sz w:val="18"/>
          <w:szCs w:val="18"/>
        </w:rPr>
        <w:t>plus</w:t>
      </w:r>
      <w:r>
        <w:rPr>
          <w:sz w:val="18"/>
          <w:szCs w:val="18"/>
        </w:rPr>
        <w:t xml:space="preserve"> dans le district du Mai-</w:t>
      </w:r>
      <w:r w:rsidRPr="0002196E">
        <w:rPr>
          <w:sz w:val="18"/>
          <w:szCs w:val="18"/>
        </w:rPr>
        <w:t>Ndombe (échantillon de 400 ménages) en novembre 2014 et enquêtes du Ministère de l’Agriculture Provincial (Bandundu) du PAB dans les 4 Territoires du Plateau en 2011.</w:t>
      </w:r>
    </w:p>
  </w:footnote>
  <w:footnote w:id="34">
    <w:p w:rsidR="0003745E" w:rsidRPr="0002196E" w:rsidRDefault="0003745E" w:rsidP="0002196E">
      <w:pPr>
        <w:pStyle w:val="FootnoteText"/>
        <w:jc w:val="both"/>
        <w:rPr>
          <w:sz w:val="18"/>
          <w:szCs w:val="18"/>
        </w:rPr>
      </w:pPr>
      <w:r w:rsidRPr="0002196E">
        <w:rPr>
          <w:rStyle w:val="FootnoteReference"/>
          <w:sz w:val="18"/>
          <w:szCs w:val="18"/>
        </w:rPr>
        <w:footnoteRef/>
      </w:r>
      <w:r w:rsidRPr="0002196E">
        <w:rPr>
          <w:sz w:val="18"/>
          <w:szCs w:val="18"/>
        </w:rPr>
        <w:t xml:space="preserve"> A noter que les migrants en question ne cultivent pas de petites superficies : ils cultivent en forêt primaire, avec peu de problèmes d’entretien des cultures, et se font aider temporairement par des « combattants », jeunes gens de chez eux qui préparent ainsi leur propre migration. Les superficies sont souvent de 4 ha et plus par an et par ménage dans les campements pionniers à maïs de </w:t>
      </w:r>
      <w:r>
        <w:rPr>
          <w:sz w:val="18"/>
          <w:szCs w:val="18"/>
        </w:rPr>
        <w:t>Kwamouth</w:t>
      </w:r>
      <w:r w:rsidRPr="0002196E">
        <w:rPr>
          <w:sz w:val="18"/>
          <w:szCs w:val="18"/>
        </w:rPr>
        <w:t xml:space="preserve">, avec de fortes productions de charbon de bois.    </w:t>
      </w:r>
    </w:p>
  </w:footnote>
  <w:footnote w:id="35">
    <w:p w:rsidR="0003745E" w:rsidRPr="0002196E" w:rsidRDefault="0003745E" w:rsidP="0002196E">
      <w:pPr>
        <w:pStyle w:val="FootnoteText"/>
        <w:jc w:val="both"/>
        <w:rPr>
          <w:sz w:val="18"/>
          <w:szCs w:val="18"/>
        </w:rPr>
      </w:pPr>
      <w:r w:rsidRPr="0002196E">
        <w:rPr>
          <w:rStyle w:val="FootnoteReference"/>
          <w:sz w:val="18"/>
          <w:szCs w:val="18"/>
        </w:rPr>
        <w:footnoteRef/>
      </w:r>
      <w:r w:rsidRPr="0002196E">
        <w:rPr>
          <w:sz w:val="18"/>
          <w:szCs w:val="18"/>
        </w:rPr>
        <w:t xml:space="preserve"> Le secteur privé local, en relai d’acheteurs camerounais, a maintenu ces dernières années des prix bas et peu d’exigence de qualité. Des pratiques extensives de culture et de fermentation/séchage se sont généralisées. </w:t>
      </w:r>
    </w:p>
  </w:footnote>
  <w:footnote w:id="36">
    <w:p w:rsidR="0003745E" w:rsidRPr="0002196E" w:rsidRDefault="0003745E" w:rsidP="0002196E">
      <w:pPr>
        <w:pStyle w:val="FootnoteText"/>
        <w:jc w:val="both"/>
        <w:rPr>
          <w:sz w:val="18"/>
          <w:szCs w:val="18"/>
        </w:rPr>
      </w:pPr>
      <w:r>
        <w:rPr>
          <w:rStyle w:val="FootnoteReference"/>
        </w:rPr>
        <w:footnoteRef/>
      </w:r>
      <w:r>
        <w:t xml:space="preserve"> </w:t>
      </w:r>
      <w:r w:rsidRPr="0002196E">
        <w:rPr>
          <w:sz w:val="18"/>
          <w:szCs w:val="18"/>
        </w:rPr>
        <w:t>Analyse des Enquêtes Ménages. Ministère de l’Agriculture du Bandundu. (PAB 2011).</w:t>
      </w:r>
    </w:p>
  </w:footnote>
  <w:footnote w:id="37">
    <w:p w:rsidR="0003745E" w:rsidRPr="0002196E" w:rsidRDefault="0003745E" w:rsidP="0002196E">
      <w:pPr>
        <w:pStyle w:val="FootnoteText"/>
        <w:jc w:val="both"/>
        <w:rPr>
          <w:sz w:val="18"/>
          <w:szCs w:val="18"/>
        </w:rPr>
      </w:pPr>
      <w:r w:rsidRPr="0002196E">
        <w:rPr>
          <w:rStyle w:val="FootnoteReference"/>
          <w:sz w:val="18"/>
          <w:szCs w:val="18"/>
        </w:rPr>
        <w:footnoteRef/>
      </w:r>
      <w:r w:rsidRPr="0002196E">
        <w:rPr>
          <w:sz w:val="18"/>
          <w:szCs w:val="18"/>
        </w:rPr>
        <w:t xml:space="preserve"> Mais d’après le témoignage de l’animateur du programme, les causes de ces disettes semblent plutôt être dues à des pratiques sociales vis-à-vis de l’alimentation des enfants qu’à un déficit réel en biens alimentaires. </w:t>
      </w:r>
    </w:p>
  </w:footnote>
  <w:footnote w:id="38">
    <w:p w:rsidR="0003745E" w:rsidRPr="0002196E" w:rsidRDefault="0003745E" w:rsidP="0002196E">
      <w:pPr>
        <w:pStyle w:val="FootnoteText"/>
        <w:jc w:val="both"/>
        <w:rPr>
          <w:sz w:val="18"/>
          <w:szCs w:val="18"/>
        </w:rPr>
      </w:pPr>
      <w:r w:rsidRPr="0002196E">
        <w:rPr>
          <w:rStyle w:val="FootnoteReference"/>
          <w:sz w:val="18"/>
          <w:szCs w:val="18"/>
        </w:rPr>
        <w:footnoteRef/>
      </w:r>
      <w:r>
        <w:rPr>
          <w:sz w:val="18"/>
          <w:szCs w:val="18"/>
        </w:rPr>
        <w:t xml:space="preserve"> Les pygmées du Mai-</w:t>
      </w:r>
      <w:r w:rsidRPr="0002196E">
        <w:rPr>
          <w:sz w:val="18"/>
          <w:szCs w:val="18"/>
        </w:rPr>
        <w:t>Ndombe nient être les victimes du rejet des bantous pour expliquer leur faible fréquentation des établissements publics. C’est l’argent qui en est la cause principale, et leurs préférences, ainsi que, dans le cas des enfants, la faible autorité des parents sur eux (entretiens dans les villages pygmées, mission BioCf</w:t>
      </w:r>
      <w:r w:rsidRPr="0002196E">
        <w:rPr>
          <w:i/>
          <w:sz w:val="18"/>
          <w:szCs w:val="18"/>
        </w:rPr>
        <w:t>plus</w:t>
      </w:r>
      <w:r w:rsidRPr="0002196E">
        <w:rPr>
          <w:sz w:val="18"/>
          <w:szCs w:val="18"/>
        </w:rPr>
        <w:t>, novembre 2014).</w:t>
      </w:r>
    </w:p>
  </w:footnote>
  <w:footnote w:id="39">
    <w:p w:rsidR="0003745E" w:rsidRPr="0002196E" w:rsidRDefault="0003745E" w:rsidP="0002196E">
      <w:pPr>
        <w:pStyle w:val="FootnoteText"/>
        <w:jc w:val="both"/>
        <w:rPr>
          <w:sz w:val="18"/>
          <w:szCs w:val="18"/>
        </w:rPr>
      </w:pPr>
      <w:r w:rsidRPr="0002196E">
        <w:rPr>
          <w:rStyle w:val="FootnoteReference"/>
          <w:sz w:val="18"/>
          <w:szCs w:val="18"/>
        </w:rPr>
        <w:footnoteRef/>
      </w:r>
      <w:r w:rsidRPr="0002196E">
        <w:rPr>
          <w:sz w:val="18"/>
          <w:szCs w:val="18"/>
        </w:rPr>
        <w:t xml:space="preserve"> Et réciproquement, leur diminution aurait de graves conséquences sur les revenus et les conditions de vie des populations rurales. Le développement de la production agricole vivrière industrielle (exemple du Parc Agro Industriel de Bukanga Lonzo) représente une menace sérieuse pour l’équilibre des prix sur le marché de Kinshasa. </w:t>
      </w:r>
    </w:p>
  </w:footnote>
  <w:footnote w:id="40">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Encore s’agit-il d’un acte semi officiel puisque, reconnu par l’administration territoriale, il ne l’est pas par les Affaires Foncières, aucun décret d’application n’étant jamais venu sanctionner la possibilité de bail fermier qu’ouvre la Loi Foncière. Il s’agit d’un droit d’usufruit, parfois et de plus en plus transformé en certificat d’enregistrement sous la pression de l’administration du cadastre. </w:t>
      </w:r>
    </w:p>
  </w:footnote>
  <w:footnote w:id="41">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Le prix varie de 300 $US/ha sur le Plateau des Bateke à moins de 10 $US dans les savanes éloignées. </w:t>
      </w:r>
    </w:p>
  </w:footnote>
  <w:footnote w:id="42">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Par exemple en 2014 à la Concession Sogenac où plusieurs milliers de bovins ont été abattus par les paysans.</w:t>
      </w:r>
    </w:p>
  </w:footnote>
  <w:footnote w:id="43">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Par exemple il est de 10 % des sacs de gravier récoltés dans le cas de la plupart des concessions diamantifères artisanales de la RDC, « négociable », avant tamisage.</w:t>
      </w:r>
    </w:p>
  </w:footnote>
  <w:footnote w:id="44">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Un venant ne peut pas le tenter et lorsque le membre du clan s’installe dans la terre convoitée, ce ne peut qu’être assimilé à une provocation. </w:t>
      </w:r>
    </w:p>
  </w:footnote>
  <w:footnote w:id="45">
    <w:p w:rsidR="0003745E" w:rsidRDefault="0003745E" w:rsidP="0002196E">
      <w:pPr>
        <w:pStyle w:val="FootnoteText"/>
        <w:jc w:val="both"/>
      </w:pPr>
      <w:r w:rsidRPr="002F11D0">
        <w:rPr>
          <w:rStyle w:val="FootnoteReference"/>
          <w:sz w:val="18"/>
          <w:szCs w:val="18"/>
        </w:rPr>
        <w:footnoteRef/>
      </w:r>
      <w:r w:rsidRPr="002F11D0">
        <w:rPr>
          <w:sz w:val="18"/>
          <w:szCs w:val="18"/>
        </w:rPr>
        <w:t xml:space="preserve"> Ceci peut aboutir au gel de l’exploitation de certaines concessions, comme dans le secteur de Luebo, dans Kutu.</w:t>
      </w:r>
      <w:r>
        <w:t xml:space="preserve"> </w:t>
      </w:r>
    </w:p>
  </w:footnote>
  <w:footnote w:id="46">
    <w:p w:rsidR="0003745E" w:rsidRPr="002F11D0" w:rsidRDefault="0003745E" w:rsidP="0002196E">
      <w:pPr>
        <w:pStyle w:val="FootnoteText"/>
        <w:jc w:val="both"/>
        <w:rPr>
          <w:sz w:val="18"/>
          <w:szCs w:val="18"/>
        </w:rPr>
      </w:pPr>
      <w:r w:rsidRPr="002F11D0">
        <w:rPr>
          <w:rStyle w:val="FootnoteReference"/>
          <w:sz w:val="18"/>
          <w:szCs w:val="18"/>
        </w:rPr>
        <w:footnoteRef/>
      </w:r>
      <w:r w:rsidRPr="002F11D0">
        <w:rPr>
          <w:sz w:val="18"/>
          <w:szCs w:val="18"/>
        </w:rPr>
        <w:t xml:space="preserve"> C’est là un sujet de conflit fréquent avec les venants, qui souvent, mais pas systématiquement, sont interdits d’accès à la forêt primaire. </w:t>
      </w:r>
    </w:p>
  </w:footnote>
  <w:footnote w:id="47">
    <w:p w:rsidR="0003745E" w:rsidRPr="00CD6C81" w:rsidRDefault="0003745E" w:rsidP="0002196E">
      <w:pPr>
        <w:pStyle w:val="FootnoteText"/>
        <w:jc w:val="both"/>
      </w:pPr>
      <w:r w:rsidRPr="002F11D0">
        <w:rPr>
          <w:rStyle w:val="FootnoteReference"/>
          <w:sz w:val="18"/>
          <w:szCs w:val="18"/>
        </w:rPr>
        <w:footnoteRef/>
      </w:r>
      <w:r w:rsidRPr="002F11D0">
        <w:rPr>
          <w:sz w:val="18"/>
          <w:szCs w:val="18"/>
          <w:lang w:val="en-GB"/>
        </w:rPr>
        <w:t xml:space="preserve"> Assisted Natural Regeneration in Slash and Burn Agriculture. </w:t>
      </w:r>
      <w:r w:rsidRPr="002F11D0">
        <w:rPr>
          <w:sz w:val="18"/>
          <w:szCs w:val="18"/>
        </w:rPr>
        <w:t xml:space="preserve">Régis Peltier et allies. Bois et Forêts des Tropiques. </w:t>
      </w:r>
      <w:r w:rsidRPr="00CD6C81">
        <w:rPr>
          <w:sz w:val="18"/>
          <w:szCs w:val="18"/>
        </w:rPr>
        <w:t>N° 321. 2015.</w:t>
      </w:r>
    </w:p>
  </w:footnote>
  <w:footnote w:id="48">
    <w:p w:rsidR="0003745E" w:rsidRPr="00965B36" w:rsidRDefault="0003745E" w:rsidP="00965B36">
      <w:pPr>
        <w:pStyle w:val="FootnoteText"/>
        <w:jc w:val="both"/>
        <w:rPr>
          <w:sz w:val="18"/>
          <w:szCs w:val="18"/>
        </w:rPr>
      </w:pPr>
      <w:r w:rsidRPr="00965B36">
        <w:rPr>
          <w:rStyle w:val="FootnoteReference"/>
          <w:sz w:val="18"/>
          <w:szCs w:val="18"/>
        </w:rPr>
        <w:footnoteRef/>
      </w:r>
      <w:r w:rsidRPr="00965B36">
        <w:rPr>
          <w:sz w:val="18"/>
          <w:szCs w:val="18"/>
        </w:rPr>
        <w:t xml:space="preserve"> On désigne ainsi les peuples de langues voisines, d’origine bantoue, provenant d’une des trois grandes branches de peuplement de l’Afrique Centrale qui, toujours issue du pourtour sud du Lac Tchad, et sous la pression des changements climatiques, a migré vers le nord de la foret (Equateur Sud, Bandundu Nord), tandis qu’une autre migration la contournait par l’Est, formant les peuples actuels des savanes. On compte dans ce grand groupe la plupart des sud équatoriens (Mongos) ainsi que, dans la Province du Mai Ndombe, les Ntombas, Ekondas, Kundos et plus loin les Tetelas des deux Kasaï et du Maniema. Il y a des débats sur la date de ces migrations bantoues. Isidore Ndaywel è Nziem (Histoire du Zaïre, Duculot, Afrique Edition, 1997, page 49 et 51) la situe aux alentours du début de l’ère chrétienne. </w:t>
      </w:r>
    </w:p>
  </w:footnote>
  <w:footnote w:id="49">
    <w:p w:rsidR="0003745E" w:rsidRPr="0003745E" w:rsidRDefault="0003745E" w:rsidP="00965B36">
      <w:pPr>
        <w:pStyle w:val="FootnoteText"/>
        <w:jc w:val="both"/>
        <w:rPr>
          <w:sz w:val="18"/>
          <w:szCs w:val="18"/>
        </w:rPr>
      </w:pPr>
      <w:r w:rsidRPr="00965B36">
        <w:rPr>
          <w:rStyle w:val="FootnoteReference"/>
          <w:sz w:val="18"/>
          <w:szCs w:val="18"/>
        </w:rPr>
        <w:footnoteRef/>
      </w:r>
      <w:r w:rsidRPr="00965B36">
        <w:rPr>
          <w:sz w:val="18"/>
          <w:szCs w:val="18"/>
        </w:rPr>
        <w:t xml:space="preserve"> Histoire du Zaïre, de l’héritage ancien à l’âge contemporain. </w:t>
      </w:r>
      <w:r w:rsidRPr="0003745E">
        <w:rPr>
          <w:sz w:val="18"/>
          <w:szCs w:val="18"/>
        </w:rPr>
        <w:t>Isidore Ndaywel è Nziem. Duculot, 1997 .</w:t>
      </w:r>
    </w:p>
  </w:footnote>
  <w:footnote w:id="50">
    <w:p w:rsidR="0003745E" w:rsidRPr="00965B36" w:rsidRDefault="0003745E" w:rsidP="00965B36">
      <w:pPr>
        <w:pStyle w:val="FootnoteText"/>
        <w:jc w:val="both"/>
        <w:rPr>
          <w:sz w:val="18"/>
          <w:szCs w:val="18"/>
        </w:rPr>
      </w:pPr>
      <w:r w:rsidRPr="00965B36">
        <w:rPr>
          <w:rStyle w:val="FootnoteReference"/>
          <w:sz w:val="18"/>
          <w:szCs w:val="18"/>
        </w:rPr>
        <w:footnoteRef/>
      </w:r>
      <w:r w:rsidRPr="00965B36">
        <w:rPr>
          <w:sz w:val="18"/>
          <w:szCs w:val="18"/>
        </w:rPr>
        <w:t xml:space="preserve"> Bantous de l’Ouest. Les Teke sont aujourd’hui contenus dans les Territoires du Plateau (</w:t>
      </w:r>
      <w:r>
        <w:rPr>
          <w:sz w:val="18"/>
          <w:szCs w:val="18"/>
        </w:rPr>
        <w:t>Kwamouth</w:t>
      </w:r>
      <w:r w:rsidRPr="00965B36">
        <w:rPr>
          <w:sz w:val="18"/>
          <w:szCs w:val="18"/>
        </w:rPr>
        <w:t xml:space="preserve">, Bolobo, Yumbi) ainsi que sur la rive droite du Kwango. </w:t>
      </w:r>
    </w:p>
  </w:footnote>
  <w:footnote w:id="51">
    <w:p w:rsidR="0003745E" w:rsidRPr="00965B36" w:rsidRDefault="0003745E" w:rsidP="00965B36">
      <w:pPr>
        <w:pStyle w:val="FootnoteText"/>
        <w:jc w:val="both"/>
        <w:rPr>
          <w:sz w:val="18"/>
          <w:szCs w:val="18"/>
        </w:rPr>
      </w:pPr>
      <w:r w:rsidRPr="00965B36">
        <w:rPr>
          <w:rStyle w:val="FootnoteReference"/>
          <w:sz w:val="18"/>
          <w:szCs w:val="18"/>
        </w:rPr>
        <w:footnoteRef/>
      </w:r>
      <w:r w:rsidRPr="00965B36">
        <w:rPr>
          <w:sz w:val="18"/>
          <w:szCs w:val="18"/>
        </w:rPr>
        <w:t xml:space="preserve"> Twa, le nom local des pygmées. </w:t>
      </w:r>
    </w:p>
  </w:footnote>
  <w:footnote w:id="52">
    <w:p w:rsidR="0003745E" w:rsidRDefault="0003745E" w:rsidP="00965B36">
      <w:pPr>
        <w:pStyle w:val="FootnoteText"/>
        <w:jc w:val="both"/>
      </w:pPr>
      <w:r w:rsidRPr="00965B36">
        <w:rPr>
          <w:rStyle w:val="FootnoteReference"/>
          <w:sz w:val="18"/>
          <w:szCs w:val="18"/>
        </w:rPr>
        <w:footnoteRef/>
      </w:r>
      <w:r w:rsidRPr="00965B36">
        <w:rPr>
          <w:sz w:val="18"/>
          <w:szCs w:val="18"/>
        </w:rPr>
        <w:t xml:space="preserve"> Entretiens de la Mission BioCfplus avec les chefs des Ntomb’e Nzale et des Twa, novembre 2014.</w:t>
      </w:r>
    </w:p>
  </w:footnote>
  <w:footnote w:id="53">
    <w:p w:rsidR="0003745E" w:rsidRPr="00965B36" w:rsidRDefault="0003745E" w:rsidP="00965B36">
      <w:pPr>
        <w:pStyle w:val="FootnoteText"/>
        <w:jc w:val="both"/>
        <w:rPr>
          <w:sz w:val="18"/>
          <w:szCs w:val="18"/>
        </w:rPr>
      </w:pPr>
      <w:r w:rsidRPr="00965B36">
        <w:rPr>
          <w:rStyle w:val="FootnoteReference"/>
          <w:sz w:val="18"/>
          <w:szCs w:val="18"/>
        </w:rPr>
        <w:footnoteRef/>
      </w:r>
      <w:r w:rsidRPr="00965B36">
        <w:rPr>
          <w:sz w:val="18"/>
          <w:szCs w:val="18"/>
        </w:rPr>
        <w:t xml:space="preserve"> Caractéristiques des peuples Anamongos comme le caractère strictement matrilinéaire du lignage est une caractéristique des Teke et des Basakata. Ndaywel voit dans les survivances matrilinéaires des mongos un indice de la confrontation ancienne sur leur même Territoire avec les peuples Tekes ou apparentés qu’ils auraient plutôt absorbés que chassés. </w:t>
      </w:r>
    </w:p>
  </w:footnote>
  <w:footnote w:id="54">
    <w:p w:rsidR="0003745E" w:rsidRDefault="0003745E" w:rsidP="00965B36">
      <w:pPr>
        <w:pStyle w:val="FootnoteText"/>
      </w:pPr>
      <w:r>
        <w:rPr>
          <w:rStyle w:val="FootnoteReference"/>
        </w:rPr>
        <w:footnoteRef/>
      </w:r>
      <w:r>
        <w:t xml:space="preserve"> L’accusation de fainéantise est très courante dans l’ensemble du pays, et elle s’adresse aussi bien à des bantous, mais à titre individuel tandis qu’elle est générale à l’égard des pygmées. Dans l’enquête de la mission BioCfplus de novembre 2014, l’une des causes majeures de la pauvreté (outre la vieillesse, la maladie, le décès de l’un des époux) figure la paresse en bonne place.</w:t>
      </w:r>
    </w:p>
  </w:footnote>
  <w:footnote w:id="55">
    <w:p w:rsidR="0003745E" w:rsidRDefault="0003745E" w:rsidP="00965B36">
      <w:pPr>
        <w:pStyle w:val="FootnoteText"/>
      </w:pPr>
      <w:r>
        <w:rPr>
          <w:rStyle w:val="FootnoteReference"/>
        </w:rPr>
        <w:footnoteRef/>
      </w:r>
      <w:r>
        <w:t xml:space="preserve"> Certains PA sont déjà entièrement passés à l’agriculture et l’on peut admirer des champs de plus d’un ha, par exemple dans les villages campements PA de la route des Badia, dans Kutu. Mais il s’agit d’un environnement où la pression anthropique est forte et les ressources cynégétiques plus rares…</w:t>
      </w:r>
    </w:p>
  </w:footnote>
  <w:footnote w:id="56">
    <w:p w:rsidR="0003745E" w:rsidRPr="002F11D0" w:rsidRDefault="0003745E" w:rsidP="00965B36">
      <w:pPr>
        <w:pStyle w:val="FootnoteText"/>
        <w:jc w:val="both"/>
        <w:rPr>
          <w:sz w:val="18"/>
          <w:szCs w:val="18"/>
        </w:rPr>
      </w:pPr>
      <w:r w:rsidRPr="002F11D0">
        <w:rPr>
          <w:rStyle w:val="FootnoteReference"/>
          <w:sz w:val="18"/>
          <w:szCs w:val="18"/>
        </w:rPr>
        <w:footnoteRef/>
      </w:r>
      <w:r w:rsidRPr="002F11D0">
        <w:rPr>
          <w:sz w:val="18"/>
          <w:szCs w:val="18"/>
        </w:rPr>
        <w:t xml:space="preserve"> Dans la plupart des terroirs de la RDC on mesure les surfaces en « xcarrés » c’est-à-dire en carrés de 25, 50, 75, 100 mètres de côté. Marie Nourtier a montré dans le Territoire de </w:t>
      </w:r>
      <w:r>
        <w:rPr>
          <w:sz w:val="18"/>
          <w:szCs w:val="18"/>
        </w:rPr>
        <w:t>Kwamouth</w:t>
      </w:r>
      <w:r w:rsidRPr="002F11D0">
        <w:rPr>
          <w:sz w:val="18"/>
          <w:szCs w:val="18"/>
        </w:rPr>
        <w:t xml:space="preserve"> que les estimations par les paysans de leurs superficies cultivées, en utilisant ce système, étaient justes à 20 % près. Les tâches sont mesurées elles au pas, transformés en mètres. </w:t>
      </w:r>
    </w:p>
  </w:footnote>
  <w:footnote w:id="57">
    <w:p w:rsidR="0003745E" w:rsidRDefault="0003745E" w:rsidP="00965B36">
      <w:pPr>
        <w:pStyle w:val="FootnoteText"/>
        <w:jc w:val="both"/>
      </w:pPr>
      <w:r w:rsidRPr="002F11D0">
        <w:rPr>
          <w:rStyle w:val="FootnoteReference"/>
          <w:sz w:val="18"/>
          <w:szCs w:val="18"/>
        </w:rPr>
        <w:footnoteRef/>
      </w:r>
      <w:r w:rsidRPr="002F11D0">
        <w:rPr>
          <w:sz w:val="18"/>
          <w:szCs w:val="18"/>
        </w:rPr>
        <w:t xml:space="preserve"> Attesté par les PA dans les villages tout au long de la mission BioCf</w:t>
      </w:r>
      <w:r w:rsidRPr="002F11D0">
        <w:rPr>
          <w:i/>
          <w:sz w:val="18"/>
          <w:szCs w:val="18"/>
        </w:rPr>
        <w:t>plus</w:t>
      </w:r>
      <w:r w:rsidRPr="002F11D0">
        <w:rPr>
          <w:sz w:val="18"/>
          <w:szCs w:val="18"/>
        </w:rPr>
        <w:t xml:space="preserve"> en novembre 2014.</w:t>
      </w:r>
    </w:p>
  </w:footnote>
  <w:footnote w:id="58">
    <w:p w:rsidR="0003745E" w:rsidRPr="002F11D0" w:rsidRDefault="0003745E" w:rsidP="00965B36">
      <w:pPr>
        <w:pStyle w:val="FootnoteText"/>
        <w:jc w:val="both"/>
        <w:rPr>
          <w:sz w:val="18"/>
          <w:szCs w:val="18"/>
        </w:rPr>
      </w:pPr>
      <w:r w:rsidRPr="002F11D0">
        <w:rPr>
          <w:rStyle w:val="FootnoteReference"/>
          <w:sz w:val="18"/>
          <w:szCs w:val="18"/>
        </w:rPr>
        <w:footnoteRef/>
      </w:r>
      <w:r w:rsidRPr="002F11D0">
        <w:rPr>
          <w:sz w:val="18"/>
          <w:szCs w:val="18"/>
        </w:rPr>
        <w:t xml:space="preserve"> Ils ont composé une chanson, bien connue de tous, dans laquelle ils disent que l’amour est la dernière courbure (virage), dans le chemin de l’égalité avec les bantous. </w:t>
      </w:r>
    </w:p>
  </w:footnote>
  <w:footnote w:id="59">
    <w:p w:rsidR="0003745E" w:rsidRDefault="0003745E" w:rsidP="00965B36">
      <w:pPr>
        <w:pStyle w:val="FootnoteText"/>
        <w:jc w:val="both"/>
      </w:pPr>
      <w:r w:rsidRPr="002F11D0">
        <w:rPr>
          <w:rStyle w:val="FootnoteReference"/>
          <w:sz w:val="18"/>
          <w:szCs w:val="18"/>
        </w:rPr>
        <w:footnoteRef/>
      </w:r>
      <w:r w:rsidRPr="002F11D0">
        <w:rPr>
          <w:sz w:val="18"/>
          <w:szCs w:val="18"/>
        </w:rPr>
        <w:t xml:space="preserve"> Les bantous d’Inongo disent que les PA sont « plaintifs ».</w:t>
      </w:r>
      <w:r>
        <w:t xml:space="preserve"> </w:t>
      </w:r>
    </w:p>
  </w:footnote>
  <w:footnote w:id="60">
    <w:p w:rsidR="0003745E" w:rsidRPr="002F11D0" w:rsidRDefault="0003745E" w:rsidP="008E44E4">
      <w:pPr>
        <w:pStyle w:val="FootnoteText"/>
        <w:rPr>
          <w:sz w:val="18"/>
          <w:szCs w:val="18"/>
          <w:lang w:val="en-US"/>
        </w:rPr>
      </w:pPr>
      <w:r w:rsidRPr="002F11D0">
        <w:rPr>
          <w:rStyle w:val="FootnoteReference"/>
          <w:sz w:val="18"/>
          <w:szCs w:val="18"/>
        </w:rPr>
        <w:footnoteRef/>
      </w:r>
      <w:r w:rsidRPr="002F11D0">
        <w:rPr>
          <w:sz w:val="18"/>
          <w:szCs w:val="18"/>
          <w:lang w:val="en-US"/>
        </w:rPr>
        <w:t xml:space="preserve"> “Loan” includes IBRD loan, IDA credit, Bank grant, IDA grant, advances under the Project Preparation Facility (PPF), and recipient-executed grants financed from the World Bank resources and from trust funds financed by other donors, where the Bank is the administrating agency.</w:t>
      </w:r>
    </w:p>
  </w:footnote>
  <w:footnote w:id="61">
    <w:p w:rsidR="0003745E" w:rsidRPr="00761D8E" w:rsidRDefault="0003745E" w:rsidP="008E44E4">
      <w:pPr>
        <w:pStyle w:val="FootnoteText"/>
        <w:rPr>
          <w:lang w:val="en-US"/>
        </w:rPr>
      </w:pPr>
      <w:r>
        <w:rPr>
          <w:rStyle w:val="FootnoteReference"/>
        </w:rPr>
        <w:footnoteRef/>
      </w:r>
      <w:r w:rsidRPr="00761D8E">
        <w:rPr>
          <w:lang w:val="en-US"/>
        </w:rPr>
        <w:t xml:space="preserve"> Bank” includes IBRD and IDA. </w:t>
      </w:r>
    </w:p>
  </w:footnote>
  <w:footnote w:id="62">
    <w:p w:rsidR="0003745E" w:rsidRPr="00761D8E" w:rsidRDefault="0003745E" w:rsidP="008E44E4">
      <w:pPr>
        <w:pStyle w:val="FootnoteText"/>
        <w:rPr>
          <w:lang w:val="en-US"/>
        </w:rPr>
      </w:pPr>
      <w:r>
        <w:rPr>
          <w:rStyle w:val="FootnoteReference"/>
        </w:rPr>
        <w:footnoteRef/>
      </w:r>
      <w:r w:rsidRPr="00761D8E">
        <w:rPr>
          <w:lang w:val="en-US"/>
        </w:rPr>
        <w:t xml:space="preserve"> For development of the PIREDD project, this would entail more than 70% of the proceeds</w:t>
      </w:r>
    </w:p>
  </w:footnote>
  <w:footnote w:id="63">
    <w:p w:rsidR="0003745E" w:rsidRPr="00761D8E" w:rsidRDefault="0003745E" w:rsidP="008E44E4">
      <w:pPr>
        <w:pStyle w:val="FootnoteText"/>
        <w:rPr>
          <w:lang w:val="en-US"/>
        </w:rPr>
      </w:pPr>
      <w:r>
        <w:rPr>
          <w:rStyle w:val="FootnoteReference"/>
        </w:rPr>
        <w:footnoteRef/>
      </w:r>
      <w:r w:rsidRPr="00761D8E">
        <w:rPr>
          <w:lang w:val="en-US"/>
        </w:rPr>
        <w:t xml:space="preserve"> Similar to the World Bank approach for Component 1 of the FIP project, whereby project implementation was outsourced to WWF</w:t>
      </w:r>
    </w:p>
  </w:footnote>
  <w:footnote w:id="64">
    <w:p w:rsidR="0003745E" w:rsidRPr="00B254A3" w:rsidRDefault="0003745E" w:rsidP="00F47E90">
      <w:pPr>
        <w:pStyle w:val="FootnoteText"/>
        <w:rPr>
          <w:sz w:val="18"/>
          <w:szCs w:val="18"/>
        </w:rPr>
      </w:pPr>
      <w:r w:rsidRPr="00B254A3">
        <w:rPr>
          <w:rStyle w:val="FootnoteReference"/>
          <w:sz w:val="18"/>
          <w:szCs w:val="18"/>
        </w:rPr>
        <w:footnoteRef/>
      </w:r>
      <w:r w:rsidRPr="00B254A3">
        <w:rPr>
          <w:sz w:val="18"/>
          <w:szCs w:val="18"/>
        </w:rPr>
        <w:t xml:space="preserve"> Dans les parties du document de programme relatives aux arrangements de mise en œuvre du programme et les arrangements de suivi et évaluation, et/ou en annexe.</w:t>
      </w:r>
    </w:p>
  </w:footnote>
  <w:footnote w:id="65">
    <w:p w:rsidR="0003745E" w:rsidRDefault="0003745E" w:rsidP="00F47E90">
      <w:pPr>
        <w:pStyle w:val="FootnoteText"/>
      </w:pPr>
      <w:r w:rsidRPr="00B254A3">
        <w:rPr>
          <w:rStyle w:val="FootnoteReference"/>
          <w:sz w:val="18"/>
          <w:szCs w:val="18"/>
        </w:rPr>
        <w:footnoteRef/>
      </w:r>
      <w:r w:rsidRPr="00B254A3">
        <w:rPr>
          <w:sz w:val="18"/>
          <w:szCs w:val="18"/>
        </w:rPr>
        <w:t xml:space="preserve">  </w:t>
      </w:r>
      <w:r>
        <w:rPr>
          <w:sz w:val="18"/>
          <w:szCs w:val="18"/>
        </w:rPr>
        <w:t xml:space="preserve">Sur la base du format de rapport présenté en annexe du manuel d’opération du FONAREDD. </w:t>
      </w:r>
      <w:r w:rsidRPr="00B254A3">
        <w:rPr>
          <w:sz w:val="18"/>
          <w:szCs w:val="18"/>
        </w:rPr>
        <w:t xml:space="preserve">Les </w:t>
      </w:r>
      <w:r>
        <w:rPr>
          <w:sz w:val="18"/>
          <w:szCs w:val="18"/>
        </w:rPr>
        <w:t>rapports trimestriels</w:t>
      </w:r>
      <w:r w:rsidRPr="00B254A3">
        <w:rPr>
          <w:sz w:val="18"/>
          <w:szCs w:val="18"/>
        </w:rPr>
        <w:t xml:space="preserve"> sont </w:t>
      </w:r>
      <w:r>
        <w:rPr>
          <w:sz w:val="18"/>
          <w:szCs w:val="18"/>
        </w:rPr>
        <w:t xml:space="preserve">également </w:t>
      </w:r>
      <w:r w:rsidRPr="00B254A3">
        <w:rPr>
          <w:sz w:val="18"/>
          <w:szCs w:val="18"/>
        </w:rPr>
        <w:t>les bienvenus.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45E" w:rsidRPr="00271D59" w:rsidRDefault="0003745E">
    <w:pPr>
      <w:pStyle w:val="Header"/>
      <w:rPr>
        <w:sz w:val="18"/>
        <w:szCs w:val="18"/>
      </w:rPr>
    </w:pPr>
    <w:r>
      <w:tab/>
    </w:r>
    <w:r>
      <w:tab/>
    </w:r>
    <w:r w:rsidRPr="00271D59">
      <w:rPr>
        <w:sz w:val="18"/>
        <w:szCs w:val="18"/>
      </w:rPr>
      <w:t xml:space="preserve">Version : </w:t>
    </w:r>
    <w:r>
      <w:rPr>
        <w:sz w:val="18"/>
        <w:szCs w:val="18"/>
      </w:rPr>
      <w:t>9 décembre</w:t>
    </w:r>
    <w:r w:rsidRPr="00271D59">
      <w:rPr>
        <w:sz w:val="18"/>
        <w:szCs w:val="18"/>
      </w:rPr>
      <w:t xml:space="preserve">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CDEF200"/>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suff w:val="nothing"/>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A5593A"/>
    <w:multiLevelType w:val="hybridMultilevel"/>
    <w:tmpl w:val="B656B422"/>
    <w:lvl w:ilvl="0" w:tplc="040C0017">
      <w:start w:val="1"/>
      <w:numFmt w:val="lowerLetter"/>
      <w:lvlText w:val="%1)"/>
      <w:lvlJc w:val="left"/>
      <w:pPr>
        <w:tabs>
          <w:tab w:val="num" w:pos="1620"/>
        </w:tabs>
        <w:ind w:left="0" w:firstLine="0"/>
      </w:pPr>
      <w:rPr>
        <w:b w:val="0"/>
      </w:rPr>
    </w:lvl>
    <w:lvl w:ilvl="1" w:tplc="E4B21D22">
      <w:start w:val="1"/>
      <w:numFmt w:val="lowerLetter"/>
      <w:lvlText w:val="(%2)"/>
      <w:lvlJc w:val="left"/>
      <w:pPr>
        <w:tabs>
          <w:tab w:val="num" w:pos="450"/>
        </w:tabs>
        <w:ind w:left="810" w:firstLine="0"/>
      </w:pPr>
      <w:rPr>
        <w:rFonts w:ascii="Times New Roman" w:hAnsi="Times New Roman" w:cs="Times New Roman" w:hint="default"/>
      </w:rPr>
    </w:lvl>
    <w:lvl w:ilvl="2" w:tplc="73C4CA50">
      <w:start w:val="1"/>
      <w:numFmt w:val="lowerRoman"/>
      <w:lvlText w:val="(%3)"/>
      <w:lvlJc w:val="left"/>
      <w:pPr>
        <w:tabs>
          <w:tab w:val="num" w:pos="2340"/>
        </w:tabs>
        <w:ind w:left="2340" w:hanging="360"/>
      </w:pPr>
      <w:rPr>
        <w:rFonts w:ascii="Times New Roman" w:hAnsi="Times New Roman" w:cs="Times New Roman" w:hint="default"/>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 w15:restartNumberingAfterBreak="0">
    <w:nsid w:val="00A90CD4"/>
    <w:multiLevelType w:val="hybridMultilevel"/>
    <w:tmpl w:val="AEFC9C1E"/>
    <w:lvl w:ilvl="0" w:tplc="0409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018F6F2D"/>
    <w:multiLevelType w:val="multilevel"/>
    <w:tmpl w:val="47D08A4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upperLetter"/>
      <w:pStyle w:val="PDSHeading2"/>
      <w:lvlText w:val="%2."/>
      <w:lvlJc w:val="left"/>
      <w:pPr>
        <w:tabs>
          <w:tab w:val="num" w:pos="360"/>
        </w:tabs>
        <w:ind w:left="0" w:firstLine="0"/>
      </w:pPr>
      <w:rPr>
        <w:rFonts w:ascii="Times New Roman" w:hAnsi="Times New Roman" w:cs="Times New Roman" w:hint="default"/>
      </w:rPr>
    </w:lvl>
    <w:lvl w:ilvl="2">
      <w:start w:val="1"/>
      <w:numFmt w:val="decimal"/>
      <w:lvlText w:val="%3."/>
      <w:lvlJc w:val="left"/>
      <w:pPr>
        <w:tabs>
          <w:tab w:val="num" w:pos="720"/>
        </w:tabs>
        <w:ind w:left="720" w:firstLine="0"/>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 w15:restartNumberingAfterBreak="0">
    <w:nsid w:val="024370C8"/>
    <w:multiLevelType w:val="hybridMultilevel"/>
    <w:tmpl w:val="E97E31E4"/>
    <w:lvl w:ilvl="0" w:tplc="0EF072C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3C2A5A"/>
    <w:multiLevelType w:val="multilevel"/>
    <w:tmpl w:val="075C90B6"/>
    <w:lvl w:ilvl="0">
      <w:start w:val="3"/>
      <w:numFmt w:val="decimal"/>
      <w:lvlText w:val="%1."/>
      <w:lvlJc w:val="left"/>
      <w:pPr>
        <w:ind w:left="108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15:restartNumberingAfterBreak="0">
    <w:nsid w:val="05746493"/>
    <w:multiLevelType w:val="hybridMultilevel"/>
    <w:tmpl w:val="42BE0764"/>
    <w:lvl w:ilvl="0" w:tplc="31C00D6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436036"/>
    <w:multiLevelType w:val="hybridMultilevel"/>
    <w:tmpl w:val="3F702C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70216A3"/>
    <w:multiLevelType w:val="hybridMultilevel"/>
    <w:tmpl w:val="3ED600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6D0E73"/>
    <w:multiLevelType w:val="hybridMultilevel"/>
    <w:tmpl w:val="222C3C80"/>
    <w:lvl w:ilvl="0" w:tplc="0EF072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F3148"/>
    <w:multiLevelType w:val="hybridMultilevel"/>
    <w:tmpl w:val="AC3ADD28"/>
    <w:lvl w:ilvl="0" w:tplc="0409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646230"/>
    <w:multiLevelType w:val="hybridMultilevel"/>
    <w:tmpl w:val="2174C7AC"/>
    <w:lvl w:ilvl="0" w:tplc="4798E372">
      <w:start w:val="1"/>
      <w:numFmt w:val="lowerLetter"/>
      <w:lvlText w:val="%1)"/>
      <w:lvlJc w:val="left"/>
      <w:pPr>
        <w:ind w:left="1068"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0C374874"/>
    <w:multiLevelType w:val="hybridMultilevel"/>
    <w:tmpl w:val="E02CAED4"/>
    <w:lvl w:ilvl="0" w:tplc="76AC1D74">
      <w:start w:val="1"/>
      <w:numFmt w:val="decimal"/>
      <w:lvlText w:val="%1)"/>
      <w:lvlJc w:val="left"/>
      <w:pPr>
        <w:ind w:left="720" w:hanging="360"/>
      </w:pPr>
      <w:rPr>
        <w:rFonts w:hint="default"/>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F322309"/>
    <w:multiLevelType w:val="hybridMultilevel"/>
    <w:tmpl w:val="7FF699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0FA27531"/>
    <w:multiLevelType w:val="hybridMultilevel"/>
    <w:tmpl w:val="04EC3E42"/>
    <w:lvl w:ilvl="0" w:tplc="91D65D26">
      <w:start w:val="1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056F28"/>
    <w:multiLevelType w:val="hybridMultilevel"/>
    <w:tmpl w:val="1FF4266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1213097C"/>
    <w:multiLevelType w:val="hybridMultilevel"/>
    <w:tmpl w:val="7730ECAE"/>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14287CB4"/>
    <w:multiLevelType w:val="hybridMultilevel"/>
    <w:tmpl w:val="6E205982"/>
    <w:lvl w:ilvl="0" w:tplc="040C0017">
      <w:start w:val="1"/>
      <w:numFmt w:val="lowerLetter"/>
      <w:lvlText w:val="%1)"/>
      <w:lvlJc w:val="left"/>
      <w:pPr>
        <w:ind w:left="1068" w:hanging="360"/>
      </w:pPr>
    </w:lvl>
    <w:lvl w:ilvl="1" w:tplc="040C000F">
      <w:start w:val="1"/>
      <w:numFmt w:val="decimal"/>
      <w:lvlText w:val="%2."/>
      <w:lvlJc w:val="left"/>
      <w:pPr>
        <w:ind w:left="1788" w:hanging="360"/>
      </w:p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8" w15:restartNumberingAfterBreak="0">
    <w:nsid w:val="143D2630"/>
    <w:multiLevelType w:val="hybridMultilevel"/>
    <w:tmpl w:val="927E710E"/>
    <w:lvl w:ilvl="0" w:tplc="ACFA74BA">
      <w:start w:val="1"/>
      <w:numFmt w:val="decimal"/>
      <w:pStyle w:val="Style3"/>
      <w:lvlText w:val="15.%1."/>
      <w:lvlJc w:val="left"/>
      <w:pPr>
        <w:ind w:left="720" w:hanging="360"/>
      </w:pPr>
      <w:rPr>
        <w:rFonts w:ascii="Gill Sans MT" w:hAnsi="Gill Sans MT" w:hint="default"/>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3C4BF6"/>
    <w:multiLevelType w:val="hybridMultilevel"/>
    <w:tmpl w:val="CCEAE41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1580061E"/>
    <w:multiLevelType w:val="multilevel"/>
    <w:tmpl w:val="7428B27A"/>
    <w:lvl w:ilvl="0">
      <w:start w:val="1"/>
      <w:numFmt w:val="decimal"/>
      <w:lvlText w:val="%1."/>
      <w:lvlJc w:val="left"/>
      <w:pPr>
        <w:ind w:left="360" w:hanging="360"/>
      </w:pPr>
      <w:rPr>
        <w:rFonts w:ascii="Gill Sans MT" w:hAnsi="Gill Sans MT" w:hint="default"/>
        <w:sz w:val="22"/>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17486735"/>
    <w:multiLevelType w:val="hybridMultilevel"/>
    <w:tmpl w:val="CFB84AEA"/>
    <w:lvl w:ilvl="0" w:tplc="04090019">
      <w:start w:val="1"/>
      <w:numFmt w:val="lowerLetter"/>
      <w:lvlText w:val="%1."/>
      <w:lvlJc w:val="left"/>
      <w:pPr>
        <w:ind w:left="720" w:hanging="360"/>
      </w:pPr>
      <w:rPr>
        <w:rFonts w:hint="default"/>
      </w:rPr>
    </w:lvl>
    <w:lvl w:ilvl="1" w:tplc="47A269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71684A"/>
    <w:multiLevelType w:val="hybridMultilevel"/>
    <w:tmpl w:val="B6D0FE90"/>
    <w:lvl w:ilvl="0" w:tplc="8A5450B0">
      <w:start w:val="1"/>
      <w:numFmt w:val="decimal"/>
      <w:pStyle w:val="StyleJustifiedFirstline05"/>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A4C0A2D"/>
    <w:multiLevelType w:val="hybridMultilevel"/>
    <w:tmpl w:val="E0B65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BA23A1D"/>
    <w:multiLevelType w:val="hybridMultilevel"/>
    <w:tmpl w:val="36CEC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D170EC"/>
    <w:multiLevelType w:val="hybridMultilevel"/>
    <w:tmpl w:val="D2B29E26"/>
    <w:lvl w:ilvl="0" w:tplc="0EF072C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FB3957"/>
    <w:multiLevelType w:val="hybridMultilevel"/>
    <w:tmpl w:val="255EE35A"/>
    <w:lvl w:ilvl="0" w:tplc="8B14E906">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645C23"/>
    <w:multiLevelType w:val="multilevel"/>
    <w:tmpl w:val="F25C739C"/>
    <w:lvl w:ilvl="0">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8EC13DF"/>
    <w:multiLevelType w:val="hybridMultilevel"/>
    <w:tmpl w:val="7D3CCC6A"/>
    <w:lvl w:ilvl="0" w:tplc="4274CC56">
      <w:start w:val="1"/>
      <w:numFmt w:val="decimal"/>
      <w:pStyle w:val="Heading1"/>
      <w:lvlText w:val="%1."/>
      <w:lvlJc w:val="left"/>
      <w:pPr>
        <w:ind w:left="720" w:hanging="360"/>
      </w:pPr>
      <w:rPr>
        <w:rFonts w:ascii="Gill Sans MT" w:hAnsi="Gill Sans MT" w:hint="default"/>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F90C7B"/>
    <w:multiLevelType w:val="hybridMultilevel"/>
    <w:tmpl w:val="F97006C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3F1204"/>
    <w:multiLevelType w:val="hybridMultilevel"/>
    <w:tmpl w:val="B0B6B6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4616BD"/>
    <w:multiLevelType w:val="hybridMultilevel"/>
    <w:tmpl w:val="CE5065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DB00416"/>
    <w:multiLevelType w:val="hybridMultilevel"/>
    <w:tmpl w:val="13AAC38A"/>
    <w:lvl w:ilvl="0" w:tplc="01380D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FE18F5"/>
    <w:multiLevelType w:val="hybridMultilevel"/>
    <w:tmpl w:val="3E6E5144"/>
    <w:lvl w:ilvl="0" w:tplc="0409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4" w15:restartNumberingAfterBreak="0">
    <w:nsid w:val="2F12021C"/>
    <w:multiLevelType w:val="multilevel"/>
    <w:tmpl w:val="29120766"/>
    <w:lvl w:ilvl="0">
      <w:start w:val="1"/>
      <w:numFmt w:val="decimal"/>
      <w:lvlText w:val="%1."/>
      <w:lvlJc w:val="left"/>
      <w:pPr>
        <w:ind w:left="108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5" w15:restartNumberingAfterBreak="0">
    <w:nsid w:val="30933D77"/>
    <w:multiLevelType w:val="hybridMultilevel"/>
    <w:tmpl w:val="29A4DB9A"/>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6" w15:restartNumberingAfterBreak="0">
    <w:nsid w:val="319439E6"/>
    <w:multiLevelType w:val="multilevel"/>
    <w:tmpl w:val="65669098"/>
    <w:lvl w:ilvl="0">
      <w:start w:val="1"/>
      <w:numFmt w:val="none"/>
      <w:pStyle w:val="Heading1a"/>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720"/>
        </w:tabs>
        <w:ind w:left="720" w:hanging="720"/>
      </w:pPr>
      <w:rPr>
        <w:rFonts w:ascii="Times New Roman" w:hAnsi="Times New Roman" w:cs="Times New Roman" w:hint="default"/>
      </w:rPr>
    </w:lvl>
    <w:lvl w:ilvl="2">
      <w:start w:val="1"/>
      <w:numFmt w:val="lowerLetter"/>
      <w:pStyle w:val="Heading1a"/>
      <w:lvlText w:val="(%3)"/>
      <w:lvlJc w:val="left"/>
      <w:pPr>
        <w:tabs>
          <w:tab w:val="num" w:pos="1080"/>
        </w:tabs>
        <w:ind w:left="720" w:hanging="360"/>
      </w:pPr>
      <w:rPr>
        <w:rFonts w:ascii="Times New Roman" w:hAnsi="Times New Roman" w:cs="Times New Roman" w:hint="default"/>
      </w:rPr>
    </w:lvl>
    <w:lvl w:ilvl="3">
      <w:start w:val="1"/>
      <w:numFmt w:val="lowerRoman"/>
      <w:lvlText w:val="(%4)"/>
      <w:lvlJc w:val="left"/>
      <w:pPr>
        <w:tabs>
          <w:tab w:val="num" w:pos="1800"/>
        </w:tabs>
        <w:ind w:left="1080" w:hanging="360"/>
      </w:pPr>
      <w:rPr>
        <w:rFonts w:ascii="Times New Roman" w:hAnsi="Times New Roman" w:cs="Times New Roman" w:hint="default"/>
      </w:rPr>
    </w:lvl>
    <w:lvl w:ilvl="4">
      <w:start w:val="1"/>
      <w:numFmt w:val="lowerLetter"/>
      <w:lvlText w:val="%5."/>
      <w:lvlJc w:val="left"/>
      <w:pPr>
        <w:tabs>
          <w:tab w:val="num" w:pos="1440"/>
        </w:tabs>
        <w:ind w:left="1440" w:hanging="360"/>
      </w:pPr>
      <w:rPr>
        <w:rFonts w:ascii="Times New Roman" w:hAnsi="Times New Roman" w:cs="Times New Roman" w:hint="default"/>
      </w:rPr>
    </w:lvl>
    <w:lvl w:ilvl="5">
      <w:start w:val="1"/>
      <w:numFmt w:val="lowerRoman"/>
      <w:lvlText w:val="%6."/>
      <w:lvlJc w:val="left"/>
      <w:pPr>
        <w:tabs>
          <w:tab w:val="num" w:pos="2160"/>
        </w:tabs>
        <w:ind w:left="180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37" w15:restartNumberingAfterBreak="0">
    <w:nsid w:val="34502740"/>
    <w:multiLevelType w:val="hybridMultilevel"/>
    <w:tmpl w:val="E5BCD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7F2A0C"/>
    <w:multiLevelType w:val="hybridMultilevel"/>
    <w:tmpl w:val="7DFA74A6"/>
    <w:lvl w:ilvl="0" w:tplc="91D65D26">
      <w:start w:val="14"/>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35A2506D"/>
    <w:multiLevelType w:val="hybridMultilevel"/>
    <w:tmpl w:val="44443630"/>
    <w:lvl w:ilvl="0" w:tplc="0EF072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C70AE0"/>
    <w:multiLevelType w:val="hybridMultilevel"/>
    <w:tmpl w:val="7D78DCAE"/>
    <w:lvl w:ilvl="0" w:tplc="2B246476">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387408C1"/>
    <w:multiLevelType w:val="hybridMultilevel"/>
    <w:tmpl w:val="2E68B586"/>
    <w:lvl w:ilvl="0" w:tplc="0EF072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F4334E"/>
    <w:multiLevelType w:val="hybridMultilevel"/>
    <w:tmpl w:val="E60CEF6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B4509F8"/>
    <w:multiLevelType w:val="hybridMultilevel"/>
    <w:tmpl w:val="2ABA6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BD64BA2"/>
    <w:multiLevelType w:val="hybridMultilevel"/>
    <w:tmpl w:val="A40C0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C9E273D"/>
    <w:multiLevelType w:val="multilevel"/>
    <w:tmpl w:val="29120766"/>
    <w:lvl w:ilvl="0">
      <w:start w:val="1"/>
      <w:numFmt w:val="decimal"/>
      <w:lvlText w:val="%1."/>
      <w:lvlJc w:val="left"/>
      <w:pPr>
        <w:ind w:left="108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6" w15:restartNumberingAfterBreak="0">
    <w:nsid w:val="3D0C390B"/>
    <w:multiLevelType w:val="hybridMultilevel"/>
    <w:tmpl w:val="28B2A9C4"/>
    <w:lvl w:ilvl="0" w:tplc="0409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7" w15:restartNumberingAfterBreak="0">
    <w:nsid w:val="3DC86BB2"/>
    <w:multiLevelType w:val="hybridMultilevel"/>
    <w:tmpl w:val="DF52F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E81F97"/>
    <w:multiLevelType w:val="multilevel"/>
    <w:tmpl w:val="53AA0EE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3E272220"/>
    <w:multiLevelType w:val="hybridMultilevel"/>
    <w:tmpl w:val="A3DA922C"/>
    <w:lvl w:ilvl="0" w:tplc="0EF072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D551E6"/>
    <w:multiLevelType w:val="hybridMultilevel"/>
    <w:tmpl w:val="4F386C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43490F35"/>
    <w:multiLevelType w:val="hybridMultilevel"/>
    <w:tmpl w:val="25103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7A0F98"/>
    <w:multiLevelType w:val="hybridMultilevel"/>
    <w:tmpl w:val="BCF6D1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5E05B0A"/>
    <w:multiLevelType w:val="hybridMultilevel"/>
    <w:tmpl w:val="96A6F0C0"/>
    <w:lvl w:ilvl="0" w:tplc="0EF072C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7B07EE1"/>
    <w:multiLevelType w:val="hybridMultilevel"/>
    <w:tmpl w:val="030AF2CE"/>
    <w:lvl w:ilvl="0" w:tplc="548AA208">
      <w:start w:val="3"/>
      <w:numFmt w:val="bullet"/>
      <w:lvlText w:val="-"/>
      <w:lvlJc w:val="left"/>
      <w:pPr>
        <w:ind w:left="1065" w:hanging="360"/>
      </w:pPr>
      <w:rPr>
        <w:rFonts w:ascii="Times New Roman" w:eastAsia="Calibri" w:hAnsi="Times New Roman" w:cs="Times New Roman" w:hint="default"/>
      </w:rPr>
    </w:lvl>
    <w:lvl w:ilvl="1" w:tplc="040C0019">
      <w:start w:val="1"/>
      <w:numFmt w:val="lowerLetter"/>
      <w:lvlText w:val="%2."/>
      <w:lvlJc w:val="left"/>
      <w:pPr>
        <w:ind w:left="1785" w:hanging="360"/>
      </w:pPr>
    </w:lvl>
    <w:lvl w:ilvl="2" w:tplc="040C0005">
      <w:start w:val="1"/>
      <w:numFmt w:val="bullet"/>
      <w:lvlText w:val=""/>
      <w:lvlJc w:val="left"/>
      <w:pPr>
        <w:ind w:left="2505" w:hanging="360"/>
      </w:pPr>
      <w:rPr>
        <w:rFonts w:ascii="Wingdings" w:hAnsi="Wingdings" w:hint="default"/>
      </w:rPr>
    </w:lvl>
    <w:lvl w:ilvl="3" w:tplc="86D88806">
      <w:start w:val="1"/>
      <w:numFmt w:val="decimal"/>
      <w:lvlText w:val="%4)"/>
      <w:lvlJc w:val="left"/>
      <w:pPr>
        <w:ind w:left="3225" w:hanging="360"/>
      </w:p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55" w15:restartNumberingAfterBreak="0">
    <w:nsid w:val="47F26546"/>
    <w:multiLevelType w:val="hybridMultilevel"/>
    <w:tmpl w:val="172A10F8"/>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15:restartNumberingAfterBreak="0">
    <w:nsid w:val="48B751BA"/>
    <w:multiLevelType w:val="hybridMultilevel"/>
    <w:tmpl w:val="5B46E580"/>
    <w:lvl w:ilvl="0" w:tplc="717E577C">
      <w:start w:val="1"/>
      <w:numFmt w:val="decimal"/>
      <w:lvlText w:val="%1."/>
      <w:lvlJc w:val="left"/>
      <w:pPr>
        <w:ind w:left="360" w:hanging="360"/>
      </w:pPr>
      <w:rPr>
        <w:rFonts w:hint="default"/>
        <w:b w:val="0"/>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CD55011"/>
    <w:multiLevelType w:val="hybridMultilevel"/>
    <w:tmpl w:val="D3EC9CCA"/>
    <w:lvl w:ilvl="0" w:tplc="0EF072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455457"/>
    <w:multiLevelType w:val="hybridMultilevel"/>
    <w:tmpl w:val="D052756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9" w15:restartNumberingAfterBreak="0">
    <w:nsid w:val="50CE249C"/>
    <w:multiLevelType w:val="multilevel"/>
    <w:tmpl w:val="3760DA12"/>
    <w:lvl w:ilvl="0">
      <w:start w:val="3"/>
      <w:numFmt w:val="decimal"/>
      <w:lvlText w:val="%1."/>
      <w:lvlJc w:val="left"/>
      <w:pPr>
        <w:ind w:left="108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0" w15:restartNumberingAfterBreak="0">
    <w:nsid w:val="52C938AF"/>
    <w:multiLevelType w:val="hybridMultilevel"/>
    <w:tmpl w:val="1CF41182"/>
    <w:lvl w:ilvl="0" w:tplc="32184A1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5455D4"/>
    <w:multiLevelType w:val="hybridMultilevel"/>
    <w:tmpl w:val="58EA7D64"/>
    <w:lvl w:ilvl="0" w:tplc="DA64D7F4">
      <w:start w:val="1"/>
      <w:numFmt w:val="decimal"/>
      <w:pStyle w:val="Heading2"/>
      <w:lvlText w:val="4.%1."/>
      <w:lvlJc w:val="righ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2" w15:restartNumberingAfterBreak="0">
    <w:nsid w:val="56024093"/>
    <w:multiLevelType w:val="hybridMultilevel"/>
    <w:tmpl w:val="D8C451EE"/>
    <w:lvl w:ilvl="0" w:tplc="62F4B3A2">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66A6B92"/>
    <w:multiLevelType w:val="hybridMultilevel"/>
    <w:tmpl w:val="206A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C3204E"/>
    <w:multiLevelType w:val="hybridMultilevel"/>
    <w:tmpl w:val="9FB095E0"/>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5BF163B0"/>
    <w:multiLevelType w:val="hybridMultilevel"/>
    <w:tmpl w:val="3ED600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4450E0"/>
    <w:multiLevelType w:val="hybridMultilevel"/>
    <w:tmpl w:val="E3C230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DD74F94"/>
    <w:multiLevelType w:val="hybridMultilevel"/>
    <w:tmpl w:val="3ED600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9A19D3"/>
    <w:multiLevelType w:val="hybridMultilevel"/>
    <w:tmpl w:val="28D6FA42"/>
    <w:lvl w:ilvl="0" w:tplc="051C3B16">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cs="Wingdings" w:hint="default"/>
      </w:rPr>
    </w:lvl>
    <w:lvl w:ilvl="3" w:tplc="04090001">
      <w:start w:val="1"/>
      <w:numFmt w:val="bullet"/>
      <w:lvlText w:val=""/>
      <w:lvlJc w:val="left"/>
      <w:pPr>
        <w:ind w:left="2790" w:hanging="360"/>
      </w:pPr>
      <w:rPr>
        <w:rFonts w:ascii="Symbol" w:hAnsi="Symbol" w:cs="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cs="Wingdings" w:hint="default"/>
      </w:rPr>
    </w:lvl>
    <w:lvl w:ilvl="6" w:tplc="04090001">
      <w:start w:val="1"/>
      <w:numFmt w:val="bullet"/>
      <w:lvlText w:val=""/>
      <w:lvlJc w:val="left"/>
      <w:pPr>
        <w:ind w:left="4950" w:hanging="360"/>
      </w:pPr>
      <w:rPr>
        <w:rFonts w:ascii="Symbol" w:hAnsi="Symbol" w:cs="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cs="Wingdings" w:hint="default"/>
      </w:rPr>
    </w:lvl>
  </w:abstractNum>
  <w:abstractNum w:abstractNumId="69" w15:restartNumberingAfterBreak="0">
    <w:nsid w:val="68443EE0"/>
    <w:multiLevelType w:val="hybridMultilevel"/>
    <w:tmpl w:val="C902F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F86C54"/>
    <w:multiLevelType w:val="hybridMultilevel"/>
    <w:tmpl w:val="3F109AF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B764BE2"/>
    <w:multiLevelType w:val="hybridMultilevel"/>
    <w:tmpl w:val="D70EE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07453C2"/>
    <w:multiLevelType w:val="hybridMultilevel"/>
    <w:tmpl w:val="F32A1A5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0B63B44"/>
    <w:multiLevelType w:val="hybridMultilevel"/>
    <w:tmpl w:val="C360B7B8"/>
    <w:lvl w:ilvl="0" w:tplc="B0043E2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620203"/>
    <w:multiLevelType w:val="hybridMultilevel"/>
    <w:tmpl w:val="C2A6E8F8"/>
    <w:lvl w:ilvl="0" w:tplc="D5EC3F54">
      <w:start w:val="1"/>
      <w:numFmt w:val="decimal"/>
      <w:pStyle w:val="Style2"/>
      <w:lvlText w:val="3.%1"/>
      <w:lvlJc w:val="left"/>
      <w:pPr>
        <w:ind w:left="1428" w:hanging="360"/>
      </w:pPr>
      <w:rPr>
        <w:rFonts w:ascii="Gill Sans MT" w:hAnsi="Gill Sans MT" w:hint="default"/>
        <w:sz w:val="22"/>
        <w:szCs w:val="28"/>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5" w15:restartNumberingAfterBreak="0">
    <w:nsid w:val="75737E63"/>
    <w:multiLevelType w:val="hybridMultilevel"/>
    <w:tmpl w:val="D07CD5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794E12"/>
    <w:multiLevelType w:val="hybridMultilevel"/>
    <w:tmpl w:val="1FF08B30"/>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7" w15:restartNumberingAfterBreak="0">
    <w:nsid w:val="775A123D"/>
    <w:multiLevelType w:val="hybridMultilevel"/>
    <w:tmpl w:val="C6984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80940BD"/>
    <w:multiLevelType w:val="hybridMultilevel"/>
    <w:tmpl w:val="B4720DD2"/>
    <w:lvl w:ilvl="0" w:tplc="0409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9" w15:restartNumberingAfterBreak="0">
    <w:nsid w:val="7B0A098E"/>
    <w:multiLevelType w:val="hybridMultilevel"/>
    <w:tmpl w:val="A13E4BDA"/>
    <w:lvl w:ilvl="0" w:tplc="0EF072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A95444"/>
    <w:multiLevelType w:val="hybridMultilevel"/>
    <w:tmpl w:val="047456F6"/>
    <w:lvl w:ilvl="0" w:tplc="8B14E906">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0F5E86"/>
    <w:multiLevelType w:val="multilevel"/>
    <w:tmpl w:val="A270487C"/>
    <w:lvl w:ilvl="0">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7FAE12F2"/>
    <w:multiLevelType w:val="hybridMultilevel"/>
    <w:tmpl w:val="E4C2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74"/>
  </w:num>
  <w:num w:numId="2">
    <w:abstractNumId w:val="18"/>
  </w:num>
  <w:num w:numId="3">
    <w:abstractNumId w:val="61"/>
  </w:num>
  <w:num w:numId="4">
    <w:abstractNumId w:val="28"/>
  </w:num>
  <w:num w:numId="5">
    <w:abstractNumId w:val="63"/>
  </w:num>
  <w:num w:numId="6">
    <w:abstractNumId w:val="75"/>
  </w:num>
  <w:num w:numId="7">
    <w:abstractNumId w:val="37"/>
  </w:num>
  <w:num w:numId="8">
    <w:abstractNumId w:val="69"/>
  </w:num>
  <w:num w:numId="9">
    <w:abstractNumId w:val="52"/>
  </w:num>
  <w:num w:numId="10">
    <w:abstractNumId w:val="24"/>
  </w:num>
  <w:num w:numId="11">
    <w:abstractNumId w:val="3"/>
  </w:num>
  <w:num w:numId="12">
    <w:abstractNumId w:val="36"/>
  </w:num>
  <w:num w:numId="13">
    <w:abstractNumId w:val="83"/>
  </w:num>
  <w:num w:numId="14">
    <w:abstractNumId w:val="22"/>
  </w:num>
  <w:num w:numId="15">
    <w:abstractNumId w:val="68"/>
  </w:num>
  <w:num w:numId="16">
    <w:abstractNumId w:val="58"/>
  </w:num>
  <w:num w:numId="17">
    <w:abstractNumId w:val="65"/>
  </w:num>
  <w:num w:numId="18">
    <w:abstractNumId w:val="67"/>
  </w:num>
  <w:num w:numId="19">
    <w:abstractNumId w:val="73"/>
  </w:num>
  <w:num w:numId="20">
    <w:abstractNumId w:val="43"/>
  </w:num>
  <w:num w:numId="21">
    <w:abstractNumId w:val="28"/>
    <w:lvlOverride w:ilvl="0">
      <w:startOverride w:val="1"/>
    </w:lvlOverride>
  </w:num>
  <w:num w:numId="22">
    <w:abstractNumId w:val="26"/>
  </w:num>
  <w:num w:numId="23">
    <w:abstractNumId w:val="80"/>
  </w:num>
  <w:num w:numId="24">
    <w:abstractNumId w:val="20"/>
  </w:num>
  <w:num w:numId="25">
    <w:abstractNumId w:val="21"/>
  </w:num>
  <w:num w:numId="26">
    <w:abstractNumId w:val="79"/>
  </w:num>
  <w:num w:numId="27">
    <w:abstractNumId w:val="6"/>
  </w:num>
  <w:num w:numId="28">
    <w:abstractNumId w:val="9"/>
  </w:num>
  <w:num w:numId="29">
    <w:abstractNumId w:val="41"/>
  </w:num>
  <w:num w:numId="30">
    <w:abstractNumId w:val="57"/>
  </w:num>
  <w:num w:numId="31">
    <w:abstractNumId w:val="49"/>
  </w:num>
  <w:num w:numId="32">
    <w:abstractNumId w:val="39"/>
  </w:num>
  <w:num w:numId="33">
    <w:abstractNumId w:val="53"/>
  </w:num>
  <w:num w:numId="34">
    <w:abstractNumId w:val="4"/>
  </w:num>
  <w:num w:numId="35">
    <w:abstractNumId w:val="25"/>
  </w:num>
  <w:num w:numId="36">
    <w:abstractNumId w:val="66"/>
  </w:num>
  <w:num w:numId="37">
    <w:abstractNumId w:val="51"/>
  </w:num>
  <w:num w:numId="38">
    <w:abstractNumId w:val="0"/>
  </w:num>
  <w:num w:numId="39">
    <w:abstractNumId w:val="45"/>
  </w:num>
  <w:num w:numId="40">
    <w:abstractNumId w:val="34"/>
  </w:num>
  <w:num w:numId="41">
    <w:abstractNumId w:val="5"/>
  </w:num>
  <w:num w:numId="42">
    <w:abstractNumId w:val="59"/>
  </w:num>
  <w:num w:numId="43">
    <w:abstractNumId w:val="32"/>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lvlOverride w:ilvl="1">
      <w:startOverride w:val="1"/>
    </w:lvlOverride>
    <w:lvlOverride w:ilvl="2"/>
    <w:lvlOverride w:ilvl="3">
      <w:startOverride w:val="1"/>
    </w:lvlOverride>
    <w:lvlOverride w:ilvl="4"/>
    <w:lvlOverride w:ilvl="5"/>
    <w:lvlOverride w:ilvl="6"/>
    <w:lvlOverride w:ilvl="7"/>
    <w:lvlOverride w:ilvl="8"/>
  </w:num>
  <w:num w:numId="46">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40"/>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15"/>
  </w:num>
  <w:num w:numId="55">
    <w:abstractNumId w:val="56"/>
  </w:num>
  <w:num w:numId="56">
    <w:abstractNumId w:val="2"/>
  </w:num>
  <w:num w:numId="57">
    <w:abstractNumId w:val="30"/>
  </w:num>
  <w:num w:numId="58">
    <w:abstractNumId w:val="72"/>
  </w:num>
  <w:num w:numId="59">
    <w:abstractNumId w:val="27"/>
  </w:num>
  <w:num w:numId="60">
    <w:abstractNumId w:val="16"/>
  </w:num>
  <w:num w:numId="61">
    <w:abstractNumId w:val="23"/>
  </w:num>
  <w:num w:numId="62">
    <w:abstractNumId w:val="44"/>
  </w:num>
  <w:num w:numId="63">
    <w:abstractNumId w:val="77"/>
  </w:num>
  <w:num w:numId="64">
    <w:abstractNumId w:val="81"/>
  </w:num>
  <w:num w:numId="65">
    <w:abstractNumId w:val="78"/>
  </w:num>
  <w:num w:numId="66">
    <w:abstractNumId w:val="46"/>
  </w:num>
  <w:num w:numId="67">
    <w:abstractNumId w:val="33"/>
  </w:num>
  <w:num w:numId="68">
    <w:abstractNumId w:val="10"/>
  </w:num>
  <w:num w:numId="69">
    <w:abstractNumId w:val="82"/>
  </w:num>
  <w:num w:numId="70">
    <w:abstractNumId w:val="42"/>
  </w:num>
  <w:num w:numId="71">
    <w:abstractNumId w:val="70"/>
  </w:num>
  <w:num w:numId="72">
    <w:abstractNumId w:val="8"/>
  </w:num>
  <w:num w:numId="73">
    <w:abstractNumId w:val="47"/>
  </w:num>
  <w:num w:numId="74">
    <w:abstractNumId w:val="60"/>
  </w:num>
  <w:num w:numId="75">
    <w:abstractNumId w:val="64"/>
  </w:num>
  <w:num w:numId="76">
    <w:abstractNumId w:val="55"/>
  </w:num>
  <w:num w:numId="77">
    <w:abstractNumId w:val="12"/>
  </w:num>
  <w:num w:numId="78">
    <w:abstractNumId w:val="29"/>
  </w:num>
  <w:num w:numId="79">
    <w:abstractNumId w:val="14"/>
  </w:num>
  <w:num w:numId="80">
    <w:abstractNumId w:val="71"/>
  </w:num>
  <w:num w:numId="81">
    <w:abstractNumId w:val="62"/>
  </w:num>
  <w:num w:numId="82">
    <w:abstractNumId w:val="7"/>
  </w:num>
  <w:num w:numId="83">
    <w:abstractNumId w:val="38"/>
  </w:num>
  <w:num w:numId="84">
    <w:abstractNumId w:val="50"/>
  </w:num>
  <w:num w:numId="85">
    <w:abstractNumId w:val="3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C36"/>
    <w:rsid w:val="00002059"/>
    <w:rsid w:val="000021EB"/>
    <w:rsid w:val="00003EAD"/>
    <w:rsid w:val="0000594A"/>
    <w:rsid w:val="00006382"/>
    <w:rsid w:val="0000702F"/>
    <w:rsid w:val="00011DCC"/>
    <w:rsid w:val="000141A9"/>
    <w:rsid w:val="0002196E"/>
    <w:rsid w:val="00023389"/>
    <w:rsid w:val="000257C1"/>
    <w:rsid w:val="00033B98"/>
    <w:rsid w:val="00034C2E"/>
    <w:rsid w:val="00035919"/>
    <w:rsid w:val="0003745E"/>
    <w:rsid w:val="000413D4"/>
    <w:rsid w:val="000422AF"/>
    <w:rsid w:val="0004294C"/>
    <w:rsid w:val="00044896"/>
    <w:rsid w:val="00045435"/>
    <w:rsid w:val="00045DDB"/>
    <w:rsid w:val="00051B16"/>
    <w:rsid w:val="000562C5"/>
    <w:rsid w:val="00056DE0"/>
    <w:rsid w:val="00061402"/>
    <w:rsid w:val="00066D53"/>
    <w:rsid w:val="000673F2"/>
    <w:rsid w:val="00073CA6"/>
    <w:rsid w:val="000828CD"/>
    <w:rsid w:val="00084B19"/>
    <w:rsid w:val="00090026"/>
    <w:rsid w:val="0009077D"/>
    <w:rsid w:val="000916BF"/>
    <w:rsid w:val="000918D3"/>
    <w:rsid w:val="00095311"/>
    <w:rsid w:val="000A109B"/>
    <w:rsid w:val="000A1B59"/>
    <w:rsid w:val="000A4530"/>
    <w:rsid w:val="000A77D6"/>
    <w:rsid w:val="000C06E6"/>
    <w:rsid w:val="000C4700"/>
    <w:rsid w:val="000D66EF"/>
    <w:rsid w:val="000D6782"/>
    <w:rsid w:val="000E1A6C"/>
    <w:rsid w:val="000E242E"/>
    <w:rsid w:val="000E36DA"/>
    <w:rsid w:val="000E4CC8"/>
    <w:rsid w:val="000F0563"/>
    <w:rsid w:val="000F1B3A"/>
    <w:rsid w:val="000F26C9"/>
    <w:rsid w:val="000F2DE3"/>
    <w:rsid w:val="000F598B"/>
    <w:rsid w:val="000F63E9"/>
    <w:rsid w:val="000F74CA"/>
    <w:rsid w:val="000F7EB4"/>
    <w:rsid w:val="001100E7"/>
    <w:rsid w:val="00110932"/>
    <w:rsid w:val="00110B00"/>
    <w:rsid w:val="001124B6"/>
    <w:rsid w:val="00121378"/>
    <w:rsid w:val="001241B5"/>
    <w:rsid w:val="00125B32"/>
    <w:rsid w:val="0012675E"/>
    <w:rsid w:val="00130584"/>
    <w:rsid w:val="00130D66"/>
    <w:rsid w:val="0013505A"/>
    <w:rsid w:val="00135F59"/>
    <w:rsid w:val="00137F5C"/>
    <w:rsid w:val="001433AA"/>
    <w:rsid w:val="001433CE"/>
    <w:rsid w:val="0015070B"/>
    <w:rsid w:val="00152724"/>
    <w:rsid w:val="001625C2"/>
    <w:rsid w:val="0016456F"/>
    <w:rsid w:val="00170905"/>
    <w:rsid w:val="00170E62"/>
    <w:rsid w:val="001715A3"/>
    <w:rsid w:val="001747A6"/>
    <w:rsid w:val="00184186"/>
    <w:rsid w:val="00184882"/>
    <w:rsid w:val="00196737"/>
    <w:rsid w:val="001A0276"/>
    <w:rsid w:val="001A1A00"/>
    <w:rsid w:val="001A235D"/>
    <w:rsid w:val="001A2D05"/>
    <w:rsid w:val="001A480D"/>
    <w:rsid w:val="001B26CE"/>
    <w:rsid w:val="001B4AA6"/>
    <w:rsid w:val="001D0E78"/>
    <w:rsid w:val="001D2D65"/>
    <w:rsid w:val="001E65D2"/>
    <w:rsid w:val="001E7D41"/>
    <w:rsid w:val="001F22CB"/>
    <w:rsid w:val="001F25ED"/>
    <w:rsid w:val="001F6464"/>
    <w:rsid w:val="002000E1"/>
    <w:rsid w:val="00201EC1"/>
    <w:rsid w:val="0020633F"/>
    <w:rsid w:val="002120A5"/>
    <w:rsid w:val="00212B99"/>
    <w:rsid w:val="002139F8"/>
    <w:rsid w:val="002144EC"/>
    <w:rsid w:val="0021578D"/>
    <w:rsid w:val="002201C0"/>
    <w:rsid w:val="0022422B"/>
    <w:rsid w:val="00231661"/>
    <w:rsid w:val="00234D93"/>
    <w:rsid w:val="0024009E"/>
    <w:rsid w:val="002416E9"/>
    <w:rsid w:val="002520C0"/>
    <w:rsid w:val="0025616E"/>
    <w:rsid w:val="00257132"/>
    <w:rsid w:val="00260D67"/>
    <w:rsid w:val="002629A5"/>
    <w:rsid w:val="00266449"/>
    <w:rsid w:val="00271ADF"/>
    <w:rsid w:val="00271D59"/>
    <w:rsid w:val="00274035"/>
    <w:rsid w:val="002742CB"/>
    <w:rsid w:val="002757FD"/>
    <w:rsid w:val="00280DCF"/>
    <w:rsid w:val="0028164B"/>
    <w:rsid w:val="002826EC"/>
    <w:rsid w:val="0028569E"/>
    <w:rsid w:val="00294F04"/>
    <w:rsid w:val="00296077"/>
    <w:rsid w:val="0029790B"/>
    <w:rsid w:val="002A0EA9"/>
    <w:rsid w:val="002A7187"/>
    <w:rsid w:val="002B3E76"/>
    <w:rsid w:val="002B4B74"/>
    <w:rsid w:val="002C1C3F"/>
    <w:rsid w:val="002C24ED"/>
    <w:rsid w:val="002C5DCE"/>
    <w:rsid w:val="002C6276"/>
    <w:rsid w:val="002C6F78"/>
    <w:rsid w:val="002D22C8"/>
    <w:rsid w:val="002D551A"/>
    <w:rsid w:val="002D6263"/>
    <w:rsid w:val="002E1AC0"/>
    <w:rsid w:val="002E3A02"/>
    <w:rsid w:val="002E53FA"/>
    <w:rsid w:val="002E66FE"/>
    <w:rsid w:val="002E6C07"/>
    <w:rsid w:val="002F0359"/>
    <w:rsid w:val="002F11D0"/>
    <w:rsid w:val="002F53C2"/>
    <w:rsid w:val="00302B2C"/>
    <w:rsid w:val="00303EC2"/>
    <w:rsid w:val="00306983"/>
    <w:rsid w:val="00307606"/>
    <w:rsid w:val="00307754"/>
    <w:rsid w:val="003104C7"/>
    <w:rsid w:val="00314081"/>
    <w:rsid w:val="00315EC4"/>
    <w:rsid w:val="00317E5B"/>
    <w:rsid w:val="003301C3"/>
    <w:rsid w:val="00332F81"/>
    <w:rsid w:val="00335135"/>
    <w:rsid w:val="00337AB6"/>
    <w:rsid w:val="003408DF"/>
    <w:rsid w:val="00343C50"/>
    <w:rsid w:val="00351C77"/>
    <w:rsid w:val="00354A9B"/>
    <w:rsid w:val="003576EE"/>
    <w:rsid w:val="003578D5"/>
    <w:rsid w:val="003619CD"/>
    <w:rsid w:val="00366D93"/>
    <w:rsid w:val="00371C87"/>
    <w:rsid w:val="00373D7C"/>
    <w:rsid w:val="00375370"/>
    <w:rsid w:val="00381C8F"/>
    <w:rsid w:val="0038513C"/>
    <w:rsid w:val="00393274"/>
    <w:rsid w:val="0039657F"/>
    <w:rsid w:val="0039660F"/>
    <w:rsid w:val="0039694C"/>
    <w:rsid w:val="003A0542"/>
    <w:rsid w:val="003A64F6"/>
    <w:rsid w:val="003B1FF8"/>
    <w:rsid w:val="003B4724"/>
    <w:rsid w:val="003B62FA"/>
    <w:rsid w:val="003B67E5"/>
    <w:rsid w:val="003C0222"/>
    <w:rsid w:val="003C700A"/>
    <w:rsid w:val="003D55F8"/>
    <w:rsid w:val="003D6B63"/>
    <w:rsid w:val="003E1194"/>
    <w:rsid w:val="003E16E4"/>
    <w:rsid w:val="003E4A71"/>
    <w:rsid w:val="003F1DAA"/>
    <w:rsid w:val="003F24A8"/>
    <w:rsid w:val="003F4348"/>
    <w:rsid w:val="003F49B9"/>
    <w:rsid w:val="003F61A2"/>
    <w:rsid w:val="00401412"/>
    <w:rsid w:val="00401544"/>
    <w:rsid w:val="00402011"/>
    <w:rsid w:val="00402DC6"/>
    <w:rsid w:val="004030A2"/>
    <w:rsid w:val="00407030"/>
    <w:rsid w:val="004123C1"/>
    <w:rsid w:val="004131AC"/>
    <w:rsid w:val="00413A41"/>
    <w:rsid w:val="0041496B"/>
    <w:rsid w:val="00415D57"/>
    <w:rsid w:val="00421AE1"/>
    <w:rsid w:val="00421D24"/>
    <w:rsid w:val="00431D34"/>
    <w:rsid w:val="00433B5E"/>
    <w:rsid w:val="004348B5"/>
    <w:rsid w:val="004348C0"/>
    <w:rsid w:val="00437F1A"/>
    <w:rsid w:val="004418C9"/>
    <w:rsid w:val="0044536F"/>
    <w:rsid w:val="00451070"/>
    <w:rsid w:val="00453A10"/>
    <w:rsid w:val="00461290"/>
    <w:rsid w:val="00465A19"/>
    <w:rsid w:val="004701FB"/>
    <w:rsid w:val="00472404"/>
    <w:rsid w:val="00472FFD"/>
    <w:rsid w:val="00477B38"/>
    <w:rsid w:val="004805DD"/>
    <w:rsid w:val="004847DE"/>
    <w:rsid w:val="00485542"/>
    <w:rsid w:val="00485BCD"/>
    <w:rsid w:val="004908DD"/>
    <w:rsid w:val="00497DB8"/>
    <w:rsid w:val="004A0FAD"/>
    <w:rsid w:val="004B0905"/>
    <w:rsid w:val="004B18D1"/>
    <w:rsid w:val="004B65EF"/>
    <w:rsid w:val="004C1737"/>
    <w:rsid w:val="004C288A"/>
    <w:rsid w:val="004C5C9A"/>
    <w:rsid w:val="004D1B27"/>
    <w:rsid w:val="004D2A74"/>
    <w:rsid w:val="004D3725"/>
    <w:rsid w:val="004D4C2B"/>
    <w:rsid w:val="004D546B"/>
    <w:rsid w:val="004E2397"/>
    <w:rsid w:val="004E7C36"/>
    <w:rsid w:val="005014EF"/>
    <w:rsid w:val="00504243"/>
    <w:rsid w:val="00505771"/>
    <w:rsid w:val="005123E9"/>
    <w:rsid w:val="00515CAA"/>
    <w:rsid w:val="00525B9B"/>
    <w:rsid w:val="00526838"/>
    <w:rsid w:val="005304D0"/>
    <w:rsid w:val="00533913"/>
    <w:rsid w:val="00535445"/>
    <w:rsid w:val="00535485"/>
    <w:rsid w:val="00541584"/>
    <w:rsid w:val="00542C30"/>
    <w:rsid w:val="0054687A"/>
    <w:rsid w:val="00550DD9"/>
    <w:rsid w:val="00554D4F"/>
    <w:rsid w:val="005552BD"/>
    <w:rsid w:val="00555F5D"/>
    <w:rsid w:val="00560E9A"/>
    <w:rsid w:val="005730B9"/>
    <w:rsid w:val="00575B80"/>
    <w:rsid w:val="005764FA"/>
    <w:rsid w:val="005819DD"/>
    <w:rsid w:val="00581A97"/>
    <w:rsid w:val="00585FDA"/>
    <w:rsid w:val="005901B5"/>
    <w:rsid w:val="00590DB3"/>
    <w:rsid w:val="00594D19"/>
    <w:rsid w:val="00595310"/>
    <w:rsid w:val="005A295E"/>
    <w:rsid w:val="005A6AB6"/>
    <w:rsid w:val="005B020E"/>
    <w:rsid w:val="005B4A0F"/>
    <w:rsid w:val="005B7675"/>
    <w:rsid w:val="005D0B4D"/>
    <w:rsid w:val="005D0D98"/>
    <w:rsid w:val="005F08CA"/>
    <w:rsid w:val="005F38C7"/>
    <w:rsid w:val="005F3E2D"/>
    <w:rsid w:val="005F75A5"/>
    <w:rsid w:val="005F78DC"/>
    <w:rsid w:val="00602D52"/>
    <w:rsid w:val="006057DC"/>
    <w:rsid w:val="0060717C"/>
    <w:rsid w:val="00630879"/>
    <w:rsid w:val="00631811"/>
    <w:rsid w:val="00632201"/>
    <w:rsid w:val="00632DCF"/>
    <w:rsid w:val="006376E2"/>
    <w:rsid w:val="006379AE"/>
    <w:rsid w:val="00640BA8"/>
    <w:rsid w:val="00647A11"/>
    <w:rsid w:val="00647F3B"/>
    <w:rsid w:val="00650B6E"/>
    <w:rsid w:val="00652992"/>
    <w:rsid w:val="00653C9E"/>
    <w:rsid w:val="00661F79"/>
    <w:rsid w:val="00666166"/>
    <w:rsid w:val="00673EF0"/>
    <w:rsid w:val="006757AE"/>
    <w:rsid w:val="00681A43"/>
    <w:rsid w:val="00683544"/>
    <w:rsid w:val="006846E3"/>
    <w:rsid w:val="0069311F"/>
    <w:rsid w:val="0069638F"/>
    <w:rsid w:val="00697D28"/>
    <w:rsid w:val="006A19CF"/>
    <w:rsid w:val="006A1CFA"/>
    <w:rsid w:val="006A4E39"/>
    <w:rsid w:val="006A69F0"/>
    <w:rsid w:val="006A6AC7"/>
    <w:rsid w:val="006B346D"/>
    <w:rsid w:val="006B6953"/>
    <w:rsid w:val="006B7962"/>
    <w:rsid w:val="006C534F"/>
    <w:rsid w:val="006C6753"/>
    <w:rsid w:val="006C6BAF"/>
    <w:rsid w:val="006C76DC"/>
    <w:rsid w:val="006D4B73"/>
    <w:rsid w:val="006D52F8"/>
    <w:rsid w:val="006D615C"/>
    <w:rsid w:val="006D724A"/>
    <w:rsid w:val="006E024D"/>
    <w:rsid w:val="006E0430"/>
    <w:rsid w:val="006E19DF"/>
    <w:rsid w:val="006E5293"/>
    <w:rsid w:val="006F38C5"/>
    <w:rsid w:val="0071020F"/>
    <w:rsid w:val="00711C89"/>
    <w:rsid w:val="00711E29"/>
    <w:rsid w:val="007138B9"/>
    <w:rsid w:val="00716D84"/>
    <w:rsid w:val="00722FF5"/>
    <w:rsid w:val="00732E44"/>
    <w:rsid w:val="00733460"/>
    <w:rsid w:val="00742728"/>
    <w:rsid w:val="00744B6F"/>
    <w:rsid w:val="00761D8E"/>
    <w:rsid w:val="00763643"/>
    <w:rsid w:val="00763F45"/>
    <w:rsid w:val="00764826"/>
    <w:rsid w:val="00767094"/>
    <w:rsid w:val="007730AA"/>
    <w:rsid w:val="00776A76"/>
    <w:rsid w:val="00786D1B"/>
    <w:rsid w:val="0078715B"/>
    <w:rsid w:val="00787198"/>
    <w:rsid w:val="00790C26"/>
    <w:rsid w:val="00792FE3"/>
    <w:rsid w:val="007931A9"/>
    <w:rsid w:val="00793654"/>
    <w:rsid w:val="007947C9"/>
    <w:rsid w:val="00796501"/>
    <w:rsid w:val="007A2C1D"/>
    <w:rsid w:val="007C449B"/>
    <w:rsid w:val="007D031B"/>
    <w:rsid w:val="007D07EC"/>
    <w:rsid w:val="007D0930"/>
    <w:rsid w:val="007D23BA"/>
    <w:rsid w:val="007D3B96"/>
    <w:rsid w:val="007E13EF"/>
    <w:rsid w:val="007E17F3"/>
    <w:rsid w:val="007E1D4F"/>
    <w:rsid w:val="007E2FEB"/>
    <w:rsid w:val="007E4203"/>
    <w:rsid w:val="007E5852"/>
    <w:rsid w:val="007E5E36"/>
    <w:rsid w:val="007E7086"/>
    <w:rsid w:val="007E73FA"/>
    <w:rsid w:val="007E76DA"/>
    <w:rsid w:val="007F1536"/>
    <w:rsid w:val="007F2897"/>
    <w:rsid w:val="007F3E17"/>
    <w:rsid w:val="007F44FA"/>
    <w:rsid w:val="008001BF"/>
    <w:rsid w:val="00800528"/>
    <w:rsid w:val="00800617"/>
    <w:rsid w:val="00800C52"/>
    <w:rsid w:val="008033E4"/>
    <w:rsid w:val="00810461"/>
    <w:rsid w:val="00810F14"/>
    <w:rsid w:val="00816D9D"/>
    <w:rsid w:val="008202D6"/>
    <w:rsid w:val="00822B81"/>
    <w:rsid w:val="00823DA3"/>
    <w:rsid w:val="00826F28"/>
    <w:rsid w:val="00831867"/>
    <w:rsid w:val="00832055"/>
    <w:rsid w:val="00832BC4"/>
    <w:rsid w:val="0083664A"/>
    <w:rsid w:val="00837737"/>
    <w:rsid w:val="00843B3A"/>
    <w:rsid w:val="008477EE"/>
    <w:rsid w:val="00860B6E"/>
    <w:rsid w:val="008626FF"/>
    <w:rsid w:val="0086280F"/>
    <w:rsid w:val="00862954"/>
    <w:rsid w:val="00864286"/>
    <w:rsid w:val="00865119"/>
    <w:rsid w:val="00880CD4"/>
    <w:rsid w:val="00881322"/>
    <w:rsid w:val="0088234D"/>
    <w:rsid w:val="00882E58"/>
    <w:rsid w:val="008834AB"/>
    <w:rsid w:val="00891F8C"/>
    <w:rsid w:val="008930BE"/>
    <w:rsid w:val="00893800"/>
    <w:rsid w:val="008A0862"/>
    <w:rsid w:val="008A4548"/>
    <w:rsid w:val="008A4D31"/>
    <w:rsid w:val="008A7A60"/>
    <w:rsid w:val="008C053E"/>
    <w:rsid w:val="008C29B6"/>
    <w:rsid w:val="008C7495"/>
    <w:rsid w:val="008C76F3"/>
    <w:rsid w:val="008C7952"/>
    <w:rsid w:val="008D1B7D"/>
    <w:rsid w:val="008D3E8B"/>
    <w:rsid w:val="008E4311"/>
    <w:rsid w:val="008E44E4"/>
    <w:rsid w:val="008E49A7"/>
    <w:rsid w:val="008E5A42"/>
    <w:rsid w:val="008F115B"/>
    <w:rsid w:val="008F4455"/>
    <w:rsid w:val="008F462A"/>
    <w:rsid w:val="00905661"/>
    <w:rsid w:val="00906DD1"/>
    <w:rsid w:val="00906F79"/>
    <w:rsid w:val="0091294E"/>
    <w:rsid w:val="00912CA6"/>
    <w:rsid w:val="00912CBB"/>
    <w:rsid w:val="00914472"/>
    <w:rsid w:val="00914714"/>
    <w:rsid w:val="009162C6"/>
    <w:rsid w:val="00916657"/>
    <w:rsid w:val="009213EA"/>
    <w:rsid w:val="00923E20"/>
    <w:rsid w:val="009260C5"/>
    <w:rsid w:val="009260FC"/>
    <w:rsid w:val="00931BE8"/>
    <w:rsid w:val="00934959"/>
    <w:rsid w:val="00944019"/>
    <w:rsid w:val="00944868"/>
    <w:rsid w:val="00947BB6"/>
    <w:rsid w:val="00951CDF"/>
    <w:rsid w:val="0095561F"/>
    <w:rsid w:val="00963094"/>
    <w:rsid w:val="00965B36"/>
    <w:rsid w:val="00970B9C"/>
    <w:rsid w:val="00970C57"/>
    <w:rsid w:val="00974DB1"/>
    <w:rsid w:val="00974F59"/>
    <w:rsid w:val="009762FE"/>
    <w:rsid w:val="00983603"/>
    <w:rsid w:val="009850C7"/>
    <w:rsid w:val="00986D23"/>
    <w:rsid w:val="00992BFA"/>
    <w:rsid w:val="00992E0B"/>
    <w:rsid w:val="00993837"/>
    <w:rsid w:val="009A0644"/>
    <w:rsid w:val="009A2CD9"/>
    <w:rsid w:val="009A4ABA"/>
    <w:rsid w:val="009A7B40"/>
    <w:rsid w:val="009B0435"/>
    <w:rsid w:val="009B30E2"/>
    <w:rsid w:val="009B375C"/>
    <w:rsid w:val="009B438C"/>
    <w:rsid w:val="009C09B8"/>
    <w:rsid w:val="009C1034"/>
    <w:rsid w:val="009D052E"/>
    <w:rsid w:val="009E2A4D"/>
    <w:rsid w:val="009E2EC2"/>
    <w:rsid w:val="009F1103"/>
    <w:rsid w:val="009F1630"/>
    <w:rsid w:val="009F1828"/>
    <w:rsid w:val="009F2B46"/>
    <w:rsid w:val="009F5953"/>
    <w:rsid w:val="009F7E02"/>
    <w:rsid w:val="00A04009"/>
    <w:rsid w:val="00A041B0"/>
    <w:rsid w:val="00A04DF7"/>
    <w:rsid w:val="00A06355"/>
    <w:rsid w:val="00A10619"/>
    <w:rsid w:val="00A11966"/>
    <w:rsid w:val="00A127B0"/>
    <w:rsid w:val="00A23945"/>
    <w:rsid w:val="00A279FE"/>
    <w:rsid w:val="00A31FC5"/>
    <w:rsid w:val="00A334C8"/>
    <w:rsid w:val="00A33FD1"/>
    <w:rsid w:val="00A364A9"/>
    <w:rsid w:val="00A40338"/>
    <w:rsid w:val="00A5055A"/>
    <w:rsid w:val="00A5522A"/>
    <w:rsid w:val="00A744CA"/>
    <w:rsid w:val="00A749B7"/>
    <w:rsid w:val="00A777B8"/>
    <w:rsid w:val="00A91E3C"/>
    <w:rsid w:val="00A923F5"/>
    <w:rsid w:val="00A9476A"/>
    <w:rsid w:val="00A95447"/>
    <w:rsid w:val="00AA0DB3"/>
    <w:rsid w:val="00AA6D17"/>
    <w:rsid w:val="00AB1236"/>
    <w:rsid w:val="00AB1CFE"/>
    <w:rsid w:val="00AB2881"/>
    <w:rsid w:val="00AB34B3"/>
    <w:rsid w:val="00AC1526"/>
    <w:rsid w:val="00AC2420"/>
    <w:rsid w:val="00AC3EC0"/>
    <w:rsid w:val="00AC58DF"/>
    <w:rsid w:val="00AD0551"/>
    <w:rsid w:val="00AD14FC"/>
    <w:rsid w:val="00AD3407"/>
    <w:rsid w:val="00AD3BA1"/>
    <w:rsid w:val="00AD79C3"/>
    <w:rsid w:val="00AE6A96"/>
    <w:rsid w:val="00AE6F5F"/>
    <w:rsid w:val="00AF2D73"/>
    <w:rsid w:val="00AF5C0A"/>
    <w:rsid w:val="00B001BF"/>
    <w:rsid w:val="00B05CED"/>
    <w:rsid w:val="00B0727B"/>
    <w:rsid w:val="00B129D6"/>
    <w:rsid w:val="00B20F29"/>
    <w:rsid w:val="00B2386B"/>
    <w:rsid w:val="00B23F03"/>
    <w:rsid w:val="00B26618"/>
    <w:rsid w:val="00B277C0"/>
    <w:rsid w:val="00B3184F"/>
    <w:rsid w:val="00B422DB"/>
    <w:rsid w:val="00B44C61"/>
    <w:rsid w:val="00B458E2"/>
    <w:rsid w:val="00B52AE8"/>
    <w:rsid w:val="00B5304D"/>
    <w:rsid w:val="00B60667"/>
    <w:rsid w:val="00B63B18"/>
    <w:rsid w:val="00B64F66"/>
    <w:rsid w:val="00B65273"/>
    <w:rsid w:val="00B66A8F"/>
    <w:rsid w:val="00B67BB6"/>
    <w:rsid w:val="00B7146F"/>
    <w:rsid w:val="00B72836"/>
    <w:rsid w:val="00B74C8B"/>
    <w:rsid w:val="00B76E63"/>
    <w:rsid w:val="00B819E7"/>
    <w:rsid w:val="00B82334"/>
    <w:rsid w:val="00B834DD"/>
    <w:rsid w:val="00B83CA9"/>
    <w:rsid w:val="00B87B25"/>
    <w:rsid w:val="00B9129E"/>
    <w:rsid w:val="00B91C4E"/>
    <w:rsid w:val="00B9427E"/>
    <w:rsid w:val="00BA1ACA"/>
    <w:rsid w:val="00BA2669"/>
    <w:rsid w:val="00BA28E1"/>
    <w:rsid w:val="00BA28EC"/>
    <w:rsid w:val="00BA5964"/>
    <w:rsid w:val="00BA7EC4"/>
    <w:rsid w:val="00BB4EA8"/>
    <w:rsid w:val="00BB52A7"/>
    <w:rsid w:val="00BB59AB"/>
    <w:rsid w:val="00BB59E8"/>
    <w:rsid w:val="00BC1321"/>
    <w:rsid w:val="00BD17FE"/>
    <w:rsid w:val="00BD5C0A"/>
    <w:rsid w:val="00BE0E6A"/>
    <w:rsid w:val="00BE2CAB"/>
    <w:rsid w:val="00BE56F5"/>
    <w:rsid w:val="00BE5AB1"/>
    <w:rsid w:val="00BE5B5E"/>
    <w:rsid w:val="00BE6983"/>
    <w:rsid w:val="00BF23B0"/>
    <w:rsid w:val="00BF628E"/>
    <w:rsid w:val="00BF6D64"/>
    <w:rsid w:val="00BF74EB"/>
    <w:rsid w:val="00C126D8"/>
    <w:rsid w:val="00C1687E"/>
    <w:rsid w:val="00C17320"/>
    <w:rsid w:val="00C23AD9"/>
    <w:rsid w:val="00C24821"/>
    <w:rsid w:val="00C26051"/>
    <w:rsid w:val="00C261D8"/>
    <w:rsid w:val="00C26653"/>
    <w:rsid w:val="00C27A13"/>
    <w:rsid w:val="00C306CE"/>
    <w:rsid w:val="00C30B94"/>
    <w:rsid w:val="00C33B38"/>
    <w:rsid w:val="00C35CAE"/>
    <w:rsid w:val="00C369F2"/>
    <w:rsid w:val="00C40F71"/>
    <w:rsid w:val="00C456A2"/>
    <w:rsid w:val="00C460E0"/>
    <w:rsid w:val="00C46F6D"/>
    <w:rsid w:val="00C50810"/>
    <w:rsid w:val="00C52BF4"/>
    <w:rsid w:val="00C52E77"/>
    <w:rsid w:val="00C54D6D"/>
    <w:rsid w:val="00C578A3"/>
    <w:rsid w:val="00C66DAC"/>
    <w:rsid w:val="00C7512C"/>
    <w:rsid w:val="00C75874"/>
    <w:rsid w:val="00C75C12"/>
    <w:rsid w:val="00C8211F"/>
    <w:rsid w:val="00C8222D"/>
    <w:rsid w:val="00C850BC"/>
    <w:rsid w:val="00C85B29"/>
    <w:rsid w:val="00C937C1"/>
    <w:rsid w:val="00C94522"/>
    <w:rsid w:val="00C94BB1"/>
    <w:rsid w:val="00C96C58"/>
    <w:rsid w:val="00C97A2C"/>
    <w:rsid w:val="00CA1167"/>
    <w:rsid w:val="00CA1A81"/>
    <w:rsid w:val="00CA2A0E"/>
    <w:rsid w:val="00CA6C6F"/>
    <w:rsid w:val="00CB1585"/>
    <w:rsid w:val="00CB4A8C"/>
    <w:rsid w:val="00CB72BA"/>
    <w:rsid w:val="00CC15E1"/>
    <w:rsid w:val="00CC312B"/>
    <w:rsid w:val="00CC46FD"/>
    <w:rsid w:val="00CC4814"/>
    <w:rsid w:val="00CC485E"/>
    <w:rsid w:val="00CC54EA"/>
    <w:rsid w:val="00CD1EE2"/>
    <w:rsid w:val="00CD6C81"/>
    <w:rsid w:val="00CD77E9"/>
    <w:rsid w:val="00CE0C4D"/>
    <w:rsid w:val="00CE3050"/>
    <w:rsid w:val="00CE5B48"/>
    <w:rsid w:val="00CE6F88"/>
    <w:rsid w:val="00CE7704"/>
    <w:rsid w:val="00CF2020"/>
    <w:rsid w:val="00D0055A"/>
    <w:rsid w:val="00D02EFB"/>
    <w:rsid w:val="00D049E8"/>
    <w:rsid w:val="00D061C6"/>
    <w:rsid w:val="00D10B19"/>
    <w:rsid w:val="00D11963"/>
    <w:rsid w:val="00D17417"/>
    <w:rsid w:val="00D21A04"/>
    <w:rsid w:val="00D24092"/>
    <w:rsid w:val="00D307A2"/>
    <w:rsid w:val="00D31A86"/>
    <w:rsid w:val="00D33E12"/>
    <w:rsid w:val="00D33F8D"/>
    <w:rsid w:val="00D52249"/>
    <w:rsid w:val="00D544C7"/>
    <w:rsid w:val="00D54F55"/>
    <w:rsid w:val="00D55E7F"/>
    <w:rsid w:val="00D57BFA"/>
    <w:rsid w:val="00D714D5"/>
    <w:rsid w:val="00D727DD"/>
    <w:rsid w:val="00D8001C"/>
    <w:rsid w:val="00D82B88"/>
    <w:rsid w:val="00D92895"/>
    <w:rsid w:val="00D930FF"/>
    <w:rsid w:val="00D93EE5"/>
    <w:rsid w:val="00D95C2F"/>
    <w:rsid w:val="00DA49F8"/>
    <w:rsid w:val="00DA4BC9"/>
    <w:rsid w:val="00DA5CBD"/>
    <w:rsid w:val="00DA5F9C"/>
    <w:rsid w:val="00DB3649"/>
    <w:rsid w:val="00DB3B02"/>
    <w:rsid w:val="00DB53AD"/>
    <w:rsid w:val="00DB7C24"/>
    <w:rsid w:val="00DC071C"/>
    <w:rsid w:val="00DC3977"/>
    <w:rsid w:val="00DC5991"/>
    <w:rsid w:val="00DC716F"/>
    <w:rsid w:val="00DC76BD"/>
    <w:rsid w:val="00DC7877"/>
    <w:rsid w:val="00DD03A6"/>
    <w:rsid w:val="00DD1DF8"/>
    <w:rsid w:val="00DD2DA0"/>
    <w:rsid w:val="00DD3758"/>
    <w:rsid w:val="00DD652E"/>
    <w:rsid w:val="00DD67FF"/>
    <w:rsid w:val="00DE0D72"/>
    <w:rsid w:val="00DE280A"/>
    <w:rsid w:val="00DE3AFD"/>
    <w:rsid w:val="00DE41D7"/>
    <w:rsid w:val="00DE65D5"/>
    <w:rsid w:val="00DF02C7"/>
    <w:rsid w:val="00DF1549"/>
    <w:rsid w:val="00E0022F"/>
    <w:rsid w:val="00E026E6"/>
    <w:rsid w:val="00E04578"/>
    <w:rsid w:val="00E0545A"/>
    <w:rsid w:val="00E05508"/>
    <w:rsid w:val="00E057A3"/>
    <w:rsid w:val="00E115A0"/>
    <w:rsid w:val="00E11C77"/>
    <w:rsid w:val="00E12DC6"/>
    <w:rsid w:val="00E15FEC"/>
    <w:rsid w:val="00E2072F"/>
    <w:rsid w:val="00E209C2"/>
    <w:rsid w:val="00E22278"/>
    <w:rsid w:val="00E231FE"/>
    <w:rsid w:val="00E23C31"/>
    <w:rsid w:val="00E26BB5"/>
    <w:rsid w:val="00E31F93"/>
    <w:rsid w:val="00E338F9"/>
    <w:rsid w:val="00E3646D"/>
    <w:rsid w:val="00E501DA"/>
    <w:rsid w:val="00E52632"/>
    <w:rsid w:val="00E5273A"/>
    <w:rsid w:val="00E55A9C"/>
    <w:rsid w:val="00E566B6"/>
    <w:rsid w:val="00E645E9"/>
    <w:rsid w:val="00E660B8"/>
    <w:rsid w:val="00E752A8"/>
    <w:rsid w:val="00E75C6B"/>
    <w:rsid w:val="00E77A84"/>
    <w:rsid w:val="00E83375"/>
    <w:rsid w:val="00E848F6"/>
    <w:rsid w:val="00E86D2A"/>
    <w:rsid w:val="00E86F06"/>
    <w:rsid w:val="00E87F2C"/>
    <w:rsid w:val="00E91B6C"/>
    <w:rsid w:val="00E95215"/>
    <w:rsid w:val="00E97C3A"/>
    <w:rsid w:val="00EA32CC"/>
    <w:rsid w:val="00EA33F9"/>
    <w:rsid w:val="00EA4BE1"/>
    <w:rsid w:val="00EA74FA"/>
    <w:rsid w:val="00EA7F75"/>
    <w:rsid w:val="00EB17C0"/>
    <w:rsid w:val="00EB1FD0"/>
    <w:rsid w:val="00EB2212"/>
    <w:rsid w:val="00EB311D"/>
    <w:rsid w:val="00EB3841"/>
    <w:rsid w:val="00EB4A83"/>
    <w:rsid w:val="00EB678F"/>
    <w:rsid w:val="00EC079D"/>
    <w:rsid w:val="00EC21B0"/>
    <w:rsid w:val="00EC32E3"/>
    <w:rsid w:val="00ED144B"/>
    <w:rsid w:val="00ED4805"/>
    <w:rsid w:val="00ED7298"/>
    <w:rsid w:val="00ED729E"/>
    <w:rsid w:val="00EE0AE2"/>
    <w:rsid w:val="00EE0CA3"/>
    <w:rsid w:val="00EE593D"/>
    <w:rsid w:val="00EF6F07"/>
    <w:rsid w:val="00F016CA"/>
    <w:rsid w:val="00F045A5"/>
    <w:rsid w:val="00F056EB"/>
    <w:rsid w:val="00F12A99"/>
    <w:rsid w:val="00F23542"/>
    <w:rsid w:val="00F35684"/>
    <w:rsid w:val="00F356C7"/>
    <w:rsid w:val="00F37A1B"/>
    <w:rsid w:val="00F412A5"/>
    <w:rsid w:val="00F45764"/>
    <w:rsid w:val="00F47E90"/>
    <w:rsid w:val="00F51C0A"/>
    <w:rsid w:val="00F52A22"/>
    <w:rsid w:val="00F54D38"/>
    <w:rsid w:val="00F5585E"/>
    <w:rsid w:val="00F55A4B"/>
    <w:rsid w:val="00F61BD3"/>
    <w:rsid w:val="00F654CC"/>
    <w:rsid w:val="00F701AD"/>
    <w:rsid w:val="00F70609"/>
    <w:rsid w:val="00F72995"/>
    <w:rsid w:val="00F73059"/>
    <w:rsid w:val="00F747B5"/>
    <w:rsid w:val="00F8182F"/>
    <w:rsid w:val="00F900FF"/>
    <w:rsid w:val="00F901C1"/>
    <w:rsid w:val="00F91082"/>
    <w:rsid w:val="00F93E1B"/>
    <w:rsid w:val="00F95290"/>
    <w:rsid w:val="00FA0CE8"/>
    <w:rsid w:val="00FA1048"/>
    <w:rsid w:val="00FA2099"/>
    <w:rsid w:val="00FA76A9"/>
    <w:rsid w:val="00FB53B3"/>
    <w:rsid w:val="00FB7F0B"/>
    <w:rsid w:val="00FC3C69"/>
    <w:rsid w:val="00FC628A"/>
    <w:rsid w:val="00FC6C3A"/>
    <w:rsid w:val="00FC6FF4"/>
    <w:rsid w:val="00FD256B"/>
    <w:rsid w:val="00FD2C96"/>
    <w:rsid w:val="00FD3670"/>
    <w:rsid w:val="00FD3F82"/>
    <w:rsid w:val="00FE20ED"/>
    <w:rsid w:val="00FE2A6F"/>
    <w:rsid w:val="00FE2E58"/>
    <w:rsid w:val="00FF5889"/>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AutoShape 3"/>
      </o:rules>
    </o:shapelayout>
  </w:shapeDefaults>
  <w:decimalSymbol w:val="."/>
  <w:listSeparator w:val=";"/>
  <w14:docId w14:val="05CC20F7"/>
  <w15:docId w15:val="{B4F26855-7F71-4724-9330-A85D6EF8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1FB"/>
    <w:pPr>
      <w:spacing w:after="200" w:line="276" w:lineRule="auto"/>
    </w:pPr>
    <w:rPr>
      <w:rFonts w:eastAsiaTheme="minorEastAsia"/>
      <w:lang w:eastAsia="fr-FR"/>
    </w:rPr>
  </w:style>
  <w:style w:type="paragraph" w:styleId="Heading1">
    <w:name w:val="heading 1"/>
    <w:basedOn w:val="Normal"/>
    <w:next w:val="Normal"/>
    <w:link w:val="Heading1Char"/>
    <w:uiPriority w:val="99"/>
    <w:qFormat/>
    <w:rsid w:val="00B277C0"/>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401544"/>
    <w:pPr>
      <w:keepNext/>
      <w:keepLines/>
      <w:numPr>
        <w:numId w:val="3"/>
      </w:numPr>
      <w:spacing w:before="200" w:after="0"/>
      <w:outlineLvl w:val="1"/>
    </w:pPr>
    <w:rPr>
      <w:rFonts w:asciiTheme="majorHAnsi" w:eastAsiaTheme="majorEastAsia" w:hAnsiTheme="majorHAnsi" w:cstheme="majorBidi"/>
      <w:b/>
      <w:bCs/>
      <w:color w:val="00B050"/>
      <w:sz w:val="26"/>
      <w:szCs w:val="26"/>
    </w:rPr>
  </w:style>
  <w:style w:type="paragraph" w:styleId="Heading3">
    <w:name w:val="heading 3"/>
    <w:basedOn w:val="Normal"/>
    <w:next w:val="Normal"/>
    <w:link w:val="Heading3Char"/>
    <w:uiPriority w:val="99"/>
    <w:unhideWhenUsed/>
    <w:qFormat/>
    <w:rsid w:val="009B30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unhideWhenUsed/>
    <w:qFormat/>
    <w:rsid w:val="00970C57"/>
    <w:pPr>
      <w:keepNext/>
      <w:keepLines/>
      <w:spacing w:before="120" w:after="240" w:line="240" w:lineRule="auto"/>
      <w:outlineLvl w:val="3"/>
    </w:pPr>
    <w:rPr>
      <w:rFonts w:ascii="Times New Roman" w:hAnsi="Times New Roman"/>
      <w:b/>
      <w:bCs/>
      <w:i/>
      <w:iCs/>
      <w:sz w:val="24"/>
      <w:szCs w:val="24"/>
      <w:lang w:val="en-US" w:eastAsia="en-US"/>
    </w:rPr>
  </w:style>
  <w:style w:type="paragraph" w:styleId="Heading5">
    <w:name w:val="heading 5"/>
    <w:basedOn w:val="Normal"/>
    <w:next w:val="Normal"/>
    <w:link w:val="Heading5Char"/>
    <w:uiPriority w:val="99"/>
    <w:unhideWhenUsed/>
    <w:qFormat/>
    <w:rsid w:val="00970C57"/>
    <w:pPr>
      <w:keepNext/>
      <w:spacing w:after="0" w:line="240" w:lineRule="auto"/>
      <w:outlineLvl w:val="4"/>
    </w:pPr>
    <w:rPr>
      <w:rFonts w:ascii="Times New Roman" w:hAnsi="Times New Roman"/>
      <w:b/>
      <w:bCs/>
      <w:sz w:val="24"/>
      <w:szCs w:val="24"/>
      <w:u w:val="single"/>
      <w:lang w:val="en-US" w:eastAsia="en-US"/>
    </w:rPr>
  </w:style>
  <w:style w:type="paragraph" w:styleId="Heading7">
    <w:name w:val="heading 7"/>
    <w:basedOn w:val="Heading1"/>
    <w:next w:val="Normal"/>
    <w:link w:val="Heading7Char"/>
    <w:qFormat/>
    <w:rsid w:val="000828CD"/>
    <w:pPr>
      <w:keepLines w:val="0"/>
      <w:pageBreakBefore/>
      <w:numPr>
        <w:numId w:val="0"/>
      </w:numPr>
      <w:spacing w:before="120" w:after="60" w:line="240" w:lineRule="auto"/>
      <w:ind w:left="680" w:hanging="680"/>
      <w:outlineLvl w:val="6"/>
    </w:pPr>
    <w:rPr>
      <w:rFonts w:ascii="Times New Roman" w:eastAsia="Times New Roman" w:hAnsi="Times New Roman" w:cs="Times New Roman"/>
      <w:b/>
      <w:color w:val="auto"/>
      <w:kern w:val="28"/>
      <w:sz w:val="22"/>
      <w:szCs w:val="20"/>
      <w:lang w:bidi="fr-FR"/>
    </w:rPr>
  </w:style>
  <w:style w:type="paragraph" w:styleId="Heading8">
    <w:name w:val="heading 8"/>
    <w:basedOn w:val="Heading1"/>
    <w:next w:val="Normal"/>
    <w:link w:val="Heading8Char"/>
    <w:qFormat/>
    <w:rsid w:val="000828CD"/>
    <w:pPr>
      <w:keepLines w:val="0"/>
      <w:pageBreakBefore/>
      <w:numPr>
        <w:numId w:val="0"/>
      </w:numPr>
      <w:spacing w:before="120" w:after="60" w:line="240" w:lineRule="auto"/>
      <w:ind w:left="680" w:hanging="680"/>
      <w:outlineLvl w:val="7"/>
    </w:pPr>
    <w:rPr>
      <w:rFonts w:ascii="Times New Roman" w:eastAsia="Times New Roman" w:hAnsi="Times New Roman" w:cs="Times New Roman"/>
      <w:b/>
      <w:color w:val="auto"/>
      <w:kern w:val="28"/>
      <w:sz w:val="22"/>
      <w:szCs w:val="20"/>
      <w:lang w:bidi="fr-FR"/>
    </w:rPr>
  </w:style>
  <w:style w:type="paragraph" w:styleId="Heading9">
    <w:name w:val="heading 9"/>
    <w:basedOn w:val="Normal"/>
    <w:next w:val="Normal"/>
    <w:link w:val="Heading9Char"/>
    <w:uiPriority w:val="99"/>
    <w:unhideWhenUsed/>
    <w:qFormat/>
    <w:rsid w:val="00970C57"/>
    <w:pPr>
      <w:spacing w:before="240" w:after="60" w:line="240" w:lineRule="auto"/>
      <w:outlineLvl w:val="8"/>
    </w:pPr>
    <w:rPr>
      <w:rFonts w:ascii="Arial"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B30E2"/>
    <w:rPr>
      <w:rFonts w:asciiTheme="majorHAnsi" w:eastAsiaTheme="majorEastAsia" w:hAnsiTheme="majorHAnsi" w:cstheme="majorBidi"/>
      <w:color w:val="2E74B5" w:themeColor="accent1" w:themeShade="BF"/>
      <w:sz w:val="32"/>
      <w:szCs w:val="32"/>
      <w:lang w:eastAsia="fr-FR"/>
    </w:rPr>
  </w:style>
  <w:style w:type="character" w:customStyle="1" w:styleId="Heading2Char">
    <w:name w:val="Heading 2 Char"/>
    <w:basedOn w:val="DefaultParagraphFont"/>
    <w:link w:val="Heading2"/>
    <w:uiPriority w:val="99"/>
    <w:rsid w:val="005F3E2D"/>
    <w:rPr>
      <w:rFonts w:asciiTheme="majorHAnsi" w:eastAsiaTheme="majorEastAsia" w:hAnsiTheme="majorHAnsi" w:cstheme="majorBidi"/>
      <w:b/>
      <w:bCs/>
      <w:color w:val="00B050"/>
      <w:sz w:val="26"/>
      <w:szCs w:val="26"/>
      <w:lang w:eastAsia="fr-FR"/>
    </w:rPr>
  </w:style>
  <w:style w:type="character" w:customStyle="1" w:styleId="Heading3Char">
    <w:name w:val="Heading 3 Char"/>
    <w:basedOn w:val="DefaultParagraphFont"/>
    <w:link w:val="Heading3"/>
    <w:uiPriority w:val="99"/>
    <w:rsid w:val="009B30E2"/>
    <w:rPr>
      <w:rFonts w:asciiTheme="majorHAnsi" w:eastAsiaTheme="majorEastAsia" w:hAnsiTheme="majorHAnsi" w:cstheme="majorBidi"/>
      <w:color w:val="1F4D78" w:themeColor="accent1" w:themeShade="7F"/>
      <w:sz w:val="24"/>
      <w:szCs w:val="24"/>
      <w:lang w:eastAsia="fr-FR"/>
    </w:rPr>
  </w:style>
  <w:style w:type="character" w:customStyle="1" w:styleId="Heading4Char">
    <w:name w:val="Heading 4 Char"/>
    <w:basedOn w:val="DefaultParagraphFont"/>
    <w:link w:val="Heading4"/>
    <w:uiPriority w:val="99"/>
    <w:rsid w:val="00970C57"/>
    <w:rPr>
      <w:rFonts w:ascii="Times New Roman" w:eastAsiaTheme="minorEastAsia" w:hAnsi="Times New Roman"/>
      <w:b/>
      <w:bCs/>
      <w:i/>
      <w:iCs/>
      <w:sz w:val="24"/>
      <w:szCs w:val="24"/>
      <w:lang w:val="en-US"/>
    </w:rPr>
  </w:style>
  <w:style w:type="character" w:customStyle="1" w:styleId="Heading5Char">
    <w:name w:val="Heading 5 Char"/>
    <w:basedOn w:val="DefaultParagraphFont"/>
    <w:link w:val="Heading5"/>
    <w:uiPriority w:val="99"/>
    <w:rsid w:val="00970C57"/>
    <w:rPr>
      <w:rFonts w:ascii="Times New Roman" w:eastAsiaTheme="minorEastAsia" w:hAnsi="Times New Roman"/>
      <w:b/>
      <w:bCs/>
      <w:sz w:val="24"/>
      <w:szCs w:val="24"/>
      <w:u w:val="single"/>
      <w:lang w:val="en-US"/>
    </w:rPr>
  </w:style>
  <w:style w:type="character" w:customStyle="1" w:styleId="Heading7Char">
    <w:name w:val="Heading 7 Char"/>
    <w:basedOn w:val="DefaultParagraphFont"/>
    <w:link w:val="Heading7"/>
    <w:rsid w:val="000828CD"/>
    <w:rPr>
      <w:rFonts w:ascii="Times New Roman" w:eastAsia="Times New Roman" w:hAnsi="Times New Roman" w:cs="Times New Roman"/>
      <w:b/>
      <w:kern w:val="28"/>
      <w:szCs w:val="20"/>
      <w:lang w:eastAsia="fr-FR" w:bidi="fr-FR"/>
    </w:rPr>
  </w:style>
  <w:style w:type="character" w:customStyle="1" w:styleId="Heading8Char">
    <w:name w:val="Heading 8 Char"/>
    <w:basedOn w:val="DefaultParagraphFont"/>
    <w:link w:val="Heading8"/>
    <w:rsid w:val="000828CD"/>
    <w:rPr>
      <w:rFonts w:ascii="Times New Roman" w:eastAsia="Times New Roman" w:hAnsi="Times New Roman" w:cs="Times New Roman"/>
      <w:b/>
      <w:kern w:val="28"/>
      <w:szCs w:val="20"/>
      <w:lang w:eastAsia="fr-FR" w:bidi="fr-FR"/>
    </w:rPr>
  </w:style>
  <w:style w:type="character" w:customStyle="1" w:styleId="Heading9Char">
    <w:name w:val="Heading 9 Char"/>
    <w:basedOn w:val="DefaultParagraphFont"/>
    <w:link w:val="Heading9"/>
    <w:uiPriority w:val="99"/>
    <w:rsid w:val="00970C57"/>
    <w:rPr>
      <w:rFonts w:ascii="Arial" w:eastAsiaTheme="minorEastAsia" w:hAnsi="Arial" w:cs="Arial"/>
      <w:lang w:val="en-US"/>
    </w:rPr>
  </w:style>
  <w:style w:type="paragraph" w:styleId="ListParagraph">
    <w:name w:val="List Paragraph"/>
    <w:aliases w:val="References,Bullets,Paragraphe  revu,List Paragraph (numbered (a)),Numbered List Paragraph,Liste 1,List Paragraph1,List Bullet Mary,Celula,List Paragraph nowy,ReferencesCxSpLast,List_Paragraph,Multilevel para_II"/>
    <w:basedOn w:val="Normal"/>
    <w:link w:val="ListParagraphChar"/>
    <w:uiPriority w:val="34"/>
    <w:qFormat/>
    <w:rsid w:val="004E7C36"/>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References Char,Bullets Char,Paragraphe  revu Char,List Paragraph (numbered (a)) Char1,Numbered List Paragraph Char,Liste 1 Char,List Paragraph1 Char,List Bullet Mary Char,Celula Char1,List Paragraph nowy Char1,List_Paragraph Char"/>
    <w:basedOn w:val="DefaultParagraphFont"/>
    <w:link w:val="ListParagraph"/>
    <w:uiPriority w:val="34"/>
    <w:qFormat/>
    <w:locked/>
    <w:rsid w:val="004E7C36"/>
    <w:rPr>
      <w:rFonts w:ascii="Times New Roman" w:eastAsia="Times New Roman" w:hAnsi="Times New Roman" w:cs="Times New Roman"/>
      <w:sz w:val="24"/>
      <w:szCs w:val="24"/>
      <w:lang w:eastAsia="fr-FR"/>
    </w:r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Car,f"/>
    <w:basedOn w:val="Normal"/>
    <w:link w:val="FootnoteTextChar"/>
    <w:uiPriority w:val="99"/>
    <w:unhideWhenUsed/>
    <w:qFormat/>
    <w:rsid w:val="004E7C36"/>
    <w:pPr>
      <w:spacing w:after="0" w:line="240" w:lineRule="auto"/>
    </w:pPr>
    <w:rPr>
      <w:sz w:val="20"/>
      <w:szCs w:val="20"/>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Car Char,f Char1"/>
    <w:basedOn w:val="DefaultParagraphFont"/>
    <w:link w:val="FootnoteText"/>
    <w:uiPriority w:val="99"/>
    <w:rsid w:val="004E7C36"/>
    <w:rPr>
      <w:rFonts w:eastAsiaTheme="minorEastAsia"/>
      <w:sz w:val="20"/>
      <w:szCs w:val="20"/>
      <w:lang w:eastAsia="fr-FR"/>
    </w:rPr>
  </w:style>
  <w:style w:type="character" w:styleId="FootnoteReference">
    <w:name w:val="footnote reference"/>
    <w:aliases w:val="ftref,Footnote Reference Char Char Char,Carattere Char Carattere Carattere Char Carattere Char Carattere Char Char Char1 Char,Carattere Carattere Char Char Char Carattere Char,16 Poin,16 Point,Superscript 6 Point"/>
    <w:basedOn w:val="DefaultParagraphFont"/>
    <w:link w:val="16PointChar"/>
    <w:uiPriority w:val="99"/>
    <w:unhideWhenUsed/>
    <w:qFormat/>
    <w:rsid w:val="004E7C36"/>
    <w:rPr>
      <w:vertAlign w:val="superscript"/>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E566B6"/>
    <w:pPr>
      <w:spacing w:after="160" w:line="240" w:lineRule="exact"/>
    </w:pPr>
    <w:rPr>
      <w:rFonts w:eastAsiaTheme="minorHAnsi"/>
      <w:vertAlign w:val="superscript"/>
      <w:lang w:eastAsia="en-US"/>
    </w:rPr>
  </w:style>
  <w:style w:type="table" w:styleId="TableGrid">
    <w:name w:val="Table Grid"/>
    <w:basedOn w:val="TableNormal"/>
    <w:uiPriority w:val="39"/>
    <w:rsid w:val="004E7C36"/>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B30E2"/>
    <w:pPr>
      <w:spacing w:line="259" w:lineRule="auto"/>
      <w:outlineLvl w:val="9"/>
    </w:pPr>
    <w:rPr>
      <w:lang w:val="en-US" w:eastAsia="en-US"/>
    </w:rPr>
  </w:style>
  <w:style w:type="paragraph" w:styleId="TOC2">
    <w:name w:val="toc 2"/>
    <w:basedOn w:val="Normal"/>
    <w:next w:val="Normal"/>
    <w:autoRedefine/>
    <w:uiPriority w:val="39"/>
    <w:unhideWhenUsed/>
    <w:rsid w:val="009B30E2"/>
    <w:pPr>
      <w:spacing w:after="100" w:line="259" w:lineRule="auto"/>
      <w:ind w:left="220"/>
    </w:pPr>
    <w:rPr>
      <w:rFonts w:cs="Times New Roman"/>
      <w:lang w:val="en-US" w:eastAsia="en-US"/>
    </w:rPr>
  </w:style>
  <w:style w:type="paragraph" w:styleId="TOC1">
    <w:name w:val="toc 1"/>
    <w:basedOn w:val="Normal"/>
    <w:next w:val="Normal"/>
    <w:autoRedefine/>
    <w:uiPriority w:val="39"/>
    <w:unhideWhenUsed/>
    <w:rsid w:val="009B30E2"/>
    <w:pPr>
      <w:spacing w:after="100" w:line="259" w:lineRule="auto"/>
    </w:pPr>
    <w:rPr>
      <w:rFonts w:cs="Times New Roman"/>
      <w:lang w:val="en-US" w:eastAsia="en-US"/>
    </w:rPr>
  </w:style>
  <w:style w:type="paragraph" w:styleId="TOC3">
    <w:name w:val="toc 3"/>
    <w:basedOn w:val="Normal"/>
    <w:next w:val="Normal"/>
    <w:autoRedefine/>
    <w:uiPriority w:val="39"/>
    <w:unhideWhenUsed/>
    <w:rsid w:val="009B30E2"/>
    <w:pPr>
      <w:spacing w:after="100" w:line="259" w:lineRule="auto"/>
      <w:ind w:left="440"/>
    </w:pPr>
    <w:rPr>
      <w:rFonts w:cs="Times New Roman"/>
      <w:lang w:val="en-US" w:eastAsia="en-US"/>
    </w:rPr>
  </w:style>
  <w:style w:type="paragraph" w:styleId="Subtitle">
    <w:name w:val="Subtitle"/>
    <w:basedOn w:val="Normal"/>
    <w:next w:val="Normal"/>
    <w:link w:val="SubtitleChar"/>
    <w:uiPriority w:val="11"/>
    <w:qFormat/>
    <w:rsid w:val="009B30E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9B30E2"/>
    <w:rPr>
      <w:rFonts w:eastAsiaTheme="minorEastAsia"/>
      <w:color w:val="5A5A5A" w:themeColor="text1" w:themeTint="A5"/>
      <w:spacing w:val="15"/>
      <w:lang w:eastAsia="fr-FR"/>
    </w:rPr>
  </w:style>
  <w:style w:type="character" w:styleId="Hyperlink">
    <w:name w:val="Hyperlink"/>
    <w:basedOn w:val="DefaultParagraphFont"/>
    <w:uiPriority w:val="99"/>
    <w:unhideWhenUsed/>
    <w:rsid w:val="009B30E2"/>
    <w:rPr>
      <w:color w:val="0563C1" w:themeColor="hyperlink"/>
      <w:u w:val="single"/>
    </w:rPr>
  </w:style>
  <w:style w:type="character" w:styleId="SubtleEmphasis">
    <w:name w:val="Subtle Emphasis"/>
    <w:basedOn w:val="DefaultParagraphFont"/>
    <w:uiPriority w:val="19"/>
    <w:qFormat/>
    <w:rsid w:val="009B30E2"/>
    <w:rPr>
      <w:i/>
      <w:iCs/>
      <w:color w:val="404040" w:themeColor="text1" w:themeTint="BF"/>
    </w:rPr>
  </w:style>
  <w:style w:type="paragraph" w:customStyle="1" w:styleId="Style2">
    <w:name w:val="Style2"/>
    <w:basedOn w:val="Heading2"/>
    <w:link w:val="Style2Char"/>
    <w:autoRedefine/>
    <w:qFormat/>
    <w:rsid w:val="009B30E2"/>
    <w:pPr>
      <w:numPr>
        <w:numId w:val="1"/>
      </w:numPr>
    </w:pPr>
    <w:rPr>
      <w:sz w:val="22"/>
    </w:rPr>
  </w:style>
  <w:style w:type="character" w:customStyle="1" w:styleId="Style2Char">
    <w:name w:val="Style2 Char"/>
    <w:basedOn w:val="Heading2Char"/>
    <w:link w:val="Style2"/>
    <w:rsid w:val="009B30E2"/>
    <w:rPr>
      <w:rFonts w:asciiTheme="majorHAnsi" w:eastAsiaTheme="majorEastAsia" w:hAnsiTheme="majorHAnsi" w:cstheme="majorBidi"/>
      <w:b/>
      <w:bCs/>
      <w:color w:val="00B050"/>
      <w:sz w:val="26"/>
      <w:szCs w:val="26"/>
      <w:lang w:eastAsia="fr-FR"/>
    </w:rPr>
  </w:style>
  <w:style w:type="paragraph" w:styleId="Header">
    <w:name w:val="header"/>
    <w:basedOn w:val="Normal"/>
    <w:link w:val="HeaderChar"/>
    <w:uiPriority w:val="99"/>
    <w:unhideWhenUsed/>
    <w:rsid w:val="009B30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0E2"/>
    <w:rPr>
      <w:rFonts w:eastAsiaTheme="minorEastAsia"/>
      <w:lang w:eastAsia="fr-FR"/>
    </w:rPr>
  </w:style>
  <w:style w:type="paragraph" w:styleId="Footer">
    <w:name w:val="footer"/>
    <w:basedOn w:val="Normal"/>
    <w:link w:val="FooterChar"/>
    <w:uiPriority w:val="99"/>
    <w:unhideWhenUsed/>
    <w:rsid w:val="009B30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0E2"/>
    <w:rPr>
      <w:rFonts w:eastAsiaTheme="minorEastAsia"/>
      <w:lang w:eastAsia="fr-FR"/>
    </w:rPr>
  </w:style>
  <w:style w:type="paragraph" w:customStyle="1" w:styleId="Style3">
    <w:name w:val="Style3"/>
    <w:basedOn w:val="Heading2"/>
    <w:link w:val="Style3Char"/>
    <w:qFormat/>
    <w:rsid w:val="00B277C0"/>
    <w:pPr>
      <w:numPr>
        <w:numId w:val="2"/>
      </w:numPr>
    </w:pPr>
    <w:rPr>
      <w:rFonts w:eastAsiaTheme="minorEastAsia"/>
    </w:rPr>
  </w:style>
  <w:style w:type="character" w:customStyle="1" w:styleId="Style3Char">
    <w:name w:val="Style3 Char"/>
    <w:basedOn w:val="Heading2Char"/>
    <w:link w:val="Style3"/>
    <w:rsid w:val="00B277C0"/>
    <w:rPr>
      <w:rFonts w:asciiTheme="majorHAnsi" w:eastAsiaTheme="minorEastAsia" w:hAnsiTheme="majorHAnsi" w:cstheme="majorBidi"/>
      <w:b/>
      <w:bCs/>
      <w:color w:val="00B050"/>
      <w:sz w:val="26"/>
      <w:szCs w:val="26"/>
      <w:lang w:eastAsia="fr-FR"/>
    </w:rPr>
  </w:style>
  <w:style w:type="paragraph" w:styleId="BalloonText">
    <w:name w:val="Balloon Text"/>
    <w:basedOn w:val="Normal"/>
    <w:link w:val="BalloonTextChar"/>
    <w:uiPriority w:val="99"/>
    <w:unhideWhenUsed/>
    <w:rsid w:val="00E207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2072F"/>
    <w:rPr>
      <w:rFonts w:ascii="Segoe UI" w:eastAsiaTheme="minorEastAsia" w:hAnsi="Segoe UI" w:cs="Segoe UI"/>
      <w:sz w:val="18"/>
      <w:szCs w:val="18"/>
      <w:lang w:eastAsia="fr-FR"/>
    </w:rPr>
  </w:style>
  <w:style w:type="character" w:styleId="CommentReference">
    <w:name w:val="annotation reference"/>
    <w:basedOn w:val="DefaultParagraphFont"/>
    <w:uiPriority w:val="99"/>
    <w:unhideWhenUsed/>
    <w:rsid w:val="003B1FF8"/>
    <w:rPr>
      <w:sz w:val="16"/>
      <w:szCs w:val="16"/>
    </w:rPr>
  </w:style>
  <w:style w:type="paragraph" w:styleId="CommentText">
    <w:name w:val="annotation text"/>
    <w:basedOn w:val="Normal"/>
    <w:link w:val="CommentTextChar"/>
    <w:uiPriority w:val="99"/>
    <w:unhideWhenUsed/>
    <w:rsid w:val="003B1FF8"/>
    <w:pPr>
      <w:spacing w:line="240" w:lineRule="auto"/>
    </w:pPr>
    <w:rPr>
      <w:sz w:val="20"/>
      <w:szCs w:val="20"/>
    </w:rPr>
  </w:style>
  <w:style w:type="character" w:customStyle="1" w:styleId="CommentTextChar">
    <w:name w:val="Comment Text Char"/>
    <w:basedOn w:val="DefaultParagraphFont"/>
    <w:link w:val="CommentText"/>
    <w:uiPriority w:val="99"/>
    <w:rsid w:val="003B1FF8"/>
    <w:rPr>
      <w:rFonts w:eastAsiaTheme="minorEastAsia"/>
      <w:sz w:val="20"/>
      <w:szCs w:val="20"/>
      <w:lang w:eastAsia="fr-FR"/>
    </w:rPr>
  </w:style>
  <w:style w:type="paragraph" w:styleId="CommentSubject">
    <w:name w:val="annotation subject"/>
    <w:basedOn w:val="CommentText"/>
    <w:next w:val="CommentText"/>
    <w:link w:val="CommentSubjectChar"/>
    <w:uiPriority w:val="99"/>
    <w:unhideWhenUsed/>
    <w:rsid w:val="003B1FF8"/>
    <w:rPr>
      <w:b/>
      <w:bCs/>
    </w:rPr>
  </w:style>
  <w:style w:type="character" w:customStyle="1" w:styleId="CommentSubjectChar">
    <w:name w:val="Comment Subject Char"/>
    <w:basedOn w:val="CommentTextChar"/>
    <w:link w:val="CommentSubject"/>
    <w:uiPriority w:val="99"/>
    <w:rsid w:val="003B1FF8"/>
    <w:rPr>
      <w:rFonts w:eastAsiaTheme="minorEastAsia"/>
      <w:b/>
      <w:bCs/>
      <w:sz w:val="20"/>
      <w:szCs w:val="20"/>
      <w:lang w:eastAsia="fr-FR"/>
    </w:rPr>
  </w:style>
  <w:style w:type="character" w:styleId="Emphasis">
    <w:name w:val="Emphasis"/>
    <w:basedOn w:val="DefaultParagraphFont"/>
    <w:uiPriority w:val="20"/>
    <w:qFormat/>
    <w:rsid w:val="00970C57"/>
    <w:rPr>
      <w:b/>
      <w:bCs/>
      <w:i w:val="0"/>
      <w:iCs w:val="0"/>
    </w:rPr>
  </w:style>
  <w:style w:type="character" w:styleId="Strong">
    <w:name w:val="Strong"/>
    <w:basedOn w:val="DefaultParagraphFont"/>
    <w:uiPriority w:val="22"/>
    <w:qFormat/>
    <w:rsid w:val="00970C57"/>
    <w:rPr>
      <w:rFonts w:ascii="Times New Roman" w:hAnsi="Times New Roman" w:cs="Times New Roman" w:hint="default"/>
      <w:b/>
      <w:bCs/>
    </w:rPr>
  </w:style>
  <w:style w:type="character" w:customStyle="1" w:styleId="FootnoteTextChar1">
    <w:name w:val="Footnote Text Char1"/>
    <w:aliases w:val="single space Char1,fn Char1,FOOTNOTES Char1,Nbpage Moens Char1,Footnote Text Char2 Char1,Footnote Text Char1 Char Char1,Footnote Text Char Char Char1 Char1,Footnote Text Char1 Char Char Char1 Char1,A Char1,footnote text Char,f Char"/>
    <w:basedOn w:val="DefaultParagraphFont"/>
    <w:uiPriority w:val="99"/>
    <w:rsid w:val="00970C57"/>
    <w:rPr>
      <w:sz w:val="20"/>
      <w:szCs w:val="20"/>
    </w:rPr>
  </w:style>
  <w:style w:type="character" w:customStyle="1" w:styleId="CaptionChar1">
    <w:name w:val="Caption Char1"/>
    <w:aliases w:val="Caption Char Char Char,Caption Char Char1"/>
    <w:link w:val="Caption"/>
    <w:locked/>
    <w:rsid w:val="00970C57"/>
    <w:rPr>
      <w:i/>
      <w:iCs/>
      <w:color w:val="44546A" w:themeColor="text2"/>
      <w:sz w:val="18"/>
      <w:szCs w:val="18"/>
    </w:rPr>
  </w:style>
  <w:style w:type="paragraph" w:styleId="Caption">
    <w:name w:val="caption"/>
    <w:aliases w:val="Caption Char Char,Caption Char"/>
    <w:basedOn w:val="Normal"/>
    <w:next w:val="Normal"/>
    <w:link w:val="CaptionChar1"/>
    <w:unhideWhenUsed/>
    <w:qFormat/>
    <w:rsid w:val="00970C57"/>
    <w:pPr>
      <w:spacing w:line="240" w:lineRule="auto"/>
    </w:pPr>
    <w:rPr>
      <w:rFonts w:eastAsiaTheme="minorHAnsi"/>
      <w:i/>
      <w:iCs/>
      <w:color w:val="44546A" w:themeColor="text2"/>
      <w:sz w:val="18"/>
      <w:szCs w:val="18"/>
      <w:lang w:eastAsia="en-US"/>
    </w:rPr>
  </w:style>
  <w:style w:type="character" w:customStyle="1" w:styleId="EndnoteTextChar">
    <w:name w:val="Endnote Text Char"/>
    <w:basedOn w:val="DefaultParagraphFont"/>
    <w:link w:val="EndnoteText"/>
    <w:uiPriority w:val="99"/>
    <w:semiHidden/>
    <w:rsid w:val="00970C57"/>
    <w:rPr>
      <w:rFonts w:ascii="Times New Roman" w:eastAsiaTheme="minorEastAsia" w:hAnsi="Times New Roman"/>
      <w:sz w:val="20"/>
      <w:szCs w:val="20"/>
      <w:lang w:val="en-US"/>
    </w:rPr>
  </w:style>
  <w:style w:type="paragraph" w:styleId="EndnoteText">
    <w:name w:val="endnote text"/>
    <w:basedOn w:val="Normal"/>
    <w:link w:val="EndnoteTextChar"/>
    <w:uiPriority w:val="99"/>
    <w:semiHidden/>
    <w:unhideWhenUsed/>
    <w:rsid w:val="00970C57"/>
    <w:pPr>
      <w:spacing w:after="0" w:line="240" w:lineRule="auto"/>
    </w:pPr>
    <w:rPr>
      <w:rFonts w:ascii="Times New Roman" w:hAnsi="Times New Roman"/>
      <w:sz w:val="20"/>
      <w:szCs w:val="20"/>
      <w:lang w:val="en-US" w:eastAsia="en-US"/>
    </w:rPr>
  </w:style>
  <w:style w:type="character" w:customStyle="1" w:styleId="BodyTextChar">
    <w:name w:val="Body Text Char"/>
    <w:basedOn w:val="DefaultParagraphFont"/>
    <w:link w:val="BodyText"/>
    <w:uiPriority w:val="99"/>
    <w:rsid w:val="00970C57"/>
    <w:rPr>
      <w:rFonts w:ascii="Times New Roman" w:eastAsiaTheme="minorEastAsia" w:hAnsi="Times New Roman" w:cs="Times New Roman"/>
      <w:b/>
      <w:bCs/>
      <w:color w:val="000000"/>
      <w:sz w:val="24"/>
      <w:szCs w:val="24"/>
      <w:lang w:val="en-US"/>
    </w:rPr>
  </w:style>
  <w:style w:type="paragraph" w:styleId="BodyText">
    <w:name w:val="Body Text"/>
    <w:basedOn w:val="Normal"/>
    <w:link w:val="BodyTextChar"/>
    <w:uiPriority w:val="99"/>
    <w:unhideWhenUsed/>
    <w:rsid w:val="00970C57"/>
    <w:pPr>
      <w:spacing w:after="0" w:line="240" w:lineRule="auto"/>
    </w:pPr>
    <w:rPr>
      <w:rFonts w:ascii="Times New Roman" w:hAnsi="Times New Roman" w:cs="Times New Roman"/>
      <w:b/>
      <w:bCs/>
      <w:color w:val="000000"/>
      <w:sz w:val="24"/>
      <w:szCs w:val="24"/>
      <w:lang w:val="en-US" w:eastAsia="en-US"/>
    </w:rPr>
  </w:style>
  <w:style w:type="character" w:customStyle="1" w:styleId="BodyText2Char">
    <w:name w:val="Body Text 2 Char"/>
    <w:basedOn w:val="DefaultParagraphFont"/>
    <w:link w:val="BodyText2"/>
    <w:uiPriority w:val="99"/>
    <w:rsid w:val="00970C57"/>
    <w:rPr>
      <w:rFonts w:ascii="Helvetica" w:eastAsiaTheme="minorEastAsia" w:hAnsi="Helvetica" w:cs="Helvetica"/>
      <w:color w:val="000000"/>
      <w:sz w:val="20"/>
      <w:szCs w:val="20"/>
      <w:lang w:val="en-US"/>
    </w:rPr>
  </w:style>
  <w:style w:type="paragraph" w:styleId="BodyText2">
    <w:name w:val="Body Text 2"/>
    <w:basedOn w:val="Normal"/>
    <w:link w:val="BodyText2Char"/>
    <w:uiPriority w:val="99"/>
    <w:unhideWhenUsed/>
    <w:rsid w:val="00970C57"/>
    <w:pPr>
      <w:autoSpaceDE w:val="0"/>
      <w:autoSpaceDN w:val="0"/>
      <w:adjustRightInd w:val="0"/>
      <w:spacing w:after="0" w:line="240" w:lineRule="auto"/>
    </w:pPr>
    <w:rPr>
      <w:rFonts w:ascii="Helvetica" w:hAnsi="Helvetica" w:cs="Helvetica"/>
      <w:color w:val="000000"/>
      <w:sz w:val="20"/>
      <w:szCs w:val="20"/>
      <w:lang w:val="en-US" w:eastAsia="en-US"/>
    </w:rPr>
  </w:style>
  <w:style w:type="paragraph" w:styleId="NoSpacing">
    <w:name w:val="No Spacing"/>
    <w:basedOn w:val="Normal"/>
    <w:uiPriority w:val="99"/>
    <w:qFormat/>
    <w:rsid w:val="00970C57"/>
    <w:pPr>
      <w:spacing w:after="0" w:line="240" w:lineRule="auto"/>
    </w:pPr>
    <w:rPr>
      <w:rFonts w:ascii="Cambria" w:hAnsi="Cambria" w:cs="Cambria"/>
      <w:lang w:val="en-US" w:eastAsia="en-US"/>
    </w:rPr>
  </w:style>
  <w:style w:type="character" w:customStyle="1" w:styleId="ListParagraphChar1">
    <w:name w:val="List Paragraph Char1"/>
    <w:aliases w:val="Bullets Char1,Paragraphe  revu Char1,References Char1,List Paragraph (numbered (a)) Char,Numbered List Paragraph Char1,Liste 1 Char1,List Paragraph1 Char1,List Bullet Mary Char1,Celula Char,List Paragraph nowy Char"/>
    <w:basedOn w:val="DefaultParagraphFont"/>
    <w:locked/>
    <w:rsid w:val="00970C57"/>
  </w:style>
  <w:style w:type="paragraph" w:customStyle="1" w:styleId="Default">
    <w:name w:val="Default"/>
    <w:rsid w:val="00970C5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DSHeading2">
    <w:name w:val="PDS Heading 2"/>
    <w:next w:val="Normal"/>
    <w:rsid w:val="00970C57"/>
    <w:pPr>
      <w:keepNext/>
      <w:numPr>
        <w:ilvl w:val="1"/>
        <w:numId w:val="11"/>
      </w:numPr>
      <w:spacing w:after="0" w:line="240" w:lineRule="auto"/>
    </w:pPr>
    <w:rPr>
      <w:rFonts w:ascii="Times New Roman" w:eastAsiaTheme="minorEastAsia" w:hAnsi="Times New Roman" w:cs="Times New Roman"/>
      <w:b/>
      <w:bCs/>
      <w:sz w:val="24"/>
      <w:szCs w:val="24"/>
      <w:lang w:eastAsia="fr-FR"/>
    </w:rPr>
  </w:style>
  <w:style w:type="paragraph" w:customStyle="1" w:styleId="PDSHeading1">
    <w:name w:val="PDS Heading 1"/>
    <w:next w:val="PDSHeading2"/>
    <w:rsid w:val="00970C57"/>
    <w:pPr>
      <w:keepNext/>
      <w:numPr>
        <w:numId w:val="11"/>
      </w:numPr>
      <w:spacing w:after="0" w:line="240" w:lineRule="auto"/>
      <w:outlineLvl w:val="0"/>
    </w:pPr>
    <w:rPr>
      <w:rFonts w:ascii="Times New Roman" w:eastAsiaTheme="minorEastAsia" w:hAnsi="Times New Roman" w:cs="Times New Roman"/>
      <w:b/>
      <w:bCs/>
      <w:caps/>
      <w:sz w:val="24"/>
      <w:szCs w:val="24"/>
      <w:lang w:val="en-US"/>
    </w:rPr>
  </w:style>
  <w:style w:type="paragraph" w:customStyle="1" w:styleId="Heading1a">
    <w:name w:val="Heading 1a"/>
    <w:basedOn w:val="Normal"/>
    <w:next w:val="Normal"/>
    <w:uiPriority w:val="99"/>
    <w:rsid w:val="00970C57"/>
    <w:pPr>
      <w:keepNext/>
      <w:keepLines/>
      <w:numPr>
        <w:numId w:val="12"/>
      </w:numPr>
      <w:spacing w:before="1440" w:after="240" w:line="240" w:lineRule="auto"/>
      <w:jc w:val="center"/>
      <w:outlineLvl w:val="0"/>
    </w:pPr>
    <w:rPr>
      <w:rFonts w:ascii="Times New Roman" w:hAnsi="Times New Roman" w:cs="Times New Roman"/>
      <w:b/>
      <w:bCs/>
      <w:caps/>
      <w:sz w:val="32"/>
      <w:szCs w:val="32"/>
      <w:lang w:val="en-US" w:eastAsia="en-US"/>
    </w:rPr>
  </w:style>
  <w:style w:type="paragraph" w:customStyle="1" w:styleId="MainParawithChapter">
    <w:name w:val="Main Para with Chapter#"/>
    <w:basedOn w:val="Normal"/>
    <w:uiPriority w:val="99"/>
    <w:rsid w:val="00970C57"/>
    <w:pPr>
      <w:spacing w:after="240" w:line="240" w:lineRule="auto"/>
      <w:outlineLvl w:val="1"/>
    </w:pPr>
    <w:rPr>
      <w:rFonts w:ascii="Times New Roman" w:hAnsi="Times New Roman" w:cs="Times New Roman"/>
      <w:sz w:val="24"/>
      <w:szCs w:val="24"/>
      <w:lang w:val="en-US" w:eastAsia="en-US"/>
    </w:rPr>
  </w:style>
  <w:style w:type="character" w:customStyle="1" w:styleId="MainParanoChapterCharChar">
    <w:name w:val="Main Para no Chapter # Char Char"/>
    <w:basedOn w:val="DefaultParagraphFont"/>
    <w:link w:val="MainParanoChapter"/>
    <w:uiPriority w:val="99"/>
    <w:locked/>
    <w:rsid w:val="00970C57"/>
    <w:rPr>
      <w:rFonts w:ascii="Times New Roman" w:eastAsiaTheme="minorEastAsia" w:hAnsi="Times New Roman" w:cs="Times New Roman"/>
      <w:sz w:val="24"/>
      <w:szCs w:val="24"/>
      <w:lang w:val="en-US"/>
    </w:rPr>
  </w:style>
  <w:style w:type="paragraph" w:customStyle="1" w:styleId="MainParanoChapter">
    <w:name w:val="Main Para no Chapter #"/>
    <w:basedOn w:val="Normal"/>
    <w:link w:val="MainParanoChapterCharChar"/>
    <w:uiPriority w:val="99"/>
    <w:rsid w:val="00970C57"/>
    <w:pPr>
      <w:tabs>
        <w:tab w:val="num" w:pos="1080"/>
      </w:tabs>
      <w:spacing w:after="240" w:line="240" w:lineRule="auto"/>
      <w:outlineLvl w:val="1"/>
    </w:pPr>
    <w:rPr>
      <w:rFonts w:ascii="Times New Roman" w:hAnsi="Times New Roman" w:cs="Times New Roman"/>
      <w:sz w:val="24"/>
      <w:szCs w:val="24"/>
      <w:lang w:val="en-US" w:eastAsia="en-US"/>
    </w:rPr>
  </w:style>
  <w:style w:type="paragraph" w:customStyle="1" w:styleId="Sub-Para1underX">
    <w:name w:val="Sub-Para 1 under X."/>
    <w:basedOn w:val="Normal"/>
    <w:uiPriority w:val="99"/>
    <w:rsid w:val="00970C57"/>
    <w:pPr>
      <w:spacing w:after="240" w:line="240" w:lineRule="auto"/>
      <w:ind w:left="1440" w:hanging="720"/>
      <w:outlineLvl w:val="2"/>
    </w:pPr>
    <w:rPr>
      <w:rFonts w:ascii="Times New Roman" w:hAnsi="Times New Roman" w:cs="Times New Roman"/>
      <w:sz w:val="24"/>
      <w:szCs w:val="24"/>
      <w:lang w:val="en-US" w:eastAsia="en-US"/>
    </w:rPr>
  </w:style>
  <w:style w:type="paragraph" w:customStyle="1" w:styleId="Sub-Para1underXY">
    <w:name w:val="Sub-Para 1 under X.Y"/>
    <w:basedOn w:val="Normal"/>
    <w:uiPriority w:val="99"/>
    <w:rsid w:val="00970C57"/>
    <w:pPr>
      <w:spacing w:after="240" w:line="240" w:lineRule="auto"/>
      <w:ind w:left="1440" w:hanging="720"/>
      <w:outlineLvl w:val="2"/>
    </w:pPr>
    <w:rPr>
      <w:rFonts w:ascii="Times New Roman" w:hAnsi="Times New Roman" w:cs="Times New Roman"/>
      <w:sz w:val="24"/>
      <w:szCs w:val="24"/>
      <w:lang w:val="en-US" w:eastAsia="en-US"/>
    </w:rPr>
  </w:style>
  <w:style w:type="paragraph" w:customStyle="1" w:styleId="Sub-Para2underX">
    <w:name w:val="Sub-Para 2 under X."/>
    <w:basedOn w:val="Normal"/>
    <w:uiPriority w:val="99"/>
    <w:rsid w:val="00970C57"/>
    <w:pPr>
      <w:spacing w:after="240" w:line="240" w:lineRule="auto"/>
      <w:ind w:left="2160" w:hanging="720"/>
      <w:outlineLvl w:val="3"/>
    </w:pPr>
    <w:rPr>
      <w:rFonts w:ascii="Times New Roman" w:hAnsi="Times New Roman" w:cs="Times New Roman"/>
      <w:sz w:val="24"/>
      <w:szCs w:val="24"/>
      <w:lang w:val="en-US" w:eastAsia="en-US"/>
    </w:rPr>
  </w:style>
  <w:style w:type="paragraph" w:customStyle="1" w:styleId="Sub-Para2underXY">
    <w:name w:val="Sub-Para 2 under X.Y"/>
    <w:basedOn w:val="Normal"/>
    <w:uiPriority w:val="99"/>
    <w:rsid w:val="00970C57"/>
    <w:pPr>
      <w:spacing w:after="240" w:line="240" w:lineRule="auto"/>
      <w:ind w:left="2160" w:hanging="720"/>
      <w:outlineLvl w:val="3"/>
    </w:pPr>
    <w:rPr>
      <w:rFonts w:ascii="Times New Roman" w:hAnsi="Times New Roman" w:cs="Times New Roman"/>
      <w:sz w:val="24"/>
      <w:szCs w:val="24"/>
      <w:lang w:val="en-US" w:eastAsia="en-US"/>
    </w:rPr>
  </w:style>
  <w:style w:type="paragraph" w:customStyle="1" w:styleId="Sub-Para3underX">
    <w:name w:val="Sub-Para 3 under X."/>
    <w:basedOn w:val="Normal"/>
    <w:uiPriority w:val="99"/>
    <w:rsid w:val="00970C57"/>
    <w:pPr>
      <w:spacing w:after="240" w:line="240" w:lineRule="auto"/>
      <w:ind w:left="2880" w:hanging="720"/>
      <w:outlineLvl w:val="4"/>
    </w:pPr>
    <w:rPr>
      <w:rFonts w:ascii="Times New Roman" w:hAnsi="Times New Roman" w:cs="Times New Roman"/>
      <w:sz w:val="24"/>
      <w:szCs w:val="24"/>
      <w:lang w:val="en-US" w:eastAsia="en-US"/>
    </w:rPr>
  </w:style>
  <w:style w:type="paragraph" w:customStyle="1" w:styleId="Sub-Para3underXY">
    <w:name w:val="Sub-Para 3 under X.Y"/>
    <w:basedOn w:val="Normal"/>
    <w:uiPriority w:val="99"/>
    <w:rsid w:val="00970C57"/>
    <w:pPr>
      <w:spacing w:after="240" w:line="240" w:lineRule="auto"/>
      <w:ind w:left="2880" w:hanging="720"/>
      <w:outlineLvl w:val="4"/>
    </w:pPr>
    <w:rPr>
      <w:rFonts w:ascii="Times New Roman" w:hAnsi="Times New Roman" w:cs="Times New Roman"/>
      <w:sz w:val="24"/>
      <w:szCs w:val="24"/>
      <w:lang w:val="en-US" w:eastAsia="en-US"/>
    </w:rPr>
  </w:style>
  <w:style w:type="paragraph" w:customStyle="1" w:styleId="Sub-Para4underX">
    <w:name w:val="Sub-Para 4 under X."/>
    <w:basedOn w:val="Normal"/>
    <w:uiPriority w:val="99"/>
    <w:rsid w:val="00970C57"/>
    <w:pPr>
      <w:spacing w:after="240" w:line="240" w:lineRule="auto"/>
      <w:ind w:left="3600" w:hanging="720"/>
      <w:outlineLvl w:val="5"/>
    </w:pPr>
    <w:rPr>
      <w:rFonts w:ascii="Times New Roman" w:hAnsi="Times New Roman" w:cs="Times New Roman"/>
      <w:sz w:val="24"/>
      <w:szCs w:val="24"/>
      <w:lang w:val="en-US" w:eastAsia="en-US"/>
    </w:rPr>
  </w:style>
  <w:style w:type="paragraph" w:customStyle="1" w:styleId="Sub-Para4underXY">
    <w:name w:val="Sub-Para 4 under X.Y"/>
    <w:basedOn w:val="Normal"/>
    <w:uiPriority w:val="99"/>
    <w:rsid w:val="00970C57"/>
    <w:pPr>
      <w:spacing w:after="240" w:line="240" w:lineRule="auto"/>
      <w:ind w:left="3600" w:hanging="720"/>
      <w:outlineLvl w:val="5"/>
    </w:pPr>
    <w:rPr>
      <w:rFonts w:ascii="Times New Roman" w:hAnsi="Times New Roman" w:cs="Times New Roman"/>
      <w:sz w:val="24"/>
      <w:szCs w:val="24"/>
      <w:lang w:val="en-US" w:eastAsia="en-US"/>
    </w:rPr>
  </w:style>
  <w:style w:type="paragraph" w:customStyle="1" w:styleId="Bullet">
    <w:name w:val="Bullet"/>
    <w:basedOn w:val="Normal"/>
    <w:uiPriority w:val="99"/>
    <w:rsid w:val="00970C57"/>
    <w:pPr>
      <w:numPr>
        <w:numId w:val="13"/>
      </w:numPr>
      <w:spacing w:after="0" w:line="240" w:lineRule="auto"/>
    </w:pPr>
    <w:rPr>
      <w:rFonts w:ascii="Times New Roman" w:hAnsi="Times New Roman" w:cs="Times New Roman"/>
      <w:sz w:val="24"/>
      <w:szCs w:val="24"/>
      <w:lang w:val="en-US" w:eastAsia="en-US"/>
    </w:rPr>
  </w:style>
  <w:style w:type="character" w:customStyle="1" w:styleId="BankNormalChar">
    <w:name w:val="BankNormal Char"/>
    <w:basedOn w:val="DefaultParagraphFont"/>
    <w:link w:val="BankNormal"/>
    <w:uiPriority w:val="99"/>
    <w:locked/>
    <w:rsid w:val="00970C57"/>
    <w:rPr>
      <w:rFonts w:ascii="Times New Roman" w:eastAsiaTheme="minorEastAsia" w:hAnsi="Times New Roman" w:cs="Times New Roman"/>
      <w:sz w:val="24"/>
      <w:szCs w:val="24"/>
      <w:lang w:val="en-US"/>
    </w:rPr>
  </w:style>
  <w:style w:type="paragraph" w:customStyle="1" w:styleId="BankNormal">
    <w:name w:val="BankNormal"/>
    <w:basedOn w:val="Normal"/>
    <w:link w:val="BankNormalChar"/>
    <w:uiPriority w:val="99"/>
    <w:rsid w:val="00970C57"/>
    <w:pPr>
      <w:spacing w:after="240" w:line="240" w:lineRule="auto"/>
    </w:pPr>
    <w:rPr>
      <w:rFonts w:ascii="Times New Roman" w:hAnsi="Times New Roman" w:cs="Times New Roman"/>
      <w:sz w:val="24"/>
      <w:szCs w:val="24"/>
      <w:lang w:val="en-US" w:eastAsia="en-US"/>
    </w:rPr>
  </w:style>
  <w:style w:type="paragraph" w:customStyle="1" w:styleId="PDSAnnexHeading">
    <w:name w:val="PDS Annex Heading"/>
    <w:next w:val="Normal"/>
    <w:uiPriority w:val="99"/>
    <w:rsid w:val="00970C57"/>
    <w:pPr>
      <w:keepNext/>
      <w:spacing w:after="120" w:line="240" w:lineRule="auto"/>
      <w:jc w:val="center"/>
    </w:pPr>
    <w:rPr>
      <w:rFonts w:ascii="Times New Roman" w:eastAsiaTheme="minorEastAsia" w:hAnsi="Times New Roman" w:cs="Times New Roman"/>
      <w:b/>
      <w:bCs/>
      <w:sz w:val="24"/>
      <w:szCs w:val="24"/>
      <w:lang w:val="en-US"/>
    </w:rPr>
  </w:style>
  <w:style w:type="paragraph" w:customStyle="1" w:styleId="MediumGrid1-Accent21">
    <w:name w:val="Medium Grid 1 - Accent 21"/>
    <w:basedOn w:val="Normal"/>
    <w:uiPriority w:val="99"/>
    <w:rsid w:val="00970C57"/>
    <w:pPr>
      <w:spacing w:after="0" w:line="240" w:lineRule="auto"/>
      <w:ind w:left="720"/>
    </w:pPr>
    <w:rPr>
      <w:rFonts w:ascii="Times New Roman" w:hAnsi="Times New Roman" w:cs="Times New Roman"/>
      <w:sz w:val="24"/>
      <w:szCs w:val="24"/>
      <w:lang w:val="en-US" w:eastAsia="en-US"/>
    </w:rPr>
  </w:style>
  <w:style w:type="paragraph" w:customStyle="1" w:styleId="NumberedparagraphNEW">
    <w:name w:val="Numbered paragraph NEW"/>
    <w:basedOn w:val="Normal"/>
    <w:uiPriority w:val="99"/>
    <w:rsid w:val="00970C57"/>
    <w:pPr>
      <w:tabs>
        <w:tab w:val="num" w:pos="360"/>
      </w:tabs>
      <w:spacing w:after="120" w:line="240" w:lineRule="auto"/>
      <w:jc w:val="both"/>
    </w:pPr>
    <w:rPr>
      <w:rFonts w:ascii="Times New Roman" w:hAnsi="Times New Roman" w:cs="Times New Roman"/>
      <w:sz w:val="24"/>
      <w:szCs w:val="24"/>
      <w:lang w:val="en-US" w:eastAsia="en-US"/>
    </w:rPr>
  </w:style>
  <w:style w:type="character" w:customStyle="1" w:styleId="ModelNrmlSingleChar">
    <w:name w:val="ModelNrmlSingle Char"/>
    <w:basedOn w:val="DefaultParagraphFont"/>
    <w:link w:val="ModelNrmlSingle"/>
    <w:locked/>
    <w:rsid w:val="00970C57"/>
    <w:rPr>
      <w:rFonts w:ascii="Times New Roman" w:eastAsia="Times New Roman" w:hAnsi="Times New Roman" w:cs="Times New Roman"/>
      <w:szCs w:val="20"/>
      <w:lang w:val="en-US"/>
    </w:rPr>
  </w:style>
  <w:style w:type="paragraph" w:customStyle="1" w:styleId="ModelNrmlSingle">
    <w:name w:val="ModelNrmlSingle"/>
    <w:basedOn w:val="Normal"/>
    <w:link w:val="ModelNrmlSingleChar"/>
    <w:rsid w:val="00970C57"/>
    <w:pPr>
      <w:spacing w:after="240" w:line="240" w:lineRule="auto"/>
      <w:ind w:firstLine="720"/>
      <w:jc w:val="both"/>
    </w:pPr>
    <w:rPr>
      <w:rFonts w:ascii="Times New Roman" w:eastAsia="Times New Roman" w:hAnsi="Times New Roman" w:cs="Times New Roman"/>
      <w:szCs w:val="20"/>
      <w:lang w:val="en-US" w:eastAsia="en-US"/>
    </w:rPr>
  </w:style>
  <w:style w:type="paragraph" w:customStyle="1" w:styleId="StyleJustifiedFirstline05">
    <w:name w:val="Style Justified First line:  0.5&quot;"/>
    <w:basedOn w:val="Normal"/>
    <w:autoRedefine/>
    <w:uiPriority w:val="99"/>
    <w:rsid w:val="00970C57"/>
    <w:pPr>
      <w:numPr>
        <w:numId w:val="14"/>
      </w:numPr>
      <w:tabs>
        <w:tab w:val="left" w:pos="990"/>
      </w:tabs>
      <w:spacing w:before="120" w:after="120" w:line="240" w:lineRule="auto"/>
      <w:jc w:val="both"/>
    </w:pPr>
    <w:rPr>
      <w:rFonts w:ascii="Times New Roman" w:eastAsiaTheme="minorHAnsi" w:hAnsi="Times New Roman" w:cs="Times New Roman"/>
      <w:color w:val="000000" w:themeColor="text1"/>
      <w:sz w:val="24"/>
      <w:szCs w:val="24"/>
      <w:lang w:val="en-US" w:eastAsia="en-US"/>
    </w:rPr>
  </w:style>
  <w:style w:type="paragraph" w:customStyle="1" w:styleId="ParagraphNumbering">
    <w:name w:val="Paragraph Numbering"/>
    <w:basedOn w:val="Normal"/>
    <w:uiPriority w:val="99"/>
    <w:rsid w:val="00970C57"/>
    <w:pPr>
      <w:spacing w:after="0" w:line="240" w:lineRule="auto"/>
      <w:jc w:val="both"/>
    </w:pPr>
    <w:rPr>
      <w:rFonts w:ascii="Times New Roman" w:eastAsia="Times New Roman" w:hAnsi="Times New Roman" w:cs="Times New Roman"/>
      <w:sz w:val="24"/>
      <w:szCs w:val="20"/>
      <w:lang w:val="en-US" w:eastAsia="en-US"/>
    </w:rPr>
  </w:style>
  <w:style w:type="character" w:customStyle="1" w:styleId="NoSpacingChar">
    <w:name w:val="No Spacing Char"/>
    <w:basedOn w:val="DefaultParagraphFont"/>
    <w:uiPriority w:val="99"/>
    <w:rsid w:val="00970C57"/>
    <w:rPr>
      <w:rFonts w:ascii="Cambria" w:hAnsi="Cambria" w:cs="Cambria" w:hint="default"/>
      <w:sz w:val="22"/>
      <w:szCs w:val="22"/>
    </w:rPr>
  </w:style>
  <w:style w:type="character" w:customStyle="1" w:styleId="highlight">
    <w:name w:val="highlight"/>
    <w:basedOn w:val="DefaultParagraphFont"/>
    <w:uiPriority w:val="99"/>
    <w:rsid w:val="00970C57"/>
    <w:rPr>
      <w:rFonts w:ascii="Times New Roman" w:hAnsi="Times New Roman" w:cs="Times New Roman" w:hint="default"/>
    </w:rPr>
  </w:style>
  <w:style w:type="character" w:customStyle="1" w:styleId="field-content">
    <w:name w:val="field-content"/>
    <w:basedOn w:val="DefaultParagraphFont"/>
    <w:uiPriority w:val="99"/>
    <w:rsid w:val="00970C57"/>
    <w:rPr>
      <w:rFonts w:ascii="Times New Roman" w:hAnsi="Times New Roman" w:cs="Times New Roman" w:hint="default"/>
    </w:rPr>
  </w:style>
  <w:style w:type="character" w:customStyle="1" w:styleId="PDSHeading2Char">
    <w:name w:val="PDS Heading 2 Char"/>
    <w:rsid w:val="00970C57"/>
    <w:rPr>
      <w:b/>
      <w:bCs/>
      <w:sz w:val="24"/>
      <w:szCs w:val="24"/>
    </w:rPr>
  </w:style>
  <w:style w:type="character" w:customStyle="1" w:styleId="caps">
    <w:name w:val="caps"/>
    <w:basedOn w:val="DefaultParagraphFont"/>
    <w:uiPriority w:val="99"/>
    <w:rsid w:val="00970C57"/>
    <w:rPr>
      <w:rFonts w:ascii="Times New Roman" w:hAnsi="Times New Roman" w:cs="Times New Roman" w:hint="default"/>
    </w:rPr>
  </w:style>
  <w:style w:type="character" w:customStyle="1" w:styleId="hps">
    <w:name w:val="hps"/>
    <w:basedOn w:val="DefaultParagraphFont"/>
    <w:rsid w:val="00970C57"/>
    <w:rPr>
      <w:rFonts w:ascii="Times New Roman" w:hAnsi="Times New Roman" w:cs="Times New Roman" w:hint="default"/>
    </w:rPr>
  </w:style>
  <w:style w:type="character" w:customStyle="1" w:styleId="apple-converted-space">
    <w:name w:val="apple-converted-space"/>
    <w:basedOn w:val="DefaultParagraphFont"/>
    <w:rsid w:val="00970C57"/>
  </w:style>
  <w:style w:type="character" w:customStyle="1" w:styleId="st">
    <w:name w:val="st"/>
    <w:basedOn w:val="DefaultParagraphFont"/>
    <w:rsid w:val="00970C57"/>
  </w:style>
  <w:style w:type="character" w:customStyle="1" w:styleId="tgc">
    <w:name w:val="_tgc"/>
    <w:basedOn w:val="DefaultParagraphFont"/>
    <w:rsid w:val="00970C57"/>
  </w:style>
  <w:style w:type="paragraph" w:styleId="Title">
    <w:name w:val="Title"/>
    <w:basedOn w:val="Normal"/>
    <w:next w:val="Normal"/>
    <w:link w:val="TitleChar"/>
    <w:uiPriority w:val="10"/>
    <w:qFormat/>
    <w:rsid w:val="006322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201"/>
    <w:rPr>
      <w:rFonts w:asciiTheme="majorHAnsi" w:eastAsiaTheme="majorEastAsia" w:hAnsiTheme="majorHAnsi" w:cstheme="majorBidi"/>
      <w:spacing w:val="-10"/>
      <w:kern w:val="28"/>
      <w:sz w:val="56"/>
      <w:szCs w:val="56"/>
      <w:lang w:eastAsia="fr-FR"/>
    </w:rPr>
  </w:style>
  <w:style w:type="table" w:customStyle="1" w:styleId="GridTable4-Accent31">
    <w:name w:val="Grid Table 4 - Accent 31"/>
    <w:basedOn w:val="TableNormal"/>
    <w:uiPriority w:val="49"/>
    <w:rsid w:val="00E231FE"/>
    <w:pPr>
      <w:spacing w:after="0" w:line="240" w:lineRule="auto"/>
    </w:pPr>
    <w:rPr>
      <w:lang w:eastAsia="fr-FR" w:bidi="fr-F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MediumList2-Accent31">
    <w:name w:val="Medium List 2 - Accent 31"/>
    <w:basedOn w:val="TableNormal"/>
    <w:next w:val="MediumList2-Accent3"/>
    <w:uiPriority w:val="66"/>
    <w:rsid w:val="00E566B6"/>
    <w:pPr>
      <w:spacing w:after="0" w:line="240" w:lineRule="auto"/>
    </w:pPr>
    <w:rPr>
      <w:rFonts w:ascii="Cambria" w:eastAsia="MS Gothic" w:hAnsi="Cambria" w:cs="Times New Roman"/>
      <w:color w:val="000000"/>
      <w:sz w:val="24"/>
      <w:szCs w:val="24"/>
      <w:lang w:eastAsia="fr-FR" w:bidi="fr-FR"/>
    </w:rPr>
    <w:tblPr>
      <w:tblStyleRowBandSize w:val="1"/>
      <w:tblStyleColBandSize w:val="1"/>
      <w:tblBorders>
        <w:top w:val="single" w:sz="8" w:space="0" w:color="9BBB59"/>
        <w:left w:val="single" w:sz="8" w:space="0" w:color="9BBB59"/>
        <w:bottom w:val="single" w:sz="8" w:space="0" w:color="9BBB59"/>
        <w:right w:val="single" w:sz="8" w:space="0" w:color="9BBB59"/>
        <w:insideH w:val="single" w:sz="4" w:space="0" w:color="9BBB59"/>
      </w:tblBorders>
    </w:tblPr>
    <w:tcPr>
      <w:shd w:val="clear" w:color="auto" w:fill="FFFFFF"/>
    </w:tcPr>
    <w:tblStylePr w:type="firstRow">
      <w:rPr>
        <w:sz w:val="22"/>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rPr>
        <w:b w:val="0"/>
        <w:i/>
        <w:sz w:val="18"/>
      </w:rPr>
      <w:tblPr/>
      <w:tcPr>
        <w:shd w:val="clear" w:color="auto" w:fill="EAF1DD"/>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shd w:val="clear" w:color="auto" w:fill="FFFFFF"/>
      </w:tcPr>
    </w:tblStylePr>
    <w:tblStylePr w:type="band1Horz">
      <w:tblPr/>
      <w:tcPr>
        <w:shd w:val="clear" w:color="auto" w:fill="FFFFFF"/>
      </w:tcPr>
    </w:tblStylePr>
    <w:tblStylePr w:type="band2Horz">
      <w:tblPr/>
      <w:tcPr>
        <w:shd w:val="clear" w:color="auto" w:fill="FFFFFF"/>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unhideWhenUsed/>
    <w:rsid w:val="00E566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39"/>
    <w:rsid w:val="00170905"/>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rsid w:val="0002196E"/>
    <w:pPr>
      <w:spacing w:after="0" w:line="240" w:lineRule="auto"/>
      <w:ind w:left="720"/>
    </w:pPr>
    <w:rPr>
      <w:rFonts w:ascii="Times New Roman" w:hAnsi="Times New Roman" w:cs="Times New Roman"/>
      <w:sz w:val="24"/>
      <w:szCs w:val="24"/>
      <w:lang w:val="en-US" w:eastAsia="en-US"/>
    </w:rPr>
  </w:style>
  <w:style w:type="paragraph" w:styleId="TOC5">
    <w:name w:val="toc 5"/>
    <w:basedOn w:val="Normal"/>
    <w:next w:val="Normal"/>
    <w:autoRedefine/>
    <w:uiPriority w:val="99"/>
    <w:rsid w:val="0002196E"/>
    <w:pPr>
      <w:spacing w:after="0" w:line="240" w:lineRule="auto"/>
      <w:ind w:left="960"/>
    </w:pPr>
    <w:rPr>
      <w:rFonts w:ascii="Times New Roman" w:hAnsi="Times New Roman" w:cs="Times New Roman"/>
      <w:sz w:val="24"/>
      <w:szCs w:val="24"/>
      <w:lang w:val="en-US" w:eastAsia="en-US"/>
    </w:rPr>
  </w:style>
  <w:style w:type="paragraph" w:styleId="TOC6">
    <w:name w:val="toc 6"/>
    <w:basedOn w:val="Normal"/>
    <w:next w:val="Normal"/>
    <w:autoRedefine/>
    <w:uiPriority w:val="99"/>
    <w:rsid w:val="0002196E"/>
    <w:pPr>
      <w:spacing w:after="0" w:line="240" w:lineRule="auto"/>
      <w:ind w:left="1200"/>
    </w:pPr>
    <w:rPr>
      <w:rFonts w:ascii="Times New Roman" w:hAnsi="Times New Roman" w:cs="Times New Roman"/>
      <w:sz w:val="24"/>
      <w:szCs w:val="24"/>
      <w:lang w:val="en-US" w:eastAsia="en-US"/>
    </w:rPr>
  </w:style>
  <w:style w:type="paragraph" w:styleId="TOC7">
    <w:name w:val="toc 7"/>
    <w:basedOn w:val="Normal"/>
    <w:next w:val="Normal"/>
    <w:autoRedefine/>
    <w:uiPriority w:val="99"/>
    <w:rsid w:val="0002196E"/>
    <w:pPr>
      <w:spacing w:after="0" w:line="240" w:lineRule="auto"/>
      <w:ind w:left="1440"/>
    </w:pPr>
    <w:rPr>
      <w:rFonts w:ascii="Times New Roman" w:hAnsi="Times New Roman" w:cs="Times New Roman"/>
      <w:sz w:val="24"/>
      <w:szCs w:val="24"/>
      <w:lang w:val="en-US" w:eastAsia="en-US"/>
    </w:rPr>
  </w:style>
  <w:style w:type="paragraph" w:styleId="TOC8">
    <w:name w:val="toc 8"/>
    <w:basedOn w:val="Normal"/>
    <w:next w:val="Normal"/>
    <w:autoRedefine/>
    <w:uiPriority w:val="99"/>
    <w:rsid w:val="0002196E"/>
    <w:pPr>
      <w:spacing w:after="0" w:line="240" w:lineRule="auto"/>
      <w:ind w:left="1680"/>
    </w:pPr>
    <w:rPr>
      <w:rFonts w:ascii="Times New Roman" w:hAnsi="Times New Roman" w:cs="Times New Roman"/>
      <w:sz w:val="24"/>
      <w:szCs w:val="24"/>
      <w:lang w:val="en-US" w:eastAsia="en-US"/>
    </w:rPr>
  </w:style>
  <w:style w:type="paragraph" w:styleId="TOC9">
    <w:name w:val="toc 9"/>
    <w:basedOn w:val="Normal"/>
    <w:next w:val="Normal"/>
    <w:autoRedefine/>
    <w:uiPriority w:val="99"/>
    <w:rsid w:val="0002196E"/>
    <w:pPr>
      <w:spacing w:after="0" w:line="240" w:lineRule="auto"/>
      <w:ind w:left="1920"/>
    </w:pPr>
    <w:rPr>
      <w:rFonts w:ascii="Times New Roman" w:hAnsi="Times New Roman" w:cs="Times New Roman"/>
      <w:sz w:val="24"/>
      <w:szCs w:val="24"/>
      <w:lang w:val="en-US" w:eastAsia="en-US"/>
    </w:rPr>
  </w:style>
  <w:style w:type="character" w:styleId="PageNumber">
    <w:name w:val="page number"/>
    <w:basedOn w:val="DefaultParagraphFont"/>
    <w:uiPriority w:val="99"/>
    <w:rsid w:val="0002196E"/>
    <w:rPr>
      <w:rFonts w:ascii="Times New Roman" w:hAnsi="Times New Roman" w:cs="Times New Roman"/>
    </w:rPr>
  </w:style>
  <w:style w:type="character" w:styleId="FollowedHyperlink">
    <w:name w:val="FollowedHyperlink"/>
    <w:basedOn w:val="DefaultParagraphFont"/>
    <w:uiPriority w:val="99"/>
    <w:rsid w:val="0002196E"/>
    <w:rPr>
      <w:rFonts w:ascii="Times New Roman" w:hAnsi="Times New Roman" w:cs="Times New Roman"/>
      <w:color w:val="800080"/>
      <w:u w:val="single"/>
    </w:rPr>
  </w:style>
  <w:style w:type="paragraph" w:styleId="NormalWeb">
    <w:name w:val="Normal (Web)"/>
    <w:basedOn w:val="Normal"/>
    <w:rsid w:val="0002196E"/>
    <w:pPr>
      <w:spacing w:before="100" w:beforeAutospacing="1" w:after="100" w:afterAutospacing="1" w:line="240" w:lineRule="auto"/>
    </w:pPr>
    <w:rPr>
      <w:rFonts w:ascii="Times New Roman" w:hAnsi="Times New Roman" w:cs="Times New Roman"/>
      <w:sz w:val="24"/>
      <w:szCs w:val="24"/>
      <w:lang w:val="en-US" w:eastAsia="en-US"/>
    </w:rPr>
  </w:style>
  <w:style w:type="paragraph" w:styleId="Revision">
    <w:name w:val="Revision"/>
    <w:hidden/>
    <w:uiPriority w:val="99"/>
    <w:rsid w:val="0002196E"/>
    <w:pPr>
      <w:spacing w:after="0" w:line="240" w:lineRule="auto"/>
    </w:pPr>
    <w:rPr>
      <w:rFonts w:ascii="Calibri" w:eastAsiaTheme="minorEastAsia" w:hAnsi="Calibri" w:cs="Calibri"/>
      <w:lang w:val="en-ZA"/>
    </w:rPr>
  </w:style>
  <w:style w:type="paragraph" w:styleId="TableofFigures">
    <w:name w:val="table of figures"/>
    <w:basedOn w:val="Normal"/>
    <w:next w:val="Normal"/>
    <w:uiPriority w:val="99"/>
    <w:unhideWhenUsed/>
    <w:rsid w:val="0002196E"/>
    <w:pPr>
      <w:spacing w:after="0"/>
    </w:pPr>
    <w:rPr>
      <w:rFonts w:eastAsiaTheme="minorHAnsi"/>
      <w:lang w:eastAsia="en-US"/>
    </w:rPr>
  </w:style>
  <w:style w:type="numbering" w:customStyle="1" w:styleId="NoList1">
    <w:name w:val="No List1"/>
    <w:next w:val="NoList"/>
    <w:uiPriority w:val="99"/>
    <w:semiHidden/>
    <w:unhideWhenUsed/>
    <w:rsid w:val="003E16E4"/>
  </w:style>
  <w:style w:type="paragraph" w:customStyle="1" w:styleId="xl65">
    <w:name w:val="xl65"/>
    <w:basedOn w:val="Normal"/>
    <w:rsid w:val="003E16E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66">
    <w:name w:val="xl66"/>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67">
    <w:name w:val="xl67"/>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68">
    <w:name w:val="xl68"/>
    <w:basedOn w:val="Normal"/>
    <w:rsid w:val="003E16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69">
    <w:name w:val="xl69"/>
    <w:basedOn w:val="Normal"/>
    <w:rsid w:val="003E16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70">
    <w:name w:val="xl70"/>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71">
    <w:name w:val="xl71"/>
    <w:basedOn w:val="Normal"/>
    <w:rsid w:val="003E16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72">
    <w:name w:val="xl72"/>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73">
    <w:name w:val="xl73"/>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74">
    <w:name w:val="xl74"/>
    <w:basedOn w:val="Normal"/>
    <w:rsid w:val="003E16E4"/>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75">
    <w:name w:val="xl75"/>
    <w:basedOn w:val="Normal"/>
    <w:rsid w:val="003E16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76">
    <w:name w:val="xl76"/>
    <w:basedOn w:val="Normal"/>
    <w:rsid w:val="003E16E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77">
    <w:name w:val="xl77"/>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78">
    <w:name w:val="xl78"/>
    <w:basedOn w:val="Normal"/>
    <w:rsid w:val="003E16E4"/>
    <w:pPr>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79">
    <w:name w:val="xl79"/>
    <w:basedOn w:val="Normal"/>
    <w:rsid w:val="003E16E4"/>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80">
    <w:name w:val="xl80"/>
    <w:basedOn w:val="Normal"/>
    <w:rsid w:val="003E16E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81">
    <w:name w:val="xl81"/>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82">
    <w:name w:val="xl82"/>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83">
    <w:name w:val="xl83"/>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84">
    <w:name w:val="xl84"/>
    <w:basedOn w:val="Normal"/>
    <w:rsid w:val="003E16E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85">
    <w:name w:val="xl85"/>
    <w:basedOn w:val="Normal"/>
    <w:rsid w:val="003E16E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86">
    <w:name w:val="xl86"/>
    <w:basedOn w:val="Normal"/>
    <w:rsid w:val="003E16E4"/>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87">
    <w:name w:val="xl87"/>
    <w:basedOn w:val="Normal"/>
    <w:rsid w:val="003E16E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88">
    <w:name w:val="xl88"/>
    <w:basedOn w:val="Normal"/>
    <w:rsid w:val="003E16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89">
    <w:name w:val="xl89"/>
    <w:basedOn w:val="Normal"/>
    <w:rsid w:val="003E16E4"/>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90">
    <w:name w:val="xl90"/>
    <w:basedOn w:val="Normal"/>
    <w:rsid w:val="003E16E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91">
    <w:name w:val="xl91"/>
    <w:basedOn w:val="Normal"/>
    <w:rsid w:val="003E16E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92">
    <w:name w:val="xl92"/>
    <w:basedOn w:val="Normal"/>
    <w:rsid w:val="003E16E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93">
    <w:name w:val="xl93"/>
    <w:basedOn w:val="Normal"/>
    <w:rsid w:val="003E16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94">
    <w:name w:val="xl94"/>
    <w:basedOn w:val="Normal"/>
    <w:rsid w:val="003E16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95">
    <w:name w:val="xl95"/>
    <w:basedOn w:val="Normal"/>
    <w:rsid w:val="003E16E4"/>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96">
    <w:name w:val="xl96"/>
    <w:basedOn w:val="Normal"/>
    <w:rsid w:val="003E16E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97">
    <w:name w:val="xl97"/>
    <w:basedOn w:val="Normal"/>
    <w:rsid w:val="003E1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98">
    <w:name w:val="xl98"/>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99">
    <w:name w:val="xl99"/>
    <w:basedOn w:val="Normal"/>
    <w:rsid w:val="003E16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00">
    <w:name w:val="xl100"/>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01">
    <w:name w:val="xl101"/>
    <w:basedOn w:val="Normal"/>
    <w:rsid w:val="003E16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02">
    <w:name w:val="xl102"/>
    <w:basedOn w:val="Normal"/>
    <w:rsid w:val="003E16E4"/>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03">
    <w:name w:val="xl103"/>
    <w:basedOn w:val="Normal"/>
    <w:rsid w:val="003E16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04">
    <w:name w:val="xl104"/>
    <w:basedOn w:val="Normal"/>
    <w:rsid w:val="003E1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05">
    <w:name w:val="xl105"/>
    <w:basedOn w:val="Normal"/>
    <w:rsid w:val="003E16E4"/>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06">
    <w:name w:val="xl106"/>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107">
    <w:name w:val="xl107"/>
    <w:basedOn w:val="Normal"/>
    <w:rsid w:val="003E16E4"/>
    <w:pPr>
      <w:pBdr>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108">
    <w:name w:val="xl108"/>
    <w:basedOn w:val="Normal"/>
    <w:rsid w:val="003E16E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09">
    <w:name w:val="xl109"/>
    <w:basedOn w:val="Normal"/>
    <w:rsid w:val="003E16E4"/>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10">
    <w:name w:val="xl110"/>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11">
    <w:name w:val="xl111"/>
    <w:basedOn w:val="Normal"/>
    <w:rsid w:val="003E16E4"/>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12">
    <w:name w:val="xl112"/>
    <w:basedOn w:val="Normal"/>
    <w:rsid w:val="003E16E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13">
    <w:name w:val="xl113"/>
    <w:basedOn w:val="Normal"/>
    <w:rsid w:val="003E16E4"/>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14">
    <w:name w:val="xl114"/>
    <w:basedOn w:val="Normal"/>
    <w:rsid w:val="003E16E4"/>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15">
    <w:name w:val="xl115"/>
    <w:basedOn w:val="Normal"/>
    <w:rsid w:val="003E16E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16">
    <w:name w:val="xl116"/>
    <w:basedOn w:val="Normal"/>
    <w:rsid w:val="003E16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17">
    <w:name w:val="xl117"/>
    <w:basedOn w:val="Normal"/>
    <w:rsid w:val="003E16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18">
    <w:name w:val="xl118"/>
    <w:basedOn w:val="Normal"/>
    <w:rsid w:val="003E16E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19">
    <w:name w:val="xl119"/>
    <w:basedOn w:val="Normal"/>
    <w:rsid w:val="003E16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20">
    <w:name w:val="xl120"/>
    <w:basedOn w:val="Normal"/>
    <w:rsid w:val="003E16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21">
    <w:name w:val="xl121"/>
    <w:basedOn w:val="Normal"/>
    <w:rsid w:val="003E16E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22">
    <w:name w:val="xl122"/>
    <w:basedOn w:val="Normal"/>
    <w:rsid w:val="003E16E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23">
    <w:name w:val="xl123"/>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24">
    <w:name w:val="xl124"/>
    <w:basedOn w:val="Normal"/>
    <w:rsid w:val="003E16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25">
    <w:name w:val="xl125"/>
    <w:basedOn w:val="Normal"/>
    <w:rsid w:val="003E16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26">
    <w:name w:val="xl126"/>
    <w:basedOn w:val="Normal"/>
    <w:rsid w:val="003E16E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27">
    <w:name w:val="xl127"/>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28">
    <w:name w:val="xl128"/>
    <w:basedOn w:val="Normal"/>
    <w:rsid w:val="003E16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29">
    <w:name w:val="xl129"/>
    <w:basedOn w:val="Normal"/>
    <w:rsid w:val="003E16E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30">
    <w:name w:val="xl130"/>
    <w:basedOn w:val="Normal"/>
    <w:rsid w:val="003E16E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31">
    <w:name w:val="xl131"/>
    <w:basedOn w:val="Normal"/>
    <w:rsid w:val="003E16E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32">
    <w:name w:val="xl132"/>
    <w:basedOn w:val="Normal"/>
    <w:rsid w:val="003E16E4"/>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33">
    <w:name w:val="xl133"/>
    <w:basedOn w:val="Normal"/>
    <w:rsid w:val="003E16E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34">
    <w:name w:val="xl134"/>
    <w:basedOn w:val="Normal"/>
    <w:rsid w:val="003E16E4"/>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35">
    <w:name w:val="xl135"/>
    <w:basedOn w:val="Normal"/>
    <w:rsid w:val="003E16E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36">
    <w:name w:val="xl136"/>
    <w:basedOn w:val="Normal"/>
    <w:rsid w:val="003E16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37">
    <w:name w:val="xl137"/>
    <w:basedOn w:val="Normal"/>
    <w:rsid w:val="003E16E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38">
    <w:name w:val="xl138"/>
    <w:basedOn w:val="Normal"/>
    <w:rsid w:val="003E16E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39">
    <w:name w:val="xl139"/>
    <w:basedOn w:val="Normal"/>
    <w:rsid w:val="003E1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40">
    <w:name w:val="xl140"/>
    <w:basedOn w:val="Normal"/>
    <w:rsid w:val="003E16E4"/>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41">
    <w:name w:val="xl141"/>
    <w:basedOn w:val="Normal"/>
    <w:rsid w:val="003E16E4"/>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42">
    <w:name w:val="xl142"/>
    <w:basedOn w:val="Normal"/>
    <w:rsid w:val="003E16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143">
    <w:name w:val="xl143"/>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44">
    <w:name w:val="xl144"/>
    <w:basedOn w:val="Normal"/>
    <w:rsid w:val="003E16E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45">
    <w:name w:val="xl145"/>
    <w:basedOn w:val="Normal"/>
    <w:rsid w:val="003E16E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46">
    <w:name w:val="xl146"/>
    <w:basedOn w:val="Normal"/>
    <w:rsid w:val="003E16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47">
    <w:name w:val="xl147"/>
    <w:basedOn w:val="Normal"/>
    <w:rsid w:val="003E16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48">
    <w:name w:val="xl148"/>
    <w:basedOn w:val="Normal"/>
    <w:rsid w:val="003E16E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49">
    <w:name w:val="xl149"/>
    <w:basedOn w:val="Normal"/>
    <w:rsid w:val="003E16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50">
    <w:name w:val="xl150"/>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51">
    <w:name w:val="xl151"/>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52">
    <w:name w:val="xl152"/>
    <w:basedOn w:val="Normal"/>
    <w:rsid w:val="003E16E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53">
    <w:name w:val="xl153"/>
    <w:basedOn w:val="Normal"/>
    <w:rsid w:val="003E16E4"/>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54">
    <w:name w:val="xl154"/>
    <w:basedOn w:val="Normal"/>
    <w:rsid w:val="003E16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55">
    <w:name w:val="xl155"/>
    <w:basedOn w:val="Normal"/>
    <w:rsid w:val="003E16E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56">
    <w:name w:val="xl156"/>
    <w:basedOn w:val="Normal"/>
    <w:rsid w:val="003E16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57">
    <w:name w:val="xl157"/>
    <w:basedOn w:val="Normal"/>
    <w:rsid w:val="003E16E4"/>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58">
    <w:name w:val="xl158"/>
    <w:basedOn w:val="Normal"/>
    <w:rsid w:val="003E16E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59">
    <w:name w:val="xl159"/>
    <w:basedOn w:val="Normal"/>
    <w:rsid w:val="003E16E4"/>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160">
    <w:name w:val="xl160"/>
    <w:basedOn w:val="Normal"/>
    <w:rsid w:val="003E16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61">
    <w:name w:val="xl161"/>
    <w:basedOn w:val="Normal"/>
    <w:rsid w:val="003E16E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62">
    <w:name w:val="xl162"/>
    <w:basedOn w:val="Normal"/>
    <w:rsid w:val="003E16E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63">
    <w:name w:val="xl163"/>
    <w:basedOn w:val="Normal"/>
    <w:rsid w:val="003E16E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val="en-US" w:eastAsia="en-US"/>
    </w:rPr>
  </w:style>
  <w:style w:type="paragraph" w:customStyle="1" w:styleId="xl164">
    <w:name w:val="xl164"/>
    <w:basedOn w:val="Normal"/>
    <w:rsid w:val="003E16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65">
    <w:name w:val="xl165"/>
    <w:basedOn w:val="Normal"/>
    <w:rsid w:val="003E16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66">
    <w:name w:val="xl166"/>
    <w:basedOn w:val="Normal"/>
    <w:rsid w:val="003E16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67">
    <w:name w:val="xl167"/>
    <w:basedOn w:val="Normal"/>
    <w:rsid w:val="003E16E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68">
    <w:name w:val="xl168"/>
    <w:basedOn w:val="Normal"/>
    <w:rsid w:val="003E16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69">
    <w:name w:val="xl169"/>
    <w:basedOn w:val="Normal"/>
    <w:rsid w:val="003E16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70">
    <w:name w:val="xl170"/>
    <w:basedOn w:val="Normal"/>
    <w:rsid w:val="003E16E4"/>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71">
    <w:name w:val="xl171"/>
    <w:basedOn w:val="Normal"/>
    <w:rsid w:val="003E16E4"/>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72">
    <w:name w:val="xl172"/>
    <w:basedOn w:val="Normal"/>
    <w:rsid w:val="003E16E4"/>
    <w:pP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73">
    <w:name w:val="xl173"/>
    <w:basedOn w:val="Normal"/>
    <w:rsid w:val="003E16E4"/>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74">
    <w:name w:val="xl174"/>
    <w:basedOn w:val="Normal"/>
    <w:rsid w:val="003E16E4"/>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0"/>
      <w:szCs w:val="20"/>
      <w:lang w:val="en-US" w:eastAsia="en-US"/>
    </w:rPr>
  </w:style>
  <w:style w:type="paragraph" w:customStyle="1" w:styleId="xl175">
    <w:name w:val="xl175"/>
    <w:basedOn w:val="Normal"/>
    <w:rsid w:val="003E16E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76">
    <w:name w:val="xl176"/>
    <w:basedOn w:val="Normal"/>
    <w:rsid w:val="003E16E4"/>
    <w:pP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77">
    <w:name w:val="xl177"/>
    <w:basedOn w:val="Normal"/>
    <w:rsid w:val="003E16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78">
    <w:name w:val="xl178"/>
    <w:basedOn w:val="Normal"/>
    <w:rsid w:val="003E16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79">
    <w:name w:val="xl179"/>
    <w:basedOn w:val="Normal"/>
    <w:rsid w:val="003E16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0">
    <w:name w:val="xl180"/>
    <w:basedOn w:val="Normal"/>
    <w:rsid w:val="003E16E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1">
    <w:name w:val="xl181"/>
    <w:basedOn w:val="Normal"/>
    <w:rsid w:val="003E16E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2">
    <w:name w:val="xl182"/>
    <w:basedOn w:val="Normal"/>
    <w:rsid w:val="003E16E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183">
    <w:name w:val="xl183"/>
    <w:basedOn w:val="Normal"/>
    <w:rsid w:val="000413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4">
    <w:name w:val="xl184"/>
    <w:basedOn w:val="Normal"/>
    <w:rsid w:val="000413D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5">
    <w:name w:val="xl185"/>
    <w:basedOn w:val="Normal"/>
    <w:rsid w:val="000413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6">
    <w:name w:val="xl186"/>
    <w:basedOn w:val="Normal"/>
    <w:rsid w:val="000413D4"/>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7">
    <w:name w:val="xl187"/>
    <w:basedOn w:val="Normal"/>
    <w:rsid w:val="000413D4"/>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8">
    <w:name w:val="xl188"/>
    <w:basedOn w:val="Normal"/>
    <w:rsid w:val="000413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89">
    <w:name w:val="xl189"/>
    <w:basedOn w:val="Normal"/>
    <w:rsid w:val="000413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90">
    <w:name w:val="xl190"/>
    <w:basedOn w:val="Normal"/>
    <w:rsid w:val="000413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91">
    <w:name w:val="xl191"/>
    <w:basedOn w:val="Normal"/>
    <w:rsid w:val="000413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92">
    <w:name w:val="xl192"/>
    <w:basedOn w:val="Normal"/>
    <w:rsid w:val="000413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93">
    <w:name w:val="xl193"/>
    <w:basedOn w:val="Normal"/>
    <w:rsid w:val="000413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94">
    <w:name w:val="xl194"/>
    <w:basedOn w:val="Normal"/>
    <w:rsid w:val="000413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95">
    <w:name w:val="xl195"/>
    <w:basedOn w:val="Normal"/>
    <w:rsid w:val="000413D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paragraph" w:customStyle="1" w:styleId="xl196">
    <w:name w:val="xl196"/>
    <w:basedOn w:val="Normal"/>
    <w:rsid w:val="000413D4"/>
    <w:pP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eastAsia="en-US"/>
    </w:rPr>
  </w:style>
  <w:style w:type="paragraph" w:customStyle="1" w:styleId="xl197">
    <w:name w:val="xl197"/>
    <w:basedOn w:val="Normal"/>
    <w:rsid w:val="000413D4"/>
    <w:pP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eastAsia="en-US"/>
    </w:rPr>
  </w:style>
  <w:style w:type="paragraph" w:customStyle="1" w:styleId="xl198">
    <w:name w:val="xl198"/>
    <w:basedOn w:val="Normal"/>
    <w:rsid w:val="000413D4"/>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eastAsia="en-US"/>
    </w:rPr>
  </w:style>
  <w:style w:type="paragraph" w:customStyle="1" w:styleId="xl199">
    <w:name w:val="xl199"/>
    <w:basedOn w:val="Normal"/>
    <w:rsid w:val="000413D4"/>
    <w:pPr>
      <w:shd w:val="clear" w:color="000000" w:fill="8DB4E2"/>
      <w:spacing w:before="100" w:beforeAutospacing="1" w:after="100" w:afterAutospacing="1" w:line="240" w:lineRule="auto"/>
      <w:textAlignment w:val="center"/>
    </w:pPr>
    <w:rPr>
      <w:rFonts w:ascii="Times New Roman" w:eastAsia="Times New Roman" w:hAnsi="Times New Roman" w:cs="Times New Roman"/>
      <w:b/>
      <w:bCs/>
      <w:sz w:val="28"/>
      <w:szCs w:val="28"/>
      <w:lang w:val="en-US" w:eastAsia="en-US"/>
    </w:rPr>
  </w:style>
  <w:style w:type="paragraph" w:customStyle="1" w:styleId="xl200">
    <w:name w:val="xl200"/>
    <w:basedOn w:val="Normal"/>
    <w:rsid w:val="000413D4"/>
    <w:pP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eastAsia="en-US"/>
    </w:rPr>
  </w:style>
  <w:style w:type="paragraph" w:customStyle="1" w:styleId="xl201">
    <w:name w:val="xl201"/>
    <w:basedOn w:val="Normal"/>
    <w:rsid w:val="00C27A13"/>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eastAsia="en-US"/>
    </w:rPr>
  </w:style>
  <w:style w:type="paragraph" w:customStyle="1" w:styleId="xl202">
    <w:name w:val="xl202"/>
    <w:basedOn w:val="Normal"/>
    <w:rsid w:val="00C27A13"/>
    <w:pPr>
      <w:spacing w:before="100" w:beforeAutospacing="1" w:after="100" w:afterAutospacing="1" w:line="240" w:lineRule="auto"/>
      <w:textAlignment w:val="center"/>
    </w:pPr>
    <w:rPr>
      <w:rFonts w:ascii="Times New Roman" w:eastAsia="Times New Roman" w:hAnsi="Times New Roman" w:cs="Times New Roman"/>
      <w:sz w:val="18"/>
      <w:szCs w:val="18"/>
      <w:lang w:val="en-US" w:eastAsia="en-US"/>
    </w:rPr>
  </w:style>
  <w:style w:type="paragraph" w:customStyle="1" w:styleId="xl203">
    <w:name w:val="xl203"/>
    <w:basedOn w:val="Normal"/>
    <w:rsid w:val="00C27A13"/>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eastAsia="en-US"/>
    </w:rPr>
  </w:style>
  <w:style w:type="paragraph" w:customStyle="1" w:styleId="xl204">
    <w:name w:val="xl204"/>
    <w:basedOn w:val="Normal"/>
    <w:rsid w:val="00C27A13"/>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eastAsia="en-US"/>
    </w:rPr>
  </w:style>
  <w:style w:type="paragraph" w:customStyle="1" w:styleId="xl205">
    <w:name w:val="xl205"/>
    <w:basedOn w:val="Normal"/>
    <w:rsid w:val="00C27A13"/>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eastAsia="en-US"/>
    </w:rPr>
  </w:style>
  <w:style w:type="paragraph" w:customStyle="1" w:styleId="TableContents">
    <w:name w:val="Table Contents"/>
    <w:basedOn w:val="Normal"/>
    <w:rsid w:val="00433B5E"/>
    <w:pPr>
      <w:widowControl w:val="0"/>
      <w:suppressLineNumbers/>
      <w:suppressAutoHyphens/>
      <w:spacing w:after="0" w:line="240" w:lineRule="auto"/>
      <w:jc w:val="both"/>
    </w:pPr>
    <w:rPr>
      <w:rFonts w:ascii="Times New Roman" w:eastAsia="Lucida Sans Unicode" w:hAnsi="Times New Roman" w:cs="Times New Roman"/>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6148">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95895268">
      <w:bodyDiv w:val="1"/>
      <w:marLeft w:val="0"/>
      <w:marRight w:val="0"/>
      <w:marTop w:val="0"/>
      <w:marBottom w:val="0"/>
      <w:divBdr>
        <w:top w:val="none" w:sz="0" w:space="0" w:color="auto"/>
        <w:left w:val="none" w:sz="0" w:space="0" w:color="auto"/>
        <w:bottom w:val="none" w:sz="0" w:space="0" w:color="auto"/>
        <w:right w:val="none" w:sz="0" w:space="0" w:color="auto"/>
      </w:divBdr>
    </w:div>
    <w:div w:id="205025123">
      <w:bodyDiv w:val="1"/>
      <w:marLeft w:val="0"/>
      <w:marRight w:val="0"/>
      <w:marTop w:val="0"/>
      <w:marBottom w:val="0"/>
      <w:divBdr>
        <w:top w:val="none" w:sz="0" w:space="0" w:color="auto"/>
        <w:left w:val="none" w:sz="0" w:space="0" w:color="auto"/>
        <w:bottom w:val="none" w:sz="0" w:space="0" w:color="auto"/>
        <w:right w:val="none" w:sz="0" w:space="0" w:color="auto"/>
      </w:divBdr>
    </w:div>
    <w:div w:id="208340111">
      <w:bodyDiv w:val="1"/>
      <w:marLeft w:val="0"/>
      <w:marRight w:val="0"/>
      <w:marTop w:val="0"/>
      <w:marBottom w:val="0"/>
      <w:divBdr>
        <w:top w:val="none" w:sz="0" w:space="0" w:color="auto"/>
        <w:left w:val="none" w:sz="0" w:space="0" w:color="auto"/>
        <w:bottom w:val="none" w:sz="0" w:space="0" w:color="auto"/>
        <w:right w:val="none" w:sz="0" w:space="0" w:color="auto"/>
      </w:divBdr>
    </w:div>
    <w:div w:id="240797233">
      <w:bodyDiv w:val="1"/>
      <w:marLeft w:val="0"/>
      <w:marRight w:val="0"/>
      <w:marTop w:val="0"/>
      <w:marBottom w:val="0"/>
      <w:divBdr>
        <w:top w:val="none" w:sz="0" w:space="0" w:color="auto"/>
        <w:left w:val="none" w:sz="0" w:space="0" w:color="auto"/>
        <w:bottom w:val="none" w:sz="0" w:space="0" w:color="auto"/>
        <w:right w:val="none" w:sz="0" w:space="0" w:color="auto"/>
      </w:divBdr>
    </w:div>
    <w:div w:id="266472446">
      <w:bodyDiv w:val="1"/>
      <w:marLeft w:val="0"/>
      <w:marRight w:val="0"/>
      <w:marTop w:val="0"/>
      <w:marBottom w:val="0"/>
      <w:divBdr>
        <w:top w:val="none" w:sz="0" w:space="0" w:color="auto"/>
        <w:left w:val="none" w:sz="0" w:space="0" w:color="auto"/>
        <w:bottom w:val="none" w:sz="0" w:space="0" w:color="auto"/>
        <w:right w:val="none" w:sz="0" w:space="0" w:color="auto"/>
      </w:divBdr>
    </w:div>
    <w:div w:id="267855295">
      <w:bodyDiv w:val="1"/>
      <w:marLeft w:val="0"/>
      <w:marRight w:val="0"/>
      <w:marTop w:val="0"/>
      <w:marBottom w:val="0"/>
      <w:divBdr>
        <w:top w:val="none" w:sz="0" w:space="0" w:color="auto"/>
        <w:left w:val="none" w:sz="0" w:space="0" w:color="auto"/>
        <w:bottom w:val="none" w:sz="0" w:space="0" w:color="auto"/>
        <w:right w:val="none" w:sz="0" w:space="0" w:color="auto"/>
      </w:divBdr>
    </w:div>
    <w:div w:id="292713978">
      <w:bodyDiv w:val="1"/>
      <w:marLeft w:val="0"/>
      <w:marRight w:val="0"/>
      <w:marTop w:val="0"/>
      <w:marBottom w:val="0"/>
      <w:divBdr>
        <w:top w:val="none" w:sz="0" w:space="0" w:color="auto"/>
        <w:left w:val="none" w:sz="0" w:space="0" w:color="auto"/>
        <w:bottom w:val="none" w:sz="0" w:space="0" w:color="auto"/>
        <w:right w:val="none" w:sz="0" w:space="0" w:color="auto"/>
      </w:divBdr>
    </w:div>
    <w:div w:id="348217875">
      <w:bodyDiv w:val="1"/>
      <w:marLeft w:val="0"/>
      <w:marRight w:val="0"/>
      <w:marTop w:val="0"/>
      <w:marBottom w:val="0"/>
      <w:divBdr>
        <w:top w:val="none" w:sz="0" w:space="0" w:color="auto"/>
        <w:left w:val="none" w:sz="0" w:space="0" w:color="auto"/>
        <w:bottom w:val="none" w:sz="0" w:space="0" w:color="auto"/>
        <w:right w:val="none" w:sz="0" w:space="0" w:color="auto"/>
      </w:divBdr>
      <w:divsChild>
        <w:div w:id="810489314">
          <w:marLeft w:val="547"/>
          <w:marRight w:val="0"/>
          <w:marTop w:val="0"/>
          <w:marBottom w:val="0"/>
          <w:divBdr>
            <w:top w:val="none" w:sz="0" w:space="0" w:color="auto"/>
            <w:left w:val="none" w:sz="0" w:space="0" w:color="auto"/>
            <w:bottom w:val="none" w:sz="0" w:space="0" w:color="auto"/>
            <w:right w:val="none" w:sz="0" w:space="0" w:color="auto"/>
          </w:divBdr>
        </w:div>
      </w:divsChild>
    </w:div>
    <w:div w:id="450323955">
      <w:bodyDiv w:val="1"/>
      <w:marLeft w:val="0"/>
      <w:marRight w:val="0"/>
      <w:marTop w:val="0"/>
      <w:marBottom w:val="0"/>
      <w:divBdr>
        <w:top w:val="none" w:sz="0" w:space="0" w:color="auto"/>
        <w:left w:val="none" w:sz="0" w:space="0" w:color="auto"/>
        <w:bottom w:val="none" w:sz="0" w:space="0" w:color="auto"/>
        <w:right w:val="none" w:sz="0" w:space="0" w:color="auto"/>
      </w:divBdr>
    </w:div>
    <w:div w:id="450705124">
      <w:bodyDiv w:val="1"/>
      <w:marLeft w:val="0"/>
      <w:marRight w:val="0"/>
      <w:marTop w:val="0"/>
      <w:marBottom w:val="0"/>
      <w:divBdr>
        <w:top w:val="none" w:sz="0" w:space="0" w:color="auto"/>
        <w:left w:val="none" w:sz="0" w:space="0" w:color="auto"/>
        <w:bottom w:val="none" w:sz="0" w:space="0" w:color="auto"/>
        <w:right w:val="none" w:sz="0" w:space="0" w:color="auto"/>
      </w:divBdr>
    </w:div>
    <w:div w:id="474025362">
      <w:bodyDiv w:val="1"/>
      <w:marLeft w:val="0"/>
      <w:marRight w:val="0"/>
      <w:marTop w:val="0"/>
      <w:marBottom w:val="0"/>
      <w:divBdr>
        <w:top w:val="none" w:sz="0" w:space="0" w:color="auto"/>
        <w:left w:val="none" w:sz="0" w:space="0" w:color="auto"/>
        <w:bottom w:val="none" w:sz="0" w:space="0" w:color="auto"/>
        <w:right w:val="none" w:sz="0" w:space="0" w:color="auto"/>
      </w:divBdr>
    </w:div>
    <w:div w:id="641540956">
      <w:bodyDiv w:val="1"/>
      <w:marLeft w:val="0"/>
      <w:marRight w:val="0"/>
      <w:marTop w:val="0"/>
      <w:marBottom w:val="0"/>
      <w:divBdr>
        <w:top w:val="none" w:sz="0" w:space="0" w:color="auto"/>
        <w:left w:val="none" w:sz="0" w:space="0" w:color="auto"/>
        <w:bottom w:val="none" w:sz="0" w:space="0" w:color="auto"/>
        <w:right w:val="none" w:sz="0" w:space="0" w:color="auto"/>
      </w:divBdr>
    </w:div>
    <w:div w:id="682979492">
      <w:bodyDiv w:val="1"/>
      <w:marLeft w:val="0"/>
      <w:marRight w:val="0"/>
      <w:marTop w:val="0"/>
      <w:marBottom w:val="0"/>
      <w:divBdr>
        <w:top w:val="none" w:sz="0" w:space="0" w:color="auto"/>
        <w:left w:val="none" w:sz="0" w:space="0" w:color="auto"/>
        <w:bottom w:val="none" w:sz="0" w:space="0" w:color="auto"/>
        <w:right w:val="none" w:sz="0" w:space="0" w:color="auto"/>
      </w:divBdr>
    </w:div>
    <w:div w:id="723986419">
      <w:bodyDiv w:val="1"/>
      <w:marLeft w:val="0"/>
      <w:marRight w:val="0"/>
      <w:marTop w:val="0"/>
      <w:marBottom w:val="0"/>
      <w:divBdr>
        <w:top w:val="none" w:sz="0" w:space="0" w:color="auto"/>
        <w:left w:val="none" w:sz="0" w:space="0" w:color="auto"/>
        <w:bottom w:val="none" w:sz="0" w:space="0" w:color="auto"/>
        <w:right w:val="none" w:sz="0" w:space="0" w:color="auto"/>
      </w:divBdr>
    </w:div>
    <w:div w:id="738283351">
      <w:bodyDiv w:val="1"/>
      <w:marLeft w:val="0"/>
      <w:marRight w:val="0"/>
      <w:marTop w:val="0"/>
      <w:marBottom w:val="0"/>
      <w:divBdr>
        <w:top w:val="none" w:sz="0" w:space="0" w:color="auto"/>
        <w:left w:val="none" w:sz="0" w:space="0" w:color="auto"/>
        <w:bottom w:val="none" w:sz="0" w:space="0" w:color="auto"/>
        <w:right w:val="none" w:sz="0" w:space="0" w:color="auto"/>
      </w:divBdr>
    </w:div>
    <w:div w:id="773791803">
      <w:bodyDiv w:val="1"/>
      <w:marLeft w:val="0"/>
      <w:marRight w:val="0"/>
      <w:marTop w:val="0"/>
      <w:marBottom w:val="0"/>
      <w:divBdr>
        <w:top w:val="none" w:sz="0" w:space="0" w:color="auto"/>
        <w:left w:val="none" w:sz="0" w:space="0" w:color="auto"/>
        <w:bottom w:val="none" w:sz="0" w:space="0" w:color="auto"/>
        <w:right w:val="none" w:sz="0" w:space="0" w:color="auto"/>
      </w:divBdr>
    </w:div>
    <w:div w:id="782842614">
      <w:bodyDiv w:val="1"/>
      <w:marLeft w:val="0"/>
      <w:marRight w:val="0"/>
      <w:marTop w:val="0"/>
      <w:marBottom w:val="0"/>
      <w:divBdr>
        <w:top w:val="none" w:sz="0" w:space="0" w:color="auto"/>
        <w:left w:val="none" w:sz="0" w:space="0" w:color="auto"/>
        <w:bottom w:val="none" w:sz="0" w:space="0" w:color="auto"/>
        <w:right w:val="none" w:sz="0" w:space="0" w:color="auto"/>
      </w:divBdr>
    </w:div>
    <w:div w:id="863518394">
      <w:bodyDiv w:val="1"/>
      <w:marLeft w:val="0"/>
      <w:marRight w:val="0"/>
      <w:marTop w:val="0"/>
      <w:marBottom w:val="0"/>
      <w:divBdr>
        <w:top w:val="none" w:sz="0" w:space="0" w:color="auto"/>
        <w:left w:val="none" w:sz="0" w:space="0" w:color="auto"/>
        <w:bottom w:val="none" w:sz="0" w:space="0" w:color="auto"/>
        <w:right w:val="none" w:sz="0" w:space="0" w:color="auto"/>
      </w:divBdr>
    </w:div>
    <w:div w:id="924193002">
      <w:bodyDiv w:val="1"/>
      <w:marLeft w:val="0"/>
      <w:marRight w:val="0"/>
      <w:marTop w:val="0"/>
      <w:marBottom w:val="0"/>
      <w:divBdr>
        <w:top w:val="none" w:sz="0" w:space="0" w:color="auto"/>
        <w:left w:val="none" w:sz="0" w:space="0" w:color="auto"/>
        <w:bottom w:val="none" w:sz="0" w:space="0" w:color="auto"/>
        <w:right w:val="none" w:sz="0" w:space="0" w:color="auto"/>
      </w:divBdr>
    </w:div>
    <w:div w:id="953635823">
      <w:bodyDiv w:val="1"/>
      <w:marLeft w:val="0"/>
      <w:marRight w:val="0"/>
      <w:marTop w:val="0"/>
      <w:marBottom w:val="0"/>
      <w:divBdr>
        <w:top w:val="none" w:sz="0" w:space="0" w:color="auto"/>
        <w:left w:val="none" w:sz="0" w:space="0" w:color="auto"/>
        <w:bottom w:val="none" w:sz="0" w:space="0" w:color="auto"/>
        <w:right w:val="none" w:sz="0" w:space="0" w:color="auto"/>
      </w:divBdr>
    </w:div>
    <w:div w:id="1024555751">
      <w:bodyDiv w:val="1"/>
      <w:marLeft w:val="0"/>
      <w:marRight w:val="0"/>
      <w:marTop w:val="0"/>
      <w:marBottom w:val="0"/>
      <w:divBdr>
        <w:top w:val="none" w:sz="0" w:space="0" w:color="auto"/>
        <w:left w:val="none" w:sz="0" w:space="0" w:color="auto"/>
        <w:bottom w:val="none" w:sz="0" w:space="0" w:color="auto"/>
        <w:right w:val="none" w:sz="0" w:space="0" w:color="auto"/>
      </w:divBdr>
    </w:div>
    <w:div w:id="1036588755">
      <w:bodyDiv w:val="1"/>
      <w:marLeft w:val="0"/>
      <w:marRight w:val="0"/>
      <w:marTop w:val="0"/>
      <w:marBottom w:val="0"/>
      <w:divBdr>
        <w:top w:val="none" w:sz="0" w:space="0" w:color="auto"/>
        <w:left w:val="none" w:sz="0" w:space="0" w:color="auto"/>
        <w:bottom w:val="none" w:sz="0" w:space="0" w:color="auto"/>
        <w:right w:val="none" w:sz="0" w:space="0" w:color="auto"/>
      </w:divBdr>
    </w:div>
    <w:div w:id="1051999269">
      <w:bodyDiv w:val="1"/>
      <w:marLeft w:val="0"/>
      <w:marRight w:val="0"/>
      <w:marTop w:val="0"/>
      <w:marBottom w:val="0"/>
      <w:divBdr>
        <w:top w:val="none" w:sz="0" w:space="0" w:color="auto"/>
        <w:left w:val="none" w:sz="0" w:space="0" w:color="auto"/>
        <w:bottom w:val="none" w:sz="0" w:space="0" w:color="auto"/>
        <w:right w:val="none" w:sz="0" w:space="0" w:color="auto"/>
      </w:divBdr>
    </w:div>
    <w:div w:id="1093167140">
      <w:bodyDiv w:val="1"/>
      <w:marLeft w:val="0"/>
      <w:marRight w:val="0"/>
      <w:marTop w:val="0"/>
      <w:marBottom w:val="0"/>
      <w:divBdr>
        <w:top w:val="none" w:sz="0" w:space="0" w:color="auto"/>
        <w:left w:val="none" w:sz="0" w:space="0" w:color="auto"/>
        <w:bottom w:val="none" w:sz="0" w:space="0" w:color="auto"/>
        <w:right w:val="none" w:sz="0" w:space="0" w:color="auto"/>
      </w:divBdr>
    </w:div>
    <w:div w:id="1168324307">
      <w:bodyDiv w:val="1"/>
      <w:marLeft w:val="0"/>
      <w:marRight w:val="0"/>
      <w:marTop w:val="0"/>
      <w:marBottom w:val="0"/>
      <w:divBdr>
        <w:top w:val="none" w:sz="0" w:space="0" w:color="auto"/>
        <w:left w:val="none" w:sz="0" w:space="0" w:color="auto"/>
        <w:bottom w:val="none" w:sz="0" w:space="0" w:color="auto"/>
        <w:right w:val="none" w:sz="0" w:space="0" w:color="auto"/>
      </w:divBdr>
    </w:div>
    <w:div w:id="1220092663">
      <w:bodyDiv w:val="1"/>
      <w:marLeft w:val="0"/>
      <w:marRight w:val="0"/>
      <w:marTop w:val="0"/>
      <w:marBottom w:val="0"/>
      <w:divBdr>
        <w:top w:val="none" w:sz="0" w:space="0" w:color="auto"/>
        <w:left w:val="none" w:sz="0" w:space="0" w:color="auto"/>
        <w:bottom w:val="none" w:sz="0" w:space="0" w:color="auto"/>
        <w:right w:val="none" w:sz="0" w:space="0" w:color="auto"/>
      </w:divBdr>
    </w:div>
    <w:div w:id="1276450733">
      <w:bodyDiv w:val="1"/>
      <w:marLeft w:val="0"/>
      <w:marRight w:val="0"/>
      <w:marTop w:val="0"/>
      <w:marBottom w:val="0"/>
      <w:divBdr>
        <w:top w:val="none" w:sz="0" w:space="0" w:color="auto"/>
        <w:left w:val="none" w:sz="0" w:space="0" w:color="auto"/>
        <w:bottom w:val="none" w:sz="0" w:space="0" w:color="auto"/>
        <w:right w:val="none" w:sz="0" w:space="0" w:color="auto"/>
      </w:divBdr>
    </w:div>
    <w:div w:id="1329672271">
      <w:bodyDiv w:val="1"/>
      <w:marLeft w:val="0"/>
      <w:marRight w:val="0"/>
      <w:marTop w:val="0"/>
      <w:marBottom w:val="0"/>
      <w:divBdr>
        <w:top w:val="none" w:sz="0" w:space="0" w:color="auto"/>
        <w:left w:val="none" w:sz="0" w:space="0" w:color="auto"/>
        <w:bottom w:val="none" w:sz="0" w:space="0" w:color="auto"/>
        <w:right w:val="none" w:sz="0" w:space="0" w:color="auto"/>
      </w:divBdr>
    </w:div>
    <w:div w:id="1353603033">
      <w:bodyDiv w:val="1"/>
      <w:marLeft w:val="0"/>
      <w:marRight w:val="0"/>
      <w:marTop w:val="0"/>
      <w:marBottom w:val="0"/>
      <w:divBdr>
        <w:top w:val="none" w:sz="0" w:space="0" w:color="auto"/>
        <w:left w:val="none" w:sz="0" w:space="0" w:color="auto"/>
        <w:bottom w:val="none" w:sz="0" w:space="0" w:color="auto"/>
        <w:right w:val="none" w:sz="0" w:space="0" w:color="auto"/>
      </w:divBdr>
    </w:div>
    <w:div w:id="1454905361">
      <w:bodyDiv w:val="1"/>
      <w:marLeft w:val="0"/>
      <w:marRight w:val="0"/>
      <w:marTop w:val="0"/>
      <w:marBottom w:val="0"/>
      <w:divBdr>
        <w:top w:val="none" w:sz="0" w:space="0" w:color="auto"/>
        <w:left w:val="none" w:sz="0" w:space="0" w:color="auto"/>
        <w:bottom w:val="none" w:sz="0" w:space="0" w:color="auto"/>
        <w:right w:val="none" w:sz="0" w:space="0" w:color="auto"/>
      </w:divBdr>
    </w:div>
    <w:div w:id="1472290712">
      <w:bodyDiv w:val="1"/>
      <w:marLeft w:val="0"/>
      <w:marRight w:val="0"/>
      <w:marTop w:val="0"/>
      <w:marBottom w:val="0"/>
      <w:divBdr>
        <w:top w:val="none" w:sz="0" w:space="0" w:color="auto"/>
        <w:left w:val="none" w:sz="0" w:space="0" w:color="auto"/>
        <w:bottom w:val="none" w:sz="0" w:space="0" w:color="auto"/>
        <w:right w:val="none" w:sz="0" w:space="0" w:color="auto"/>
      </w:divBdr>
    </w:div>
    <w:div w:id="1478454742">
      <w:bodyDiv w:val="1"/>
      <w:marLeft w:val="0"/>
      <w:marRight w:val="0"/>
      <w:marTop w:val="0"/>
      <w:marBottom w:val="0"/>
      <w:divBdr>
        <w:top w:val="none" w:sz="0" w:space="0" w:color="auto"/>
        <w:left w:val="none" w:sz="0" w:space="0" w:color="auto"/>
        <w:bottom w:val="none" w:sz="0" w:space="0" w:color="auto"/>
        <w:right w:val="none" w:sz="0" w:space="0" w:color="auto"/>
      </w:divBdr>
    </w:div>
    <w:div w:id="1499804608">
      <w:bodyDiv w:val="1"/>
      <w:marLeft w:val="0"/>
      <w:marRight w:val="0"/>
      <w:marTop w:val="0"/>
      <w:marBottom w:val="0"/>
      <w:divBdr>
        <w:top w:val="none" w:sz="0" w:space="0" w:color="auto"/>
        <w:left w:val="none" w:sz="0" w:space="0" w:color="auto"/>
        <w:bottom w:val="none" w:sz="0" w:space="0" w:color="auto"/>
        <w:right w:val="none" w:sz="0" w:space="0" w:color="auto"/>
      </w:divBdr>
      <w:divsChild>
        <w:div w:id="1359235049">
          <w:marLeft w:val="547"/>
          <w:marRight w:val="0"/>
          <w:marTop w:val="0"/>
          <w:marBottom w:val="0"/>
          <w:divBdr>
            <w:top w:val="none" w:sz="0" w:space="0" w:color="auto"/>
            <w:left w:val="none" w:sz="0" w:space="0" w:color="auto"/>
            <w:bottom w:val="none" w:sz="0" w:space="0" w:color="auto"/>
            <w:right w:val="none" w:sz="0" w:space="0" w:color="auto"/>
          </w:divBdr>
        </w:div>
      </w:divsChild>
    </w:div>
    <w:div w:id="1622495574">
      <w:bodyDiv w:val="1"/>
      <w:marLeft w:val="0"/>
      <w:marRight w:val="0"/>
      <w:marTop w:val="0"/>
      <w:marBottom w:val="0"/>
      <w:divBdr>
        <w:top w:val="none" w:sz="0" w:space="0" w:color="auto"/>
        <w:left w:val="none" w:sz="0" w:space="0" w:color="auto"/>
        <w:bottom w:val="none" w:sz="0" w:space="0" w:color="auto"/>
        <w:right w:val="none" w:sz="0" w:space="0" w:color="auto"/>
      </w:divBdr>
      <w:divsChild>
        <w:div w:id="167870455">
          <w:marLeft w:val="547"/>
          <w:marRight w:val="0"/>
          <w:marTop w:val="0"/>
          <w:marBottom w:val="0"/>
          <w:divBdr>
            <w:top w:val="none" w:sz="0" w:space="0" w:color="auto"/>
            <w:left w:val="none" w:sz="0" w:space="0" w:color="auto"/>
            <w:bottom w:val="none" w:sz="0" w:space="0" w:color="auto"/>
            <w:right w:val="none" w:sz="0" w:space="0" w:color="auto"/>
          </w:divBdr>
        </w:div>
      </w:divsChild>
    </w:div>
    <w:div w:id="1692488832">
      <w:bodyDiv w:val="1"/>
      <w:marLeft w:val="0"/>
      <w:marRight w:val="0"/>
      <w:marTop w:val="0"/>
      <w:marBottom w:val="0"/>
      <w:divBdr>
        <w:top w:val="none" w:sz="0" w:space="0" w:color="auto"/>
        <w:left w:val="none" w:sz="0" w:space="0" w:color="auto"/>
        <w:bottom w:val="none" w:sz="0" w:space="0" w:color="auto"/>
        <w:right w:val="none" w:sz="0" w:space="0" w:color="auto"/>
      </w:divBdr>
    </w:div>
    <w:div w:id="1694111553">
      <w:bodyDiv w:val="1"/>
      <w:marLeft w:val="0"/>
      <w:marRight w:val="0"/>
      <w:marTop w:val="0"/>
      <w:marBottom w:val="0"/>
      <w:divBdr>
        <w:top w:val="none" w:sz="0" w:space="0" w:color="auto"/>
        <w:left w:val="none" w:sz="0" w:space="0" w:color="auto"/>
        <w:bottom w:val="none" w:sz="0" w:space="0" w:color="auto"/>
        <w:right w:val="none" w:sz="0" w:space="0" w:color="auto"/>
      </w:divBdr>
    </w:div>
    <w:div w:id="1721859328">
      <w:bodyDiv w:val="1"/>
      <w:marLeft w:val="0"/>
      <w:marRight w:val="0"/>
      <w:marTop w:val="0"/>
      <w:marBottom w:val="0"/>
      <w:divBdr>
        <w:top w:val="none" w:sz="0" w:space="0" w:color="auto"/>
        <w:left w:val="none" w:sz="0" w:space="0" w:color="auto"/>
        <w:bottom w:val="none" w:sz="0" w:space="0" w:color="auto"/>
        <w:right w:val="none" w:sz="0" w:space="0" w:color="auto"/>
      </w:divBdr>
    </w:div>
    <w:div w:id="1743526033">
      <w:bodyDiv w:val="1"/>
      <w:marLeft w:val="0"/>
      <w:marRight w:val="0"/>
      <w:marTop w:val="0"/>
      <w:marBottom w:val="0"/>
      <w:divBdr>
        <w:top w:val="none" w:sz="0" w:space="0" w:color="auto"/>
        <w:left w:val="none" w:sz="0" w:space="0" w:color="auto"/>
        <w:bottom w:val="none" w:sz="0" w:space="0" w:color="auto"/>
        <w:right w:val="none" w:sz="0" w:space="0" w:color="auto"/>
      </w:divBdr>
    </w:div>
    <w:div w:id="1787039798">
      <w:bodyDiv w:val="1"/>
      <w:marLeft w:val="0"/>
      <w:marRight w:val="0"/>
      <w:marTop w:val="0"/>
      <w:marBottom w:val="0"/>
      <w:divBdr>
        <w:top w:val="none" w:sz="0" w:space="0" w:color="auto"/>
        <w:left w:val="none" w:sz="0" w:space="0" w:color="auto"/>
        <w:bottom w:val="none" w:sz="0" w:space="0" w:color="auto"/>
        <w:right w:val="none" w:sz="0" w:space="0" w:color="auto"/>
      </w:divBdr>
    </w:div>
    <w:div w:id="1799452468">
      <w:bodyDiv w:val="1"/>
      <w:marLeft w:val="0"/>
      <w:marRight w:val="0"/>
      <w:marTop w:val="0"/>
      <w:marBottom w:val="0"/>
      <w:divBdr>
        <w:top w:val="none" w:sz="0" w:space="0" w:color="auto"/>
        <w:left w:val="none" w:sz="0" w:space="0" w:color="auto"/>
        <w:bottom w:val="none" w:sz="0" w:space="0" w:color="auto"/>
        <w:right w:val="none" w:sz="0" w:space="0" w:color="auto"/>
      </w:divBdr>
    </w:div>
    <w:div w:id="1802576364">
      <w:bodyDiv w:val="1"/>
      <w:marLeft w:val="0"/>
      <w:marRight w:val="0"/>
      <w:marTop w:val="0"/>
      <w:marBottom w:val="0"/>
      <w:divBdr>
        <w:top w:val="none" w:sz="0" w:space="0" w:color="auto"/>
        <w:left w:val="none" w:sz="0" w:space="0" w:color="auto"/>
        <w:bottom w:val="none" w:sz="0" w:space="0" w:color="auto"/>
        <w:right w:val="none" w:sz="0" w:space="0" w:color="auto"/>
      </w:divBdr>
    </w:div>
    <w:div w:id="1944070531">
      <w:bodyDiv w:val="1"/>
      <w:marLeft w:val="0"/>
      <w:marRight w:val="0"/>
      <w:marTop w:val="0"/>
      <w:marBottom w:val="0"/>
      <w:divBdr>
        <w:top w:val="none" w:sz="0" w:space="0" w:color="auto"/>
        <w:left w:val="none" w:sz="0" w:space="0" w:color="auto"/>
        <w:bottom w:val="none" w:sz="0" w:space="0" w:color="auto"/>
        <w:right w:val="none" w:sz="0" w:space="0" w:color="auto"/>
      </w:divBdr>
    </w:div>
    <w:div w:id="2042002330">
      <w:bodyDiv w:val="1"/>
      <w:marLeft w:val="0"/>
      <w:marRight w:val="0"/>
      <w:marTop w:val="0"/>
      <w:marBottom w:val="0"/>
      <w:divBdr>
        <w:top w:val="none" w:sz="0" w:space="0" w:color="auto"/>
        <w:left w:val="none" w:sz="0" w:space="0" w:color="auto"/>
        <w:bottom w:val="none" w:sz="0" w:space="0" w:color="auto"/>
        <w:right w:val="none" w:sz="0" w:space="0" w:color="auto"/>
      </w:divBdr>
      <w:divsChild>
        <w:div w:id="518739667">
          <w:marLeft w:val="0"/>
          <w:marRight w:val="0"/>
          <w:marTop w:val="0"/>
          <w:marBottom w:val="0"/>
          <w:divBdr>
            <w:top w:val="none" w:sz="0" w:space="0" w:color="auto"/>
            <w:left w:val="none" w:sz="0" w:space="0" w:color="auto"/>
            <w:bottom w:val="none" w:sz="0" w:space="0" w:color="auto"/>
            <w:right w:val="none" w:sz="0" w:space="0" w:color="auto"/>
          </w:divBdr>
          <w:divsChild>
            <w:div w:id="783228574">
              <w:marLeft w:val="0"/>
              <w:marRight w:val="0"/>
              <w:marTop w:val="0"/>
              <w:marBottom w:val="0"/>
              <w:divBdr>
                <w:top w:val="none" w:sz="0" w:space="0" w:color="auto"/>
                <w:left w:val="none" w:sz="0" w:space="0" w:color="auto"/>
                <w:bottom w:val="none" w:sz="0" w:space="0" w:color="auto"/>
                <w:right w:val="none" w:sz="0" w:space="0" w:color="auto"/>
              </w:divBdr>
              <w:divsChild>
                <w:div w:id="200632652">
                  <w:marLeft w:val="0"/>
                  <w:marRight w:val="0"/>
                  <w:marTop w:val="0"/>
                  <w:marBottom w:val="0"/>
                  <w:divBdr>
                    <w:top w:val="none" w:sz="0" w:space="0" w:color="auto"/>
                    <w:left w:val="none" w:sz="0" w:space="0" w:color="auto"/>
                    <w:bottom w:val="none" w:sz="0" w:space="0" w:color="auto"/>
                    <w:right w:val="none" w:sz="0" w:space="0" w:color="auto"/>
                  </w:divBdr>
                  <w:divsChild>
                    <w:div w:id="1241907230">
                      <w:marLeft w:val="0"/>
                      <w:marRight w:val="0"/>
                      <w:marTop w:val="0"/>
                      <w:marBottom w:val="1320"/>
                      <w:divBdr>
                        <w:top w:val="none" w:sz="0" w:space="0" w:color="auto"/>
                        <w:left w:val="none" w:sz="0" w:space="0" w:color="auto"/>
                        <w:bottom w:val="none" w:sz="0" w:space="0" w:color="auto"/>
                        <w:right w:val="none" w:sz="0" w:space="0" w:color="auto"/>
                      </w:divBdr>
                      <w:divsChild>
                        <w:div w:id="2104760263">
                          <w:marLeft w:val="0"/>
                          <w:marRight w:val="0"/>
                          <w:marTop w:val="0"/>
                          <w:marBottom w:val="0"/>
                          <w:divBdr>
                            <w:top w:val="none" w:sz="0" w:space="0" w:color="auto"/>
                            <w:left w:val="none" w:sz="0" w:space="0" w:color="auto"/>
                            <w:bottom w:val="none" w:sz="0" w:space="0" w:color="auto"/>
                            <w:right w:val="none" w:sz="0" w:space="0" w:color="auto"/>
                          </w:divBdr>
                          <w:divsChild>
                            <w:div w:id="345598920">
                              <w:marLeft w:val="0"/>
                              <w:marRight w:val="0"/>
                              <w:marTop w:val="0"/>
                              <w:marBottom w:val="0"/>
                              <w:divBdr>
                                <w:top w:val="none" w:sz="0" w:space="0" w:color="auto"/>
                                <w:left w:val="none" w:sz="0" w:space="0" w:color="auto"/>
                                <w:bottom w:val="none" w:sz="0" w:space="0" w:color="auto"/>
                                <w:right w:val="none" w:sz="0" w:space="0" w:color="auto"/>
                              </w:divBdr>
                              <w:divsChild>
                                <w:div w:id="251664737">
                                  <w:marLeft w:val="0"/>
                                  <w:marRight w:val="0"/>
                                  <w:marTop w:val="0"/>
                                  <w:marBottom w:val="0"/>
                                  <w:divBdr>
                                    <w:top w:val="none" w:sz="0" w:space="0" w:color="auto"/>
                                    <w:left w:val="none" w:sz="0" w:space="0" w:color="auto"/>
                                    <w:bottom w:val="none" w:sz="0" w:space="0" w:color="auto"/>
                                    <w:right w:val="none" w:sz="0" w:space="0" w:color="auto"/>
                                  </w:divBdr>
                                </w:div>
                                <w:div w:id="830871453">
                                  <w:marLeft w:val="0"/>
                                  <w:marRight w:val="0"/>
                                  <w:marTop w:val="0"/>
                                  <w:marBottom w:val="0"/>
                                  <w:divBdr>
                                    <w:top w:val="none" w:sz="0" w:space="0" w:color="auto"/>
                                    <w:left w:val="none" w:sz="0" w:space="0" w:color="auto"/>
                                    <w:bottom w:val="none" w:sz="0" w:space="0" w:color="auto"/>
                                    <w:right w:val="none" w:sz="0" w:space="0" w:color="auto"/>
                                  </w:divBdr>
                                </w:div>
                                <w:div w:id="2054842226">
                                  <w:marLeft w:val="0"/>
                                  <w:marRight w:val="0"/>
                                  <w:marTop w:val="0"/>
                                  <w:marBottom w:val="0"/>
                                  <w:divBdr>
                                    <w:top w:val="none" w:sz="0" w:space="0" w:color="auto"/>
                                    <w:left w:val="none" w:sz="0" w:space="0" w:color="auto"/>
                                    <w:bottom w:val="none" w:sz="0" w:space="0" w:color="auto"/>
                                    <w:right w:val="none" w:sz="0" w:space="0" w:color="auto"/>
                                  </w:divBdr>
                                </w:div>
                                <w:div w:id="669798315">
                                  <w:marLeft w:val="0"/>
                                  <w:marRight w:val="0"/>
                                  <w:marTop w:val="0"/>
                                  <w:marBottom w:val="0"/>
                                  <w:divBdr>
                                    <w:top w:val="none" w:sz="0" w:space="0" w:color="auto"/>
                                    <w:left w:val="none" w:sz="0" w:space="0" w:color="auto"/>
                                    <w:bottom w:val="none" w:sz="0" w:space="0" w:color="auto"/>
                                    <w:right w:val="none" w:sz="0" w:space="0" w:color="auto"/>
                                  </w:divBdr>
                                </w:div>
                                <w:div w:id="1809393066">
                                  <w:marLeft w:val="0"/>
                                  <w:marRight w:val="0"/>
                                  <w:marTop w:val="0"/>
                                  <w:marBottom w:val="0"/>
                                  <w:divBdr>
                                    <w:top w:val="none" w:sz="0" w:space="0" w:color="auto"/>
                                    <w:left w:val="none" w:sz="0" w:space="0" w:color="auto"/>
                                    <w:bottom w:val="none" w:sz="0" w:space="0" w:color="auto"/>
                                    <w:right w:val="none" w:sz="0" w:space="0" w:color="auto"/>
                                  </w:divBdr>
                                </w:div>
                                <w:div w:id="152336538">
                                  <w:marLeft w:val="0"/>
                                  <w:marRight w:val="0"/>
                                  <w:marTop w:val="0"/>
                                  <w:marBottom w:val="0"/>
                                  <w:divBdr>
                                    <w:top w:val="none" w:sz="0" w:space="0" w:color="auto"/>
                                    <w:left w:val="none" w:sz="0" w:space="0" w:color="auto"/>
                                    <w:bottom w:val="none" w:sz="0" w:space="0" w:color="auto"/>
                                    <w:right w:val="none" w:sz="0" w:space="0" w:color="auto"/>
                                  </w:divBdr>
                                </w:div>
                                <w:div w:id="1716929613">
                                  <w:marLeft w:val="0"/>
                                  <w:marRight w:val="0"/>
                                  <w:marTop w:val="0"/>
                                  <w:marBottom w:val="0"/>
                                  <w:divBdr>
                                    <w:top w:val="none" w:sz="0" w:space="0" w:color="auto"/>
                                    <w:left w:val="none" w:sz="0" w:space="0" w:color="auto"/>
                                    <w:bottom w:val="none" w:sz="0" w:space="0" w:color="auto"/>
                                    <w:right w:val="none" w:sz="0" w:space="0" w:color="auto"/>
                                  </w:divBdr>
                                </w:div>
                                <w:div w:id="1611203423">
                                  <w:marLeft w:val="0"/>
                                  <w:marRight w:val="0"/>
                                  <w:marTop w:val="0"/>
                                  <w:marBottom w:val="0"/>
                                  <w:divBdr>
                                    <w:top w:val="none" w:sz="0" w:space="0" w:color="auto"/>
                                    <w:left w:val="none" w:sz="0" w:space="0" w:color="auto"/>
                                    <w:bottom w:val="none" w:sz="0" w:space="0" w:color="auto"/>
                                    <w:right w:val="none" w:sz="0" w:space="0" w:color="auto"/>
                                  </w:divBdr>
                                </w:div>
                                <w:div w:id="1346133288">
                                  <w:marLeft w:val="0"/>
                                  <w:marRight w:val="0"/>
                                  <w:marTop w:val="0"/>
                                  <w:marBottom w:val="0"/>
                                  <w:divBdr>
                                    <w:top w:val="none" w:sz="0" w:space="0" w:color="auto"/>
                                    <w:left w:val="none" w:sz="0" w:space="0" w:color="auto"/>
                                    <w:bottom w:val="none" w:sz="0" w:space="0" w:color="auto"/>
                                    <w:right w:val="none" w:sz="0" w:space="0" w:color="auto"/>
                                  </w:divBdr>
                                </w:div>
                                <w:div w:id="1983389104">
                                  <w:marLeft w:val="0"/>
                                  <w:marRight w:val="0"/>
                                  <w:marTop w:val="0"/>
                                  <w:marBottom w:val="0"/>
                                  <w:divBdr>
                                    <w:top w:val="none" w:sz="0" w:space="0" w:color="auto"/>
                                    <w:left w:val="none" w:sz="0" w:space="0" w:color="auto"/>
                                    <w:bottom w:val="none" w:sz="0" w:space="0" w:color="auto"/>
                                    <w:right w:val="none" w:sz="0" w:space="0" w:color="auto"/>
                                  </w:divBdr>
                                </w:div>
                                <w:div w:id="1903372416">
                                  <w:marLeft w:val="0"/>
                                  <w:marRight w:val="0"/>
                                  <w:marTop w:val="0"/>
                                  <w:marBottom w:val="0"/>
                                  <w:divBdr>
                                    <w:top w:val="none" w:sz="0" w:space="0" w:color="auto"/>
                                    <w:left w:val="none" w:sz="0" w:space="0" w:color="auto"/>
                                    <w:bottom w:val="none" w:sz="0" w:space="0" w:color="auto"/>
                                    <w:right w:val="none" w:sz="0" w:space="0" w:color="auto"/>
                                  </w:divBdr>
                                </w:div>
                                <w:div w:id="1430617163">
                                  <w:marLeft w:val="0"/>
                                  <w:marRight w:val="0"/>
                                  <w:marTop w:val="0"/>
                                  <w:marBottom w:val="0"/>
                                  <w:divBdr>
                                    <w:top w:val="none" w:sz="0" w:space="0" w:color="auto"/>
                                    <w:left w:val="none" w:sz="0" w:space="0" w:color="auto"/>
                                    <w:bottom w:val="none" w:sz="0" w:space="0" w:color="auto"/>
                                    <w:right w:val="none" w:sz="0" w:space="0" w:color="auto"/>
                                  </w:divBdr>
                                </w:div>
                                <w:div w:id="1755272838">
                                  <w:marLeft w:val="0"/>
                                  <w:marRight w:val="0"/>
                                  <w:marTop w:val="0"/>
                                  <w:marBottom w:val="0"/>
                                  <w:divBdr>
                                    <w:top w:val="none" w:sz="0" w:space="0" w:color="auto"/>
                                    <w:left w:val="none" w:sz="0" w:space="0" w:color="auto"/>
                                    <w:bottom w:val="none" w:sz="0" w:space="0" w:color="auto"/>
                                    <w:right w:val="none" w:sz="0" w:space="0" w:color="auto"/>
                                  </w:divBdr>
                                </w:div>
                                <w:div w:id="1686246990">
                                  <w:marLeft w:val="0"/>
                                  <w:marRight w:val="0"/>
                                  <w:marTop w:val="0"/>
                                  <w:marBottom w:val="0"/>
                                  <w:divBdr>
                                    <w:top w:val="none" w:sz="0" w:space="0" w:color="auto"/>
                                    <w:left w:val="none" w:sz="0" w:space="0" w:color="auto"/>
                                    <w:bottom w:val="none" w:sz="0" w:space="0" w:color="auto"/>
                                    <w:right w:val="none" w:sz="0" w:space="0" w:color="auto"/>
                                  </w:divBdr>
                                </w:div>
                                <w:div w:id="1283924769">
                                  <w:marLeft w:val="0"/>
                                  <w:marRight w:val="0"/>
                                  <w:marTop w:val="0"/>
                                  <w:marBottom w:val="0"/>
                                  <w:divBdr>
                                    <w:top w:val="none" w:sz="0" w:space="0" w:color="auto"/>
                                    <w:left w:val="none" w:sz="0" w:space="0" w:color="auto"/>
                                    <w:bottom w:val="none" w:sz="0" w:space="0" w:color="auto"/>
                                    <w:right w:val="none" w:sz="0" w:space="0" w:color="auto"/>
                                  </w:divBdr>
                                </w:div>
                                <w:div w:id="1033070496">
                                  <w:marLeft w:val="0"/>
                                  <w:marRight w:val="0"/>
                                  <w:marTop w:val="0"/>
                                  <w:marBottom w:val="0"/>
                                  <w:divBdr>
                                    <w:top w:val="none" w:sz="0" w:space="0" w:color="auto"/>
                                    <w:left w:val="none" w:sz="0" w:space="0" w:color="auto"/>
                                    <w:bottom w:val="none" w:sz="0" w:space="0" w:color="auto"/>
                                    <w:right w:val="none" w:sz="0" w:space="0" w:color="auto"/>
                                  </w:divBdr>
                                </w:div>
                                <w:div w:id="480848852">
                                  <w:marLeft w:val="0"/>
                                  <w:marRight w:val="0"/>
                                  <w:marTop w:val="0"/>
                                  <w:marBottom w:val="0"/>
                                  <w:divBdr>
                                    <w:top w:val="none" w:sz="0" w:space="0" w:color="auto"/>
                                    <w:left w:val="none" w:sz="0" w:space="0" w:color="auto"/>
                                    <w:bottom w:val="none" w:sz="0" w:space="0" w:color="auto"/>
                                    <w:right w:val="none" w:sz="0" w:space="0" w:color="auto"/>
                                  </w:divBdr>
                                </w:div>
                                <w:div w:id="1808667739">
                                  <w:marLeft w:val="0"/>
                                  <w:marRight w:val="0"/>
                                  <w:marTop w:val="0"/>
                                  <w:marBottom w:val="0"/>
                                  <w:divBdr>
                                    <w:top w:val="none" w:sz="0" w:space="0" w:color="auto"/>
                                    <w:left w:val="none" w:sz="0" w:space="0" w:color="auto"/>
                                    <w:bottom w:val="none" w:sz="0" w:space="0" w:color="auto"/>
                                    <w:right w:val="none" w:sz="0" w:space="0" w:color="auto"/>
                                  </w:divBdr>
                                </w:div>
                                <w:div w:id="1664965280">
                                  <w:marLeft w:val="0"/>
                                  <w:marRight w:val="0"/>
                                  <w:marTop w:val="0"/>
                                  <w:marBottom w:val="0"/>
                                  <w:divBdr>
                                    <w:top w:val="none" w:sz="0" w:space="0" w:color="auto"/>
                                    <w:left w:val="none" w:sz="0" w:space="0" w:color="auto"/>
                                    <w:bottom w:val="none" w:sz="0" w:space="0" w:color="auto"/>
                                    <w:right w:val="none" w:sz="0" w:space="0" w:color="auto"/>
                                  </w:divBdr>
                                </w:div>
                                <w:div w:id="1525829403">
                                  <w:marLeft w:val="0"/>
                                  <w:marRight w:val="0"/>
                                  <w:marTop w:val="0"/>
                                  <w:marBottom w:val="0"/>
                                  <w:divBdr>
                                    <w:top w:val="none" w:sz="0" w:space="0" w:color="auto"/>
                                    <w:left w:val="none" w:sz="0" w:space="0" w:color="auto"/>
                                    <w:bottom w:val="none" w:sz="0" w:space="0" w:color="auto"/>
                                    <w:right w:val="none" w:sz="0" w:space="0" w:color="auto"/>
                                  </w:divBdr>
                                </w:div>
                                <w:div w:id="1703705054">
                                  <w:marLeft w:val="0"/>
                                  <w:marRight w:val="0"/>
                                  <w:marTop w:val="0"/>
                                  <w:marBottom w:val="0"/>
                                  <w:divBdr>
                                    <w:top w:val="none" w:sz="0" w:space="0" w:color="auto"/>
                                    <w:left w:val="none" w:sz="0" w:space="0" w:color="auto"/>
                                    <w:bottom w:val="none" w:sz="0" w:space="0" w:color="auto"/>
                                    <w:right w:val="none" w:sz="0" w:space="0" w:color="auto"/>
                                  </w:divBdr>
                                </w:div>
                                <w:div w:id="1834293269">
                                  <w:marLeft w:val="0"/>
                                  <w:marRight w:val="0"/>
                                  <w:marTop w:val="0"/>
                                  <w:marBottom w:val="0"/>
                                  <w:divBdr>
                                    <w:top w:val="none" w:sz="0" w:space="0" w:color="auto"/>
                                    <w:left w:val="none" w:sz="0" w:space="0" w:color="auto"/>
                                    <w:bottom w:val="none" w:sz="0" w:space="0" w:color="auto"/>
                                    <w:right w:val="none" w:sz="0" w:space="0" w:color="auto"/>
                                  </w:divBdr>
                                </w:div>
                                <w:div w:id="2008634005">
                                  <w:marLeft w:val="0"/>
                                  <w:marRight w:val="0"/>
                                  <w:marTop w:val="0"/>
                                  <w:marBottom w:val="0"/>
                                  <w:divBdr>
                                    <w:top w:val="none" w:sz="0" w:space="0" w:color="auto"/>
                                    <w:left w:val="none" w:sz="0" w:space="0" w:color="auto"/>
                                    <w:bottom w:val="none" w:sz="0" w:space="0" w:color="auto"/>
                                    <w:right w:val="none" w:sz="0" w:space="0" w:color="auto"/>
                                  </w:divBdr>
                                </w:div>
                                <w:div w:id="768039023">
                                  <w:marLeft w:val="0"/>
                                  <w:marRight w:val="0"/>
                                  <w:marTop w:val="0"/>
                                  <w:marBottom w:val="0"/>
                                  <w:divBdr>
                                    <w:top w:val="none" w:sz="0" w:space="0" w:color="auto"/>
                                    <w:left w:val="none" w:sz="0" w:space="0" w:color="auto"/>
                                    <w:bottom w:val="none" w:sz="0" w:space="0" w:color="auto"/>
                                    <w:right w:val="none" w:sz="0" w:space="0" w:color="auto"/>
                                  </w:divBdr>
                                </w:div>
                                <w:div w:id="882137712">
                                  <w:marLeft w:val="0"/>
                                  <w:marRight w:val="0"/>
                                  <w:marTop w:val="0"/>
                                  <w:marBottom w:val="0"/>
                                  <w:divBdr>
                                    <w:top w:val="none" w:sz="0" w:space="0" w:color="auto"/>
                                    <w:left w:val="none" w:sz="0" w:space="0" w:color="auto"/>
                                    <w:bottom w:val="none" w:sz="0" w:space="0" w:color="auto"/>
                                    <w:right w:val="none" w:sz="0" w:space="0" w:color="auto"/>
                                  </w:divBdr>
                                </w:div>
                                <w:div w:id="630743465">
                                  <w:marLeft w:val="0"/>
                                  <w:marRight w:val="0"/>
                                  <w:marTop w:val="0"/>
                                  <w:marBottom w:val="0"/>
                                  <w:divBdr>
                                    <w:top w:val="none" w:sz="0" w:space="0" w:color="auto"/>
                                    <w:left w:val="none" w:sz="0" w:space="0" w:color="auto"/>
                                    <w:bottom w:val="none" w:sz="0" w:space="0" w:color="auto"/>
                                    <w:right w:val="none" w:sz="0" w:space="0" w:color="auto"/>
                                  </w:divBdr>
                                </w:div>
                                <w:div w:id="1147433883">
                                  <w:marLeft w:val="0"/>
                                  <w:marRight w:val="0"/>
                                  <w:marTop w:val="0"/>
                                  <w:marBottom w:val="0"/>
                                  <w:divBdr>
                                    <w:top w:val="none" w:sz="0" w:space="0" w:color="auto"/>
                                    <w:left w:val="none" w:sz="0" w:space="0" w:color="auto"/>
                                    <w:bottom w:val="none" w:sz="0" w:space="0" w:color="auto"/>
                                    <w:right w:val="none" w:sz="0" w:space="0" w:color="auto"/>
                                  </w:divBdr>
                                </w:div>
                                <w:div w:id="1020813668">
                                  <w:marLeft w:val="0"/>
                                  <w:marRight w:val="0"/>
                                  <w:marTop w:val="0"/>
                                  <w:marBottom w:val="0"/>
                                  <w:divBdr>
                                    <w:top w:val="none" w:sz="0" w:space="0" w:color="auto"/>
                                    <w:left w:val="none" w:sz="0" w:space="0" w:color="auto"/>
                                    <w:bottom w:val="none" w:sz="0" w:space="0" w:color="auto"/>
                                    <w:right w:val="none" w:sz="0" w:space="0" w:color="auto"/>
                                  </w:divBdr>
                                </w:div>
                                <w:div w:id="1404138783">
                                  <w:marLeft w:val="0"/>
                                  <w:marRight w:val="0"/>
                                  <w:marTop w:val="0"/>
                                  <w:marBottom w:val="0"/>
                                  <w:divBdr>
                                    <w:top w:val="none" w:sz="0" w:space="0" w:color="auto"/>
                                    <w:left w:val="none" w:sz="0" w:space="0" w:color="auto"/>
                                    <w:bottom w:val="none" w:sz="0" w:space="0" w:color="auto"/>
                                    <w:right w:val="none" w:sz="0" w:space="0" w:color="auto"/>
                                  </w:divBdr>
                                </w:div>
                                <w:div w:id="1416708774">
                                  <w:marLeft w:val="0"/>
                                  <w:marRight w:val="0"/>
                                  <w:marTop w:val="0"/>
                                  <w:marBottom w:val="0"/>
                                  <w:divBdr>
                                    <w:top w:val="none" w:sz="0" w:space="0" w:color="auto"/>
                                    <w:left w:val="none" w:sz="0" w:space="0" w:color="auto"/>
                                    <w:bottom w:val="none" w:sz="0" w:space="0" w:color="auto"/>
                                    <w:right w:val="none" w:sz="0" w:space="0" w:color="auto"/>
                                  </w:divBdr>
                                </w:div>
                                <w:div w:id="1920365405">
                                  <w:marLeft w:val="0"/>
                                  <w:marRight w:val="0"/>
                                  <w:marTop w:val="0"/>
                                  <w:marBottom w:val="0"/>
                                  <w:divBdr>
                                    <w:top w:val="none" w:sz="0" w:space="0" w:color="auto"/>
                                    <w:left w:val="none" w:sz="0" w:space="0" w:color="auto"/>
                                    <w:bottom w:val="none" w:sz="0" w:space="0" w:color="auto"/>
                                    <w:right w:val="none" w:sz="0" w:space="0" w:color="auto"/>
                                  </w:divBdr>
                                </w:div>
                                <w:div w:id="1595551648">
                                  <w:marLeft w:val="0"/>
                                  <w:marRight w:val="0"/>
                                  <w:marTop w:val="0"/>
                                  <w:marBottom w:val="0"/>
                                  <w:divBdr>
                                    <w:top w:val="none" w:sz="0" w:space="0" w:color="auto"/>
                                    <w:left w:val="none" w:sz="0" w:space="0" w:color="auto"/>
                                    <w:bottom w:val="none" w:sz="0" w:space="0" w:color="auto"/>
                                    <w:right w:val="none" w:sz="0" w:space="0" w:color="auto"/>
                                  </w:divBdr>
                                </w:div>
                                <w:div w:id="286399118">
                                  <w:marLeft w:val="0"/>
                                  <w:marRight w:val="0"/>
                                  <w:marTop w:val="0"/>
                                  <w:marBottom w:val="0"/>
                                  <w:divBdr>
                                    <w:top w:val="none" w:sz="0" w:space="0" w:color="auto"/>
                                    <w:left w:val="none" w:sz="0" w:space="0" w:color="auto"/>
                                    <w:bottom w:val="none" w:sz="0" w:space="0" w:color="auto"/>
                                    <w:right w:val="none" w:sz="0" w:space="0" w:color="auto"/>
                                  </w:divBdr>
                                </w:div>
                                <w:div w:id="1298989399">
                                  <w:marLeft w:val="0"/>
                                  <w:marRight w:val="0"/>
                                  <w:marTop w:val="0"/>
                                  <w:marBottom w:val="0"/>
                                  <w:divBdr>
                                    <w:top w:val="none" w:sz="0" w:space="0" w:color="auto"/>
                                    <w:left w:val="none" w:sz="0" w:space="0" w:color="auto"/>
                                    <w:bottom w:val="none" w:sz="0" w:space="0" w:color="auto"/>
                                    <w:right w:val="none" w:sz="0" w:space="0" w:color="auto"/>
                                  </w:divBdr>
                                </w:div>
                                <w:div w:id="2084646718">
                                  <w:marLeft w:val="0"/>
                                  <w:marRight w:val="0"/>
                                  <w:marTop w:val="0"/>
                                  <w:marBottom w:val="0"/>
                                  <w:divBdr>
                                    <w:top w:val="none" w:sz="0" w:space="0" w:color="auto"/>
                                    <w:left w:val="none" w:sz="0" w:space="0" w:color="auto"/>
                                    <w:bottom w:val="none" w:sz="0" w:space="0" w:color="auto"/>
                                    <w:right w:val="none" w:sz="0" w:space="0" w:color="auto"/>
                                  </w:divBdr>
                                </w:div>
                                <w:div w:id="2141265249">
                                  <w:marLeft w:val="0"/>
                                  <w:marRight w:val="0"/>
                                  <w:marTop w:val="0"/>
                                  <w:marBottom w:val="0"/>
                                  <w:divBdr>
                                    <w:top w:val="none" w:sz="0" w:space="0" w:color="auto"/>
                                    <w:left w:val="none" w:sz="0" w:space="0" w:color="auto"/>
                                    <w:bottom w:val="none" w:sz="0" w:space="0" w:color="auto"/>
                                    <w:right w:val="none" w:sz="0" w:space="0" w:color="auto"/>
                                  </w:divBdr>
                                </w:div>
                                <w:div w:id="687829116">
                                  <w:marLeft w:val="0"/>
                                  <w:marRight w:val="0"/>
                                  <w:marTop w:val="0"/>
                                  <w:marBottom w:val="0"/>
                                  <w:divBdr>
                                    <w:top w:val="none" w:sz="0" w:space="0" w:color="auto"/>
                                    <w:left w:val="none" w:sz="0" w:space="0" w:color="auto"/>
                                    <w:bottom w:val="none" w:sz="0" w:space="0" w:color="auto"/>
                                    <w:right w:val="none" w:sz="0" w:space="0" w:color="auto"/>
                                  </w:divBdr>
                                </w:div>
                                <w:div w:id="1905679796">
                                  <w:marLeft w:val="0"/>
                                  <w:marRight w:val="0"/>
                                  <w:marTop w:val="0"/>
                                  <w:marBottom w:val="0"/>
                                  <w:divBdr>
                                    <w:top w:val="none" w:sz="0" w:space="0" w:color="auto"/>
                                    <w:left w:val="none" w:sz="0" w:space="0" w:color="auto"/>
                                    <w:bottom w:val="none" w:sz="0" w:space="0" w:color="auto"/>
                                    <w:right w:val="none" w:sz="0" w:space="0" w:color="auto"/>
                                  </w:divBdr>
                                </w:div>
                                <w:div w:id="1838224059">
                                  <w:marLeft w:val="0"/>
                                  <w:marRight w:val="0"/>
                                  <w:marTop w:val="0"/>
                                  <w:marBottom w:val="0"/>
                                  <w:divBdr>
                                    <w:top w:val="none" w:sz="0" w:space="0" w:color="auto"/>
                                    <w:left w:val="none" w:sz="0" w:space="0" w:color="auto"/>
                                    <w:bottom w:val="none" w:sz="0" w:space="0" w:color="auto"/>
                                    <w:right w:val="none" w:sz="0" w:space="0" w:color="auto"/>
                                  </w:divBdr>
                                </w:div>
                                <w:div w:id="614559044">
                                  <w:marLeft w:val="0"/>
                                  <w:marRight w:val="0"/>
                                  <w:marTop w:val="0"/>
                                  <w:marBottom w:val="0"/>
                                  <w:divBdr>
                                    <w:top w:val="none" w:sz="0" w:space="0" w:color="auto"/>
                                    <w:left w:val="none" w:sz="0" w:space="0" w:color="auto"/>
                                    <w:bottom w:val="none" w:sz="0" w:space="0" w:color="auto"/>
                                    <w:right w:val="none" w:sz="0" w:space="0" w:color="auto"/>
                                  </w:divBdr>
                                </w:div>
                                <w:div w:id="1670938191">
                                  <w:marLeft w:val="0"/>
                                  <w:marRight w:val="0"/>
                                  <w:marTop w:val="0"/>
                                  <w:marBottom w:val="0"/>
                                  <w:divBdr>
                                    <w:top w:val="none" w:sz="0" w:space="0" w:color="auto"/>
                                    <w:left w:val="none" w:sz="0" w:space="0" w:color="auto"/>
                                    <w:bottom w:val="none" w:sz="0" w:space="0" w:color="auto"/>
                                    <w:right w:val="none" w:sz="0" w:space="0" w:color="auto"/>
                                  </w:divBdr>
                                </w:div>
                                <w:div w:id="1461263867">
                                  <w:marLeft w:val="0"/>
                                  <w:marRight w:val="0"/>
                                  <w:marTop w:val="0"/>
                                  <w:marBottom w:val="0"/>
                                  <w:divBdr>
                                    <w:top w:val="none" w:sz="0" w:space="0" w:color="auto"/>
                                    <w:left w:val="none" w:sz="0" w:space="0" w:color="auto"/>
                                    <w:bottom w:val="none" w:sz="0" w:space="0" w:color="auto"/>
                                    <w:right w:val="none" w:sz="0" w:space="0" w:color="auto"/>
                                  </w:divBdr>
                                </w:div>
                                <w:div w:id="1118647383">
                                  <w:marLeft w:val="0"/>
                                  <w:marRight w:val="0"/>
                                  <w:marTop w:val="0"/>
                                  <w:marBottom w:val="0"/>
                                  <w:divBdr>
                                    <w:top w:val="none" w:sz="0" w:space="0" w:color="auto"/>
                                    <w:left w:val="none" w:sz="0" w:space="0" w:color="auto"/>
                                    <w:bottom w:val="none" w:sz="0" w:space="0" w:color="auto"/>
                                    <w:right w:val="none" w:sz="0" w:space="0" w:color="auto"/>
                                  </w:divBdr>
                                </w:div>
                                <w:div w:id="2019892080">
                                  <w:marLeft w:val="0"/>
                                  <w:marRight w:val="0"/>
                                  <w:marTop w:val="0"/>
                                  <w:marBottom w:val="0"/>
                                  <w:divBdr>
                                    <w:top w:val="none" w:sz="0" w:space="0" w:color="auto"/>
                                    <w:left w:val="none" w:sz="0" w:space="0" w:color="auto"/>
                                    <w:bottom w:val="none" w:sz="0" w:space="0" w:color="auto"/>
                                    <w:right w:val="none" w:sz="0" w:space="0" w:color="auto"/>
                                  </w:divBdr>
                                </w:div>
                                <w:div w:id="639310384">
                                  <w:marLeft w:val="0"/>
                                  <w:marRight w:val="0"/>
                                  <w:marTop w:val="0"/>
                                  <w:marBottom w:val="0"/>
                                  <w:divBdr>
                                    <w:top w:val="none" w:sz="0" w:space="0" w:color="auto"/>
                                    <w:left w:val="none" w:sz="0" w:space="0" w:color="auto"/>
                                    <w:bottom w:val="none" w:sz="0" w:space="0" w:color="auto"/>
                                    <w:right w:val="none" w:sz="0" w:space="0" w:color="auto"/>
                                  </w:divBdr>
                                </w:div>
                                <w:div w:id="599408206">
                                  <w:marLeft w:val="0"/>
                                  <w:marRight w:val="0"/>
                                  <w:marTop w:val="0"/>
                                  <w:marBottom w:val="0"/>
                                  <w:divBdr>
                                    <w:top w:val="none" w:sz="0" w:space="0" w:color="auto"/>
                                    <w:left w:val="none" w:sz="0" w:space="0" w:color="auto"/>
                                    <w:bottom w:val="none" w:sz="0" w:space="0" w:color="auto"/>
                                    <w:right w:val="none" w:sz="0" w:space="0" w:color="auto"/>
                                  </w:divBdr>
                                </w:div>
                                <w:div w:id="1420830361">
                                  <w:marLeft w:val="0"/>
                                  <w:marRight w:val="0"/>
                                  <w:marTop w:val="0"/>
                                  <w:marBottom w:val="0"/>
                                  <w:divBdr>
                                    <w:top w:val="none" w:sz="0" w:space="0" w:color="auto"/>
                                    <w:left w:val="none" w:sz="0" w:space="0" w:color="auto"/>
                                    <w:bottom w:val="none" w:sz="0" w:space="0" w:color="auto"/>
                                    <w:right w:val="none" w:sz="0" w:space="0" w:color="auto"/>
                                  </w:divBdr>
                                </w:div>
                                <w:div w:id="1044672051">
                                  <w:marLeft w:val="0"/>
                                  <w:marRight w:val="0"/>
                                  <w:marTop w:val="0"/>
                                  <w:marBottom w:val="0"/>
                                  <w:divBdr>
                                    <w:top w:val="none" w:sz="0" w:space="0" w:color="auto"/>
                                    <w:left w:val="none" w:sz="0" w:space="0" w:color="auto"/>
                                    <w:bottom w:val="none" w:sz="0" w:space="0" w:color="auto"/>
                                    <w:right w:val="none" w:sz="0" w:space="0" w:color="auto"/>
                                  </w:divBdr>
                                </w:div>
                                <w:div w:id="1440637136">
                                  <w:marLeft w:val="0"/>
                                  <w:marRight w:val="0"/>
                                  <w:marTop w:val="0"/>
                                  <w:marBottom w:val="0"/>
                                  <w:divBdr>
                                    <w:top w:val="none" w:sz="0" w:space="0" w:color="auto"/>
                                    <w:left w:val="none" w:sz="0" w:space="0" w:color="auto"/>
                                    <w:bottom w:val="none" w:sz="0" w:space="0" w:color="auto"/>
                                    <w:right w:val="none" w:sz="0" w:space="0" w:color="auto"/>
                                  </w:divBdr>
                                </w:div>
                                <w:div w:id="1028144046">
                                  <w:marLeft w:val="0"/>
                                  <w:marRight w:val="0"/>
                                  <w:marTop w:val="0"/>
                                  <w:marBottom w:val="0"/>
                                  <w:divBdr>
                                    <w:top w:val="none" w:sz="0" w:space="0" w:color="auto"/>
                                    <w:left w:val="none" w:sz="0" w:space="0" w:color="auto"/>
                                    <w:bottom w:val="none" w:sz="0" w:space="0" w:color="auto"/>
                                    <w:right w:val="none" w:sz="0" w:space="0" w:color="auto"/>
                                  </w:divBdr>
                                </w:div>
                                <w:div w:id="6461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gobila@gmail.com" TargetMode="External"/><Relationship Id="rId18" Type="http://schemas.openxmlformats.org/officeDocument/2006/relationships/image" Target="media/image8.emf"/><Relationship Id="rId26" Type="http://schemas.openxmlformats.org/officeDocument/2006/relationships/hyperlink" Target="http://documents.banquemondiale.org/curated/fr/2014/03/19399765/congo-democratic-republic-improved-forested-landscape-management-project-resettlement-plan-vol-2-2-cadre-fonctionnel" TargetMode="External"/><Relationship Id="rId39" Type="http://schemas.openxmlformats.org/officeDocument/2006/relationships/hyperlink" Target="http://www.forestcarbonpartnership.org/sites/fcp/files/2016/May/ERPD%20DRC%20final%20for%20presentation.pdf" TargetMode="External"/><Relationship Id="rId21" Type="http://schemas.openxmlformats.org/officeDocument/2006/relationships/image" Target="media/image11.png"/><Relationship Id="rId34" Type="http://schemas.openxmlformats.org/officeDocument/2006/relationships/hyperlink" Target="http://documents.banquemondiale.org/curated/fr/2014/03/19399765/congo-democratic-republic-improved-forested-landscape-management-project-resettlement-plan-vol-2-2-cadre-fonctionnel" TargetMode="External"/><Relationship Id="rId42" Type="http://schemas.openxmlformats.org/officeDocument/2006/relationships/image" Target="media/image16.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yperlink" Target="http://siteresources.worldbank.org/OPSMANUAL/112526-1124459412562/23585578/OP10.00_July1_2014.pdf"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2.png"/><Relationship Id="rId41" Type="http://schemas.openxmlformats.org/officeDocument/2006/relationships/image" Target="media/image15.jpeg"/><Relationship Id="rId54" Type="http://schemas.openxmlformats.org/officeDocument/2006/relationships/hyperlink" Target="http://siteresources.worldbank.org/INTPROCUREMENT/Resources/278019-1308067833011/Consultant_GLs_English_Final_Jan2011.pdf" TargetMode="External"/><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ocuments.banquemondiale.org/curated/fr/2014/03/19394409/congo-democratic-republic-improved-forested-landscape-management-project-environmental-assessment-vol-3-3-cadre-de-gestion-des-ressources-culturelles-physiques" TargetMode="External"/><Relationship Id="rId32" Type="http://schemas.openxmlformats.org/officeDocument/2006/relationships/hyperlink" Target="http://documents.banquemondiale.org/curated/fr/2014/03/19394409/congo-democratic-republic-improved-forested-landscape-management-project-environmental-assessment-vol-3-3-cadre-de-gestion-des-ressources-culturelles-physiques" TargetMode="External"/><Relationship Id="rId37" Type="http://schemas.openxmlformats.org/officeDocument/2006/relationships/image" Target="media/image13.jpeg"/><Relationship Id="rId40" Type="http://schemas.openxmlformats.org/officeDocument/2006/relationships/hyperlink" Target="http://www.worldbank.org/projects/P128887/drc-forest-investment-program?lang=en" TargetMode="External"/><Relationship Id="rId45" Type="http://schemas.openxmlformats.org/officeDocument/2006/relationships/image" Target="media/image19.png"/><Relationship Id="rId53" Type="http://schemas.openxmlformats.org/officeDocument/2006/relationships/hyperlink" Target="http://siteresources.worldbank.org/INTPROCUREMENT/Resources/Procurement_GLs_English_Final_Jan2011_revised_July1-2014.pdf"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osulumola@yahoo.fr" TargetMode="External"/><Relationship Id="rId23" Type="http://schemas.openxmlformats.org/officeDocument/2006/relationships/hyperlink" Target="http://documents.banquemondiale.org/curated/fr/2014/03/19394418/congo-democratic-republic-improved-forested-landscape-management-project-environmental-assessment-vol-1-3-plan-de-gestion-des-pestes-pesticides" TargetMode="External"/><Relationship Id="rId28" Type="http://schemas.openxmlformats.org/officeDocument/2006/relationships/hyperlink" Target="http://web.worldbank.org/WBSITE/EXTERNAL/ACCUEILEXTN/EXTPPFRENCH/0,,contentMDK:20220468~hlPK:385824~menuPK:64130631~pagePK:64130495~piPK:64130272~theSitePK:385794,00.html" TargetMode="External"/><Relationship Id="rId36" Type="http://schemas.openxmlformats.org/officeDocument/2006/relationships/footer" Target="footer1.xml"/><Relationship Id="rId49" Type="http://schemas.openxmlformats.org/officeDocument/2006/relationships/diagramColors" Target="diagrams/colors1.xml"/><Relationship Id="rId57" Type="http://schemas.openxmlformats.org/officeDocument/2006/relationships/hyperlink" Target="http://intresources.worldbank.org/CTR/Resources/264273-1334555366246/8581715-1340600368291/Disb_Handbook_English.pdf" TargetMode="External"/><Relationship Id="rId61"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hyperlink" Target="http://documents.banquemondiale.org/curated/fr/2014/03/19394418/congo-democratic-republic-improved-forested-landscape-management-project-environmental-assessment-vol-1-3-plan-de-gestion-des-pestes-pesticides" TargetMode="External"/><Relationship Id="rId44" Type="http://schemas.openxmlformats.org/officeDocument/2006/relationships/image" Target="media/image18.png"/><Relationship Id="rId52" Type="http://schemas.openxmlformats.org/officeDocument/2006/relationships/hyperlink" Target="http://intresources.worldbank.org/INTPROCUREMENT/Resources/P-RAMS_UsersGuideFinal_(update_Sep_2013).pdf" TargetMode="External"/><Relationship Id="rId60" Type="http://schemas.openxmlformats.org/officeDocument/2006/relationships/image" Target="media/image2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r.mola@yahoo.fr" TargetMode="External"/><Relationship Id="rId22" Type="http://schemas.openxmlformats.org/officeDocument/2006/relationships/hyperlink" Target="http://documents.banquemondiale.org/curated/fr/2014/03/19394419/congo-democratic-republic-improved-forested-landscape-management-project-environmental-assessment-vol-2-3-cadre-de-gestion-environnementale-sociale" TargetMode="External"/><Relationship Id="rId27" Type="http://schemas.openxmlformats.org/officeDocument/2006/relationships/hyperlink" Target="http://documents.banquemondiale.org/curated/fr/2014/03/19407483/congo-democratic-republic-improved-forested-landscape-management-project-indigenous-peoples-plan" TargetMode="External"/><Relationship Id="rId30" Type="http://schemas.openxmlformats.org/officeDocument/2006/relationships/hyperlink" Target="http://documents.banquemondiale.org/curated/fr/2014/03/19394419/congo-democratic-republic-improved-forested-landscape-management-project-environmental-assessment-vol-2-3-cadre-de-gestion-environnementale-sociale" TargetMode="External"/><Relationship Id="rId35" Type="http://schemas.openxmlformats.org/officeDocument/2006/relationships/header" Target="header1.xml"/><Relationship Id="rId43" Type="http://schemas.openxmlformats.org/officeDocument/2006/relationships/image" Target="media/image17.png"/><Relationship Id="rId48" Type="http://schemas.openxmlformats.org/officeDocument/2006/relationships/diagramQuickStyle" Target="diagrams/quickStyle1.xml"/><Relationship Id="rId56" Type="http://schemas.openxmlformats.org/officeDocument/2006/relationships/hyperlink" Target="http://siteresources.worldbank.org/OPSMANUAL/112526-1124459412562/23586218/OP11.00_Final_July_2014.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worldbank.org/content/dam/Worldbank/document/SORT_Guidance_Note_11_7_14.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documents.banquemondiale.org/curated/fr/2014/03/19399764/congo-democratic-republic-improved-forested-landscape-management-project-resettlement-plan-vol-1-2-cadre-de-politique-de-reinstallation" TargetMode="External"/><Relationship Id="rId33" Type="http://schemas.openxmlformats.org/officeDocument/2006/relationships/hyperlink" Target="http://documents.banquemondiale.org/curated/fr/2014/03/19399764/congo-democratic-republic-improved-forested-landscape-management-project-resettlement-plan-vol-1-2-cadre-de-politique-de-reinstallation" TargetMode="External"/><Relationship Id="rId38" Type="http://schemas.openxmlformats.org/officeDocument/2006/relationships/image" Target="media/image14.jpeg"/><Relationship Id="rId46" Type="http://schemas.openxmlformats.org/officeDocument/2006/relationships/diagramData" Target="diagrams/data1.xml"/><Relationship Id="rId59"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4B6E01-65B7-4F69-BBEE-2C23CD417094}" type="doc">
      <dgm:prSet loTypeId="urn:microsoft.com/office/officeart/2005/8/layout/process1" loCatId="process" qsTypeId="urn:microsoft.com/office/officeart/2005/8/quickstyle/simple1" qsCatId="simple" csTypeId="urn:microsoft.com/office/officeart/2005/8/colors/accent6_1" csCatId="accent6" phldr="1"/>
      <dgm:spPr/>
    </dgm:pt>
    <dgm:pt modelId="{6F062A20-55C6-4F60-BE42-51D54579038F}">
      <dgm:prSet phldrT="[Text]"/>
      <dgm:spPr>
        <a:xfrm>
          <a:off x="2411" y="47248"/>
          <a:ext cx="1054149" cy="810377"/>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a:solidFill>
                <a:sysClr val="windowText" lastClr="000000">
                  <a:hueOff val="0"/>
                  <a:satOff val="0"/>
                  <a:lumOff val="0"/>
                </a:sysClr>
              </a:solidFill>
              <a:latin typeface="Calibri" panose="020F0502020204030204"/>
              <a:ea typeface="+mn-ea"/>
              <a:cs typeface="+mn-cs"/>
            </a:rPr>
            <a:t>Central African Forest Initiative (CAFI)</a:t>
          </a:r>
        </a:p>
      </dgm:t>
    </dgm:pt>
    <dgm:pt modelId="{9222EC5E-777A-4298-AFC9-B92CAD845DE2}" type="parTrans" cxnId="{7F5D604B-8915-4758-ACF7-E9854D41B1BE}">
      <dgm:prSet/>
      <dgm:spPr/>
      <dgm:t>
        <a:bodyPr/>
        <a:lstStyle/>
        <a:p>
          <a:endParaRPr lang="en-US"/>
        </a:p>
      </dgm:t>
    </dgm:pt>
    <dgm:pt modelId="{34F2320F-11D3-4110-BC62-0846DE8B764E}" type="sibTrans" cxnId="{7F5D604B-8915-4758-ACF7-E9854D41B1BE}">
      <dgm:prSet/>
      <dgm:spPr>
        <a:xfrm>
          <a:off x="1161975" y="321722"/>
          <a:ext cx="223479" cy="261429"/>
        </a:xfrm>
        <a:solidFill>
          <a:srgbClr val="70AD47">
            <a:tint val="60000"/>
            <a:hueOff val="0"/>
            <a:satOff val="0"/>
            <a:lumOff val="0"/>
            <a:alphaOff val="0"/>
          </a:srgbClr>
        </a:solidFill>
        <a:ln>
          <a:noFill/>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EB6A9D7-5855-4069-BFF3-985BDFF8A382}">
      <dgm:prSet phldrT="[Text]"/>
      <dgm:spPr>
        <a:xfrm>
          <a:off x="1478220" y="47248"/>
          <a:ext cx="1054149" cy="810377"/>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a:solidFill>
                <a:sysClr val="windowText" lastClr="000000">
                  <a:hueOff val="0"/>
                  <a:satOff val="0"/>
                  <a:lumOff val="0"/>
                </a:sysClr>
              </a:solidFill>
              <a:latin typeface="Calibri" panose="020F0502020204030204"/>
              <a:ea typeface="+mn-ea"/>
              <a:cs typeface="+mn-cs"/>
            </a:rPr>
            <a:t>Multi-Partner Trust Fund Office (MPTFO)</a:t>
          </a:r>
        </a:p>
      </dgm:t>
    </dgm:pt>
    <dgm:pt modelId="{46A5A392-84E8-40C0-8DA4-F883DB84974F}" type="parTrans" cxnId="{FAA1DCAF-B5FE-47C4-A4B6-17DE038B0552}">
      <dgm:prSet/>
      <dgm:spPr/>
      <dgm:t>
        <a:bodyPr/>
        <a:lstStyle/>
        <a:p>
          <a:endParaRPr lang="en-US"/>
        </a:p>
      </dgm:t>
    </dgm:pt>
    <dgm:pt modelId="{EF1AA7E6-7328-4A06-94CB-7CDE186FDD9A}" type="sibTrans" cxnId="{FAA1DCAF-B5FE-47C4-A4B6-17DE038B0552}">
      <dgm:prSet/>
      <dgm:spPr>
        <a:xfrm>
          <a:off x="2637785" y="321722"/>
          <a:ext cx="223479" cy="261429"/>
        </a:xfrm>
        <a:solidFill>
          <a:srgbClr val="70AD47">
            <a:tint val="60000"/>
            <a:hueOff val="0"/>
            <a:satOff val="0"/>
            <a:lumOff val="0"/>
            <a:alphaOff val="0"/>
          </a:srgbClr>
        </a:solidFill>
        <a:ln>
          <a:noFill/>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F042DFC-6325-463F-96F7-15692CB7E2E5}">
      <dgm:prSet phldrT="[Text]"/>
      <dgm:spPr>
        <a:xfrm>
          <a:off x="2954029" y="47248"/>
          <a:ext cx="1054149" cy="810377"/>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a:solidFill>
                <a:sysClr val="windowText" lastClr="000000">
                  <a:hueOff val="0"/>
                  <a:satOff val="0"/>
                  <a:lumOff val="0"/>
                </a:sysClr>
              </a:solidFill>
              <a:latin typeface="Calibri" panose="020F0502020204030204"/>
              <a:ea typeface="+mn-ea"/>
              <a:cs typeface="+mn-cs"/>
            </a:rPr>
            <a:t>World Bank Group (WBG)</a:t>
          </a:r>
        </a:p>
      </dgm:t>
    </dgm:pt>
    <dgm:pt modelId="{A17DBD2D-6D2C-40F7-9A3D-739C75B866C9}" type="parTrans" cxnId="{111A7621-5C15-4B39-B48D-A4FFB7068C41}">
      <dgm:prSet/>
      <dgm:spPr/>
      <dgm:t>
        <a:bodyPr/>
        <a:lstStyle/>
        <a:p>
          <a:endParaRPr lang="en-US"/>
        </a:p>
      </dgm:t>
    </dgm:pt>
    <dgm:pt modelId="{57EB2ED3-3993-4D44-9C90-697E053EA7AF}" type="sibTrans" cxnId="{111A7621-5C15-4B39-B48D-A4FFB7068C41}">
      <dgm:prSet/>
      <dgm:spPr>
        <a:xfrm>
          <a:off x="4113594" y="321722"/>
          <a:ext cx="223479" cy="261429"/>
        </a:xfrm>
        <a:solidFill>
          <a:srgbClr val="70AD47">
            <a:tint val="60000"/>
            <a:hueOff val="0"/>
            <a:satOff val="0"/>
            <a:lumOff val="0"/>
            <a:alphaOff val="0"/>
          </a:srgbClr>
        </a:solidFill>
        <a:ln>
          <a:noFill/>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1ACC52C-E6B1-46E0-ABD1-11E1383AB63E}">
      <dgm:prSet phldrT="[Text]"/>
      <dgm:spPr>
        <a:xfrm>
          <a:off x="4429839" y="47248"/>
          <a:ext cx="1054149" cy="810377"/>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a:solidFill>
                <a:sysClr val="windowText" lastClr="000000">
                  <a:hueOff val="0"/>
                  <a:satOff val="0"/>
                  <a:lumOff val="0"/>
                </a:sysClr>
              </a:solidFill>
              <a:latin typeface="Calibri" panose="020F0502020204030204"/>
              <a:ea typeface="+mn-ea"/>
              <a:cs typeface="+mn-cs"/>
            </a:rPr>
            <a:t>Democratic Republic of Congo (DRC)</a:t>
          </a:r>
        </a:p>
      </dgm:t>
    </dgm:pt>
    <dgm:pt modelId="{2F3C5070-6594-441B-9D55-29AFD0C44A77}" type="parTrans" cxnId="{6B04E16A-C812-4DB7-9920-5CD34D916067}">
      <dgm:prSet/>
      <dgm:spPr/>
      <dgm:t>
        <a:bodyPr/>
        <a:lstStyle/>
        <a:p>
          <a:endParaRPr lang="en-US"/>
        </a:p>
      </dgm:t>
    </dgm:pt>
    <dgm:pt modelId="{BE433B46-6702-4151-B5A9-94961537D78D}" type="sibTrans" cxnId="{6B04E16A-C812-4DB7-9920-5CD34D916067}">
      <dgm:prSet/>
      <dgm:spPr/>
      <dgm:t>
        <a:bodyPr/>
        <a:lstStyle/>
        <a:p>
          <a:endParaRPr lang="en-US"/>
        </a:p>
      </dgm:t>
    </dgm:pt>
    <dgm:pt modelId="{C8645CD6-E563-44DF-B12B-B30C75C74F83}" type="pres">
      <dgm:prSet presAssocID="{754B6E01-65B7-4F69-BBEE-2C23CD417094}" presName="Name0" presStyleCnt="0">
        <dgm:presLayoutVars>
          <dgm:dir/>
          <dgm:resizeHandles val="exact"/>
        </dgm:presLayoutVars>
      </dgm:prSet>
      <dgm:spPr/>
    </dgm:pt>
    <dgm:pt modelId="{E8F85F93-8334-4945-A85F-D1359147199D}" type="pres">
      <dgm:prSet presAssocID="{6F062A20-55C6-4F60-BE42-51D54579038F}" presName="node" presStyleLbl="node1" presStyleIdx="0" presStyleCnt="4">
        <dgm:presLayoutVars>
          <dgm:bulletEnabled val="1"/>
        </dgm:presLayoutVars>
      </dgm:prSet>
      <dgm:spPr>
        <a:prstGeom prst="roundRect">
          <a:avLst>
            <a:gd name="adj" fmla="val 10000"/>
          </a:avLst>
        </a:prstGeom>
      </dgm:spPr>
    </dgm:pt>
    <dgm:pt modelId="{509CE89B-A0B5-4D59-A3C6-A6CC96C56E06}" type="pres">
      <dgm:prSet presAssocID="{34F2320F-11D3-4110-BC62-0846DE8B764E}" presName="sibTrans" presStyleLbl="sibTrans2D1" presStyleIdx="0" presStyleCnt="3"/>
      <dgm:spPr>
        <a:prstGeom prst="rightArrow">
          <a:avLst>
            <a:gd name="adj1" fmla="val 60000"/>
            <a:gd name="adj2" fmla="val 50000"/>
          </a:avLst>
        </a:prstGeom>
      </dgm:spPr>
    </dgm:pt>
    <dgm:pt modelId="{2A776E9A-B900-475D-A871-C6D1CDE9C66D}" type="pres">
      <dgm:prSet presAssocID="{34F2320F-11D3-4110-BC62-0846DE8B764E}" presName="connectorText" presStyleLbl="sibTrans2D1" presStyleIdx="0" presStyleCnt="3"/>
      <dgm:spPr/>
    </dgm:pt>
    <dgm:pt modelId="{418892F0-0164-41E1-AAC6-0B9FFE7491EA}" type="pres">
      <dgm:prSet presAssocID="{FEB6A9D7-5855-4069-BFF3-985BDFF8A382}" presName="node" presStyleLbl="node1" presStyleIdx="1" presStyleCnt="4">
        <dgm:presLayoutVars>
          <dgm:bulletEnabled val="1"/>
        </dgm:presLayoutVars>
      </dgm:prSet>
      <dgm:spPr>
        <a:prstGeom prst="roundRect">
          <a:avLst>
            <a:gd name="adj" fmla="val 10000"/>
          </a:avLst>
        </a:prstGeom>
      </dgm:spPr>
    </dgm:pt>
    <dgm:pt modelId="{3FAF1B47-3D11-4A7D-9301-7977A343B736}" type="pres">
      <dgm:prSet presAssocID="{EF1AA7E6-7328-4A06-94CB-7CDE186FDD9A}" presName="sibTrans" presStyleLbl="sibTrans2D1" presStyleIdx="1" presStyleCnt="3"/>
      <dgm:spPr>
        <a:prstGeom prst="rightArrow">
          <a:avLst>
            <a:gd name="adj1" fmla="val 60000"/>
            <a:gd name="adj2" fmla="val 50000"/>
          </a:avLst>
        </a:prstGeom>
      </dgm:spPr>
    </dgm:pt>
    <dgm:pt modelId="{871B6A89-8A15-4C33-8C21-8493A9F6609B}" type="pres">
      <dgm:prSet presAssocID="{EF1AA7E6-7328-4A06-94CB-7CDE186FDD9A}" presName="connectorText" presStyleLbl="sibTrans2D1" presStyleIdx="1" presStyleCnt="3"/>
      <dgm:spPr/>
    </dgm:pt>
    <dgm:pt modelId="{BD293C48-A244-4D0F-B6B6-5E21A4CE96DB}" type="pres">
      <dgm:prSet presAssocID="{9F042DFC-6325-463F-96F7-15692CB7E2E5}" presName="node" presStyleLbl="node1" presStyleIdx="2" presStyleCnt="4">
        <dgm:presLayoutVars>
          <dgm:bulletEnabled val="1"/>
        </dgm:presLayoutVars>
      </dgm:prSet>
      <dgm:spPr>
        <a:prstGeom prst="roundRect">
          <a:avLst>
            <a:gd name="adj" fmla="val 10000"/>
          </a:avLst>
        </a:prstGeom>
      </dgm:spPr>
    </dgm:pt>
    <dgm:pt modelId="{04233874-16E8-4649-9EB0-96E362666364}" type="pres">
      <dgm:prSet presAssocID="{57EB2ED3-3993-4D44-9C90-697E053EA7AF}" presName="sibTrans" presStyleLbl="sibTrans2D1" presStyleIdx="2" presStyleCnt="3"/>
      <dgm:spPr>
        <a:prstGeom prst="rightArrow">
          <a:avLst>
            <a:gd name="adj1" fmla="val 60000"/>
            <a:gd name="adj2" fmla="val 50000"/>
          </a:avLst>
        </a:prstGeom>
      </dgm:spPr>
    </dgm:pt>
    <dgm:pt modelId="{878BF9B6-5F39-4C3B-ADB5-FE18253E1D85}" type="pres">
      <dgm:prSet presAssocID="{57EB2ED3-3993-4D44-9C90-697E053EA7AF}" presName="connectorText" presStyleLbl="sibTrans2D1" presStyleIdx="2" presStyleCnt="3"/>
      <dgm:spPr/>
    </dgm:pt>
    <dgm:pt modelId="{94DDC3A8-2BE5-474A-8483-10622103A125}" type="pres">
      <dgm:prSet presAssocID="{21ACC52C-E6B1-46E0-ABD1-11E1383AB63E}" presName="node" presStyleLbl="node1" presStyleIdx="3" presStyleCnt="4">
        <dgm:presLayoutVars>
          <dgm:bulletEnabled val="1"/>
        </dgm:presLayoutVars>
      </dgm:prSet>
      <dgm:spPr>
        <a:prstGeom prst="roundRect">
          <a:avLst>
            <a:gd name="adj" fmla="val 10000"/>
          </a:avLst>
        </a:prstGeom>
      </dgm:spPr>
    </dgm:pt>
  </dgm:ptLst>
  <dgm:cxnLst>
    <dgm:cxn modelId="{56B1FE02-A4D5-49C3-98D1-E626052BB435}" type="presOf" srcId="{FEB6A9D7-5855-4069-BFF3-985BDFF8A382}" destId="{418892F0-0164-41E1-AAC6-0B9FFE7491EA}" srcOrd="0" destOrd="0" presId="urn:microsoft.com/office/officeart/2005/8/layout/process1"/>
    <dgm:cxn modelId="{B012AD10-9F36-4B32-9B92-7DFC5D35D81A}" type="presOf" srcId="{34F2320F-11D3-4110-BC62-0846DE8B764E}" destId="{509CE89B-A0B5-4D59-A3C6-A6CC96C56E06}" srcOrd="0" destOrd="0" presId="urn:microsoft.com/office/officeart/2005/8/layout/process1"/>
    <dgm:cxn modelId="{111A7621-5C15-4B39-B48D-A4FFB7068C41}" srcId="{754B6E01-65B7-4F69-BBEE-2C23CD417094}" destId="{9F042DFC-6325-463F-96F7-15692CB7E2E5}" srcOrd="2" destOrd="0" parTransId="{A17DBD2D-6D2C-40F7-9A3D-739C75B866C9}" sibTransId="{57EB2ED3-3993-4D44-9C90-697E053EA7AF}"/>
    <dgm:cxn modelId="{40367529-197F-4D4D-A404-D68D4C29D7C0}" type="presOf" srcId="{754B6E01-65B7-4F69-BBEE-2C23CD417094}" destId="{C8645CD6-E563-44DF-B12B-B30C75C74F83}" srcOrd="0" destOrd="0" presId="urn:microsoft.com/office/officeart/2005/8/layout/process1"/>
    <dgm:cxn modelId="{D016363A-F6AB-42D1-8AF0-6A5C2714D617}" type="presOf" srcId="{9F042DFC-6325-463F-96F7-15692CB7E2E5}" destId="{BD293C48-A244-4D0F-B6B6-5E21A4CE96DB}" srcOrd="0" destOrd="0" presId="urn:microsoft.com/office/officeart/2005/8/layout/process1"/>
    <dgm:cxn modelId="{6B04E16A-C812-4DB7-9920-5CD34D916067}" srcId="{754B6E01-65B7-4F69-BBEE-2C23CD417094}" destId="{21ACC52C-E6B1-46E0-ABD1-11E1383AB63E}" srcOrd="3" destOrd="0" parTransId="{2F3C5070-6594-441B-9D55-29AFD0C44A77}" sibTransId="{BE433B46-6702-4151-B5A9-94961537D78D}"/>
    <dgm:cxn modelId="{7F5D604B-8915-4758-ACF7-E9854D41B1BE}" srcId="{754B6E01-65B7-4F69-BBEE-2C23CD417094}" destId="{6F062A20-55C6-4F60-BE42-51D54579038F}" srcOrd="0" destOrd="0" parTransId="{9222EC5E-777A-4298-AFC9-B92CAD845DE2}" sibTransId="{34F2320F-11D3-4110-BC62-0846DE8B764E}"/>
    <dgm:cxn modelId="{080E9679-0122-4947-B171-D4075FC9927A}" type="presOf" srcId="{21ACC52C-E6B1-46E0-ABD1-11E1383AB63E}" destId="{94DDC3A8-2BE5-474A-8483-10622103A125}" srcOrd="0" destOrd="0" presId="urn:microsoft.com/office/officeart/2005/8/layout/process1"/>
    <dgm:cxn modelId="{0EDE147A-2650-4447-990F-242CB394A53C}" type="presOf" srcId="{6F062A20-55C6-4F60-BE42-51D54579038F}" destId="{E8F85F93-8334-4945-A85F-D1359147199D}" srcOrd="0" destOrd="0" presId="urn:microsoft.com/office/officeart/2005/8/layout/process1"/>
    <dgm:cxn modelId="{FAA1DCAF-B5FE-47C4-A4B6-17DE038B0552}" srcId="{754B6E01-65B7-4F69-BBEE-2C23CD417094}" destId="{FEB6A9D7-5855-4069-BFF3-985BDFF8A382}" srcOrd="1" destOrd="0" parTransId="{46A5A392-84E8-40C0-8DA4-F883DB84974F}" sibTransId="{EF1AA7E6-7328-4A06-94CB-7CDE186FDD9A}"/>
    <dgm:cxn modelId="{DE6979C6-4935-40B1-9FB8-386EA6667A6B}" type="presOf" srcId="{57EB2ED3-3993-4D44-9C90-697E053EA7AF}" destId="{04233874-16E8-4649-9EB0-96E362666364}" srcOrd="0" destOrd="0" presId="urn:microsoft.com/office/officeart/2005/8/layout/process1"/>
    <dgm:cxn modelId="{21AFDBD8-CAE5-4F30-9E6A-70EF2DCB2BBF}" type="presOf" srcId="{EF1AA7E6-7328-4A06-94CB-7CDE186FDD9A}" destId="{871B6A89-8A15-4C33-8C21-8493A9F6609B}" srcOrd="1" destOrd="0" presId="urn:microsoft.com/office/officeart/2005/8/layout/process1"/>
    <dgm:cxn modelId="{5D3FF7E1-9775-4D19-8DB5-6515F5842CC4}" type="presOf" srcId="{34F2320F-11D3-4110-BC62-0846DE8B764E}" destId="{2A776E9A-B900-475D-A871-C6D1CDE9C66D}" srcOrd="1" destOrd="0" presId="urn:microsoft.com/office/officeart/2005/8/layout/process1"/>
    <dgm:cxn modelId="{22F321EE-CAE7-400A-B583-2A83198B8283}" type="presOf" srcId="{57EB2ED3-3993-4D44-9C90-697E053EA7AF}" destId="{878BF9B6-5F39-4C3B-ADB5-FE18253E1D85}" srcOrd="1" destOrd="0" presId="urn:microsoft.com/office/officeart/2005/8/layout/process1"/>
    <dgm:cxn modelId="{97D6F1F7-0547-497E-A69B-6E9BFC76ECA8}" type="presOf" srcId="{EF1AA7E6-7328-4A06-94CB-7CDE186FDD9A}" destId="{3FAF1B47-3D11-4A7D-9301-7977A343B736}" srcOrd="0" destOrd="0" presId="urn:microsoft.com/office/officeart/2005/8/layout/process1"/>
    <dgm:cxn modelId="{73B00DBC-6313-4FB0-BF6F-27CE3D3E6118}" type="presParOf" srcId="{C8645CD6-E563-44DF-B12B-B30C75C74F83}" destId="{E8F85F93-8334-4945-A85F-D1359147199D}" srcOrd="0" destOrd="0" presId="urn:microsoft.com/office/officeart/2005/8/layout/process1"/>
    <dgm:cxn modelId="{8EF8AD31-CAEB-440E-8D8C-CDD552907770}" type="presParOf" srcId="{C8645CD6-E563-44DF-B12B-B30C75C74F83}" destId="{509CE89B-A0B5-4D59-A3C6-A6CC96C56E06}" srcOrd="1" destOrd="0" presId="urn:microsoft.com/office/officeart/2005/8/layout/process1"/>
    <dgm:cxn modelId="{9C703363-6205-4871-9FEF-846F0B347782}" type="presParOf" srcId="{509CE89B-A0B5-4D59-A3C6-A6CC96C56E06}" destId="{2A776E9A-B900-475D-A871-C6D1CDE9C66D}" srcOrd="0" destOrd="0" presId="urn:microsoft.com/office/officeart/2005/8/layout/process1"/>
    <dgm:cxn modelId="{05897033-3AE3-4249-89F4-1DDDC3D15BCD}" type="presParOf" srcId="{C8645CD6-E563-44DF-B12B-B30C75C74F83}" destId="{418892F0-0164-41E1-AAC6-0B9FFE7491EA}" srcOrd="2" destOrd="0" presId="urn:microsoft.com/office/officeart/2005/8/layout/process1"/>
    <dgm:cxn modelId="{D932B512-72CD-4A2D-9CC1-8B609B64B2E2}" type="presParOf" srcId="{C8645CD6-E563-44DF-B12B-B30C75C74F83}" destId="{3FAF1B47-3D11-4A7D-9301-7977A343B736}" srcOrd="3" destOrd="0" presId="urn:microsoft.com/office/officeart/2005/8/layout/process1"/>
    <dgm:cxn modelId="{1BE6264F-5598-40CF-AD5B-EC9C3644A5A2}" type="presParOf" srcId="{3FAF1B47-3D11-4A7D-9301-7977A343B736}" destId="{871B6A89-8A15-4C33-8C21-8493A9F6609B}" srcOrd="0" destOrd="0" presId="urn:microsoft.com/office/officeart/2005/8/layout/process1"/>
    <dgm:cxn modelId="{636C171F-D968-4032-A2AD-561CBC06650C}" type="presParOf" srcId="{C8645CD6-E563-44DF-B12B-B30C75C74F83}" destId="{BD293C48-A244-4D0F-B6B6-5E21A4CE96DB}" srcOrd="4" destOrd="0" presId="urn:microsoft.com/office/officeart/2005/8/layout/process1"/>
    <dgm:cxn modelId="{2AEE2C4C-6DFA-49A9-9AC8-C8112210D6E1}" type="presParOf" srcId="{C8645CD6-E563-44DF-B12B-B30C75C74F83}" destId="{04233874-16E8-4649-9EB0-96E362666364}" srcOrd="5" destOrd="0" presId="urn:microsoft.com/office/officeart/2005/8/layout/process1"/>
    <dgm:cxn modelId="{A6976C3E-FC76-4075-9056-F456B2F6E739}" type="presParOf" srcId="{04233874-16E8-4649-9EB0-96E362666364}" destId="{878BF9B6-5F39-4C3B-ADB5-FE18253E1D85}" srcOrd="0" destOrd="0" presId="urn:microsoft.com/office/officeart/2005/8/layout/process1"/>
    <dgm:cxn modelId="{0AE71B9F-33A9-4B4C-8FB8-8DC93F54ECDA}" type="presParOf" srcId="{C8645CD6-E563-44DF-B12B-B30C75C74F83}" destId="{94DDC3A8-2BE5-474A-8483-10622103A125}" srcOrd="6" destOrd="0" presId="urn:microsoft.com/office/officeart/2005/8/layout/process1"/>
  </dgm:cxnLst>
  <dgm:bg>
    <a:noFill/>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85F93-8334-4945-A85F-D1359147199D}">
      <dsp:nvSpPr>
        <dsp:cNvPr id="0" name=""/>
        <dsp:cNvSpPr/>
      </dsp:nvSpPr>
      <dsp:spPr>
        <a:xfrm>
          <a:off x="2411" y="47248"/>
          <a:ext cx="1054149" cy="810377"/>
        </a:xfrm>
        <a:prstGeom prst="roundRect">
          <a:avLst>
            <a:gd name="adj" fmla="val 1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sysClr>
              </a:solidFill>
              <a:latin typeface="Calibri" panose="020F0502020204030204"/>
              <a:ea typeface="+mn-ea"/>
              <a:cs typeface="+mn-cs"/>
            </a:rPr>
            <a:t>Central African Forest Initiative (CAFI)</a:t>
          </a:r>
        </a:p>
      </dsp:txBody>
      <dsp:txXfrm>
        <a:off x="26146" y="70983"/>
        <a:ext cx="1006679" cy="762907"/>
      </dsp:txXfrm>
    </dsp:sp>
    <dsp:sp modelId="{509CE89B-A0B5-4D59-A3C6-A6CC96C56E06}">
      <dsp:nvSpPr>
        <dsp:cNvPr id="0" name=""/>
        <dsp:cNvSpPr/>
      </dsp:nvSpPr>
      <dsp:spPr>
        <a:xfrm>
          <a:off x="1161975" y="321722"/>
          <a:ext cx="223479" cy="261429"/>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1161975" y="374008"/>
        <a:ext cx="156435" cy="156857"/>
      </dsp:txXfrm>
    </dsp:sp>
    <dsp:sp modelId="{418892F0-0164-41E1-AAC6-0B9FFE7491EA}">
      <dsp:nvSpPr>
        <dsp:cNvPr id="0" name=""/>
        <dsp:cNvSpPr/>
      </dsp:nvSpPr>
      <dsp:spPr>
        <a:xfrm>
          <a:off x="1478220" y="47248"/>
          <a:ext cx="1054149" cy="810377"/>
        </a:xfrm>
        <a:prstGeom prst="roundRect">
          <a:avLst>
            <a:gd name="adj" fmla="val 1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sysClr>
              </a:solidFill>
              <a:latin typeface="Calibri" panose="020F0502020204030204"/>
              <a:ea typeface="+mn-ea"/>
              <a:cs typeface="+mn-cs"/>
            </a:rPr>
            <a:t>Multi-Partner Trust Fund Office (MPTFO)</a:t>
          </a:r>
        </a:p>
      </dsp:txBody>
      <dsp:txXfrm>
        <a:off x="1501955" y="70983"/>
        <a:ext cx="1006679" cy="762907"/>
      </dsp:txXfrm>
    </dsp:sp>
    <dsp:sp modelId="{3FAF1B47-3D11-4A7D-9301-7977A343B736}">
      <dsp:nvSpPr>
        <dsp:cNvPr id="0" name=""/>
        <dsp:cNvSpPr/>
      </dsp:nvSpPr>
      <dsp:spPr>
        <a:xfrm>
          <a:off x="2637785" y="321722"/>
          <a:ext cx="223479" cy="261429"/>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2637785" y="374008"/>
        <a:ext cx="156435" cy="156857"/>
      </dsp:txXfrm>
    </dsp:sp>
    <dsp:sp modelId="{BD293C48-A244-4D0F-B6B6-5E21A4CE96DB}">
      <dsp:nvSpPr>
        <dsp:cNvPr id="0" name=""/>
        <dsp:cNvSpPr/>
      </dsp:nvSpPr>
      <dsp:spPr>
        <a:xfrm>
          <a:off x="2954029" y="47248"/>
          <a:ext cx="1054149" cy="810377"/>
        </a:xfrm>
        <a:prstGeom prst="roundRect">
          <a:avLst>
            <a:gd name="adj" fmla="val 1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sysClr>
              </a:solidFill>
              <a:latin typeface="Calibri" panose="020F0502020204030204"/>
              <a:ea typeface="+mn-ea"/>
              <a:cs typeface="+mn-cs"/>
            </a:rPr>
            <a:t>World Bank Group (WBG)</a:t>
          </a:r>
        </a:p>
      </dsp:txBody>
      <dsp:txXfrm>
        <a:off x="2977764" y="70983"/>
        <a:ext cx="1006679" cy="762907"/>
      </dsp:txXfrm>
    </dsp:sp>
    <dsp:sp modelId="{04233874-16E8-4649-9EB0-96E362666364}">
      <dsp:nvSpPr>
        <dsp:cNvPr id="0" name=""/>
        <dsp:cNvSpPr/>
      </dsp:nvSpPr>
      <dsp:spPr>
        <a:xfrm>
          <a:off x="4113594" y="321722"/>
          <a:ext cx="223479" cy="261429"/>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4113594" y="374008"/>
        <a:ext cx="156435" cy="156857"/>
      </dsp:txXfrm>
    </dsp:sp>
    <dsp:sp modelId="{94DDC3A8-2BE5-474A-8483-10622103A125}">
      <dsp:nvSpPr>
        <dsp:cNvPr id="0" name=""/>
        <dsp:cNvSpPr/>
      </dsp:nvSpPr>
      <dsp:spPr>
        <a:xfrm>
          <a:off x="4429839" y="47248"/>
          <a:ext cx="1054149" cy="810377"/>
        </a:xfrm>
        <a:prstGeom prst="roundRect">
          <a:avLst>
            <a:gd name="adj" fmla="val 1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sysClr>
              </a:solidFill>
              <a:latin typeface="Calibri" panose="020F0502020204030204"/>
              <a:ea typeface="+mn-ea"/>
              <a:cs typeface="+mn-cs"/>
            </a:rPr>
            <a:t>Democratic Republic of Congo (DRC)</a:t>
          </a:r>
        </a:p>
      </dsp:txBody>
      <dsp:txXfrm>
        <a:off x="4453574" y="70983"/>
        <a:ext cx="1006679" cy="7629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CCF0-0BE5-45D4-A5BE-CE8622528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159</Pages>
  <Words>67556</Words>
  <Characters>371561</Characters>
  <Application>Microsoft Office Word</Application>
  <DocSecurity>4</DocSecurity>
  <Lines>3096</Lines>
  <Paragraphs>876</Paragraphs>
  <ScaleCrop>false</ScaleCrop>
  <HeadingPairs>
    <vt:vector size="6" baseType="variant">
      <vt:variant>
        <vt:lpstr>Title</vt:lpstr>
      </vt:variant>
      <vt:variant>
        <vt:i4>1</vt:i4>
      </vt:variant>
      <vt:variant>
        <vt:lpstr>Titre</vt:lpstr>
      </vt:variant>
      <vt:variant>
        <vt:i4>1</vt:i4>
      </vt:variant>
      <vt:variant>
        <vt:lpstr>Titres</vt:lpstr>
      </vt:variant>
      <vt:variant>
        <vt:i4>6</vt:i4>
      </vt:variant>
    </vt:vector>
  </HeadingPairs>
  <TitlesOfParts>
    <vt:vector size="8" baseType="lpstr">
      <vt:lpstr/>
      <vt:lpstr/>
      <vt:lpstr>Page de couverture et page(s) de signature</vt:lpstr>
      <vt:lpstr>Liste des acronymes</vt:lpstr>
      <vt:lpstr>Résumé analytique</vt:lpstr>
      <vt:lpstr>Analyse de situation et localisation du programme </vt:lpstr>
      <vt:lpstr>Contexte du programme REDD+</vt:lpstr>
      <vt:lpstr>Objectifs général et spécifique et Stratégie d’intervention</vt:lpstr>
    </vt:vector>
  </TitlesOfParts>
  <Company>Microsoft</Company>
  <LinksUpToDate>false</LinksUpToDate>
  <CharactersWithSpaces>438241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Ouarzazi</dc:creator>
  <cp:keywords/>
  <dc:description/>
  <cp:lastModifiedBy>Estelle FACH</cp:lastModifiedBy>
  <cp:revision>2</cp:revision>
  <cp:lastPrinted>2016-09-23T07:51:00Z</cp:lastPrinted>
  <dcterms:created xsi:type="dcterms:W3CDTF">2018-05-31T19:38:00Z</dcterms:created>
  <dcterms:modified xsi:type="dcterms:W3CDTF">2018-05-31T19:38:00Z</dcterms:modified>
</cp:coreProperties>
</file>