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198D" w:rsidRDefault="00DA198D">
      <w:r>
        <w:rPr>
          <w:noProof/>
          <w:lang w:eastAsia="fr-FR"/>
        </w:rPr>
        <mc:AlternateContent>
          <mc:Choice Requires="wps">
            <w:drawing>
              <wp:anchor distT="0" distB="0" distL="114300" distR="114300" simplePos="0" relativeHeight="251652608" behindDoc="0" locked="0" layoutInCell="1" allowOverlap="1" wp14:anchorId="749AFBCD" wp14:editId="78BACC53">
                <wp:simplePos x="0" y="0"/>
                <wp:positionH relativeFrom="column">
                  <wp:posOffset>-718820</wp:posOffset>
                </wp:positionH>
                <wp:positionV relativeFrom="paragraph">
                  <wp:posOffset>-652145</wp:posOffset>
                </wp:positionV>
                <wp:extent cx="7172325" cy="1800225"/>
                <wp:effectExtent l="0" t="0" r="28575" b="2857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800225"/>
                        </a:xfrm>
                        <a:prstGeom prst="rect">
                          <a:avLst/>
                        </a:prstGeom>
                        <a:solidFill>
                          <a:srgbClr val="FFFFFF"/>
                        </a:solidFill>
                        <a:ln w="9525">
                          <a:solidFill>
                            <a:schemeClr val="bg1"/>
                          </a:solidFill>
                          <a:miter lim="800000"/>
                          <a:headEnd/>
                          <a:tailEnd/>
                        </a:ln>
                      </wps:spPr>
                      <wps:txbx>
                        <w:txbxContent>
                          <w:p w:rsidR="00DA198D" w:rsidRDefault="00297889" w:rsidP="00DA198D">
                            <w:pPr>
                              <w:jc w:val="center"/>
                            </w:pPr>
                            <w:r>
                              <w:rPr>
                                <w:noProof/>
                                <w:lang w:eastAsia="fr-FR"/>
                              </w:rPr>
                              <w:drawing>
                                <wp:inline distT="0" distB="0" distL="0" distR="0">
                                  <wp:extent cx="6414135" cy="1699895"/>
                                  <wp:effectExtent l="0" t="0" r="571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a:extLst>
                                              <a:ext uri="{28A0092B-C50C-407E-A947-70E740481C1C}">
                                                <a14:useLocalDpi xmlns:a14="http://schemas.microsoft.com/office/drawing/2010/main" val="0"/>
                                              </a:ext>
                                            </a:extLst>
                                          </a:blip>
                                          <a:stretch>
                                            <a:fillRect/>
                                          </a:stretch>
                                        </pic:blipFill>
                                        <pic:spPr>
                                          <a:xfrm>
                                            <a:off x="0" y="0"/>
                                            <a:ext cx="6414135" cy="16998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9AFBCD" id="_x0000_t202" coordsize="21600,21600" o:spt="202" path="m,l,21600r21600,l21600,xe">
                <v:stroke joinstyle="miter"/>
                <v:path gradientshapeok="t" o:connecttype="rect"/>
              </v:shapetype>
              <v:shape id="Zone de texte 2" o:spid="_x0000_s1026" type="#_x0000_t202" style="position:absolute;margin-left:-56.6pt;margin-top:-51.35pt;width:564.75pt;height:141.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" strokecolor="white [3212]">
                <v:textbox>
                  <w:txbxContent>
                    <w:p w:rsidR="00DA198D" w:rsidRDefault="00297889" w:rsidP="00DA198D">
                      <w:pPr>
                        <w:jc w:val="center"/>
                      </w:pPr>
                      <w:r>
                        <w:rPr>
                          <w:noProof/>
                          <w:lang w:eastAsia="fr-FR"/>
                        </w:rPr>
                        <w:drawing>
                          <wp:inline distT="0" distB="0" distL="0" distR="0">
                            <wp:extent cx="6414135" cy="1699895"/>
                            <wp:effectExtent l="0" t="0" r="571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a:extLst>
                                        <a:ext uri="{28A0092B-C50C-407E-A947-70E740481C1C}">
                                          <a14:useLocalDpi xmlns:a14="http://schemas.microsoft.com/office/drawing/2010/main" val="0"/>
                                        </a:ext>
                                      </a:extLst>
                                    </a:blip>
                                    <a:stretch>
                                      <a:fillRect/>
                                    </a:stretch>
                                  </pic:blipFill>
                                  <pic:spPr>
                                    <a:xfrm>
                                      <a:off x="0" y="0"/>
                                      <a:ext cx="6414135" cy="1699895"/>
                                    </a:xfrm>
                                    <a:prstGeom prst="rect">
                                      <a:avLst/>
                                    </a:prstGeom>
                                  </pic:spPr>
                                </pic:pic>
                              </a:graphicData>
                            </a:graphic>
                          </wp:inline>
                        </w:drawing>
                      </w:r>
                    </w:p>
                  </w:txbxContent>
                </v:textbox>
              </v:shape>
            </w:pict>
          </mc:Fallback>
        </mc:AlternateContent>
      </w:r>
    </w:p>
    <w:p w:rsidR="00DA198D" w:rsidRDefault="00DA198D"/>
    <w:p w:rsidR="00DA198D" w:rsidRDefault="00DA198D"/>
    <w:p w:rsidR="00DA198D" w:rsidRDefault="00DA198D"/>
    <w:p w:rsidR="009765C8" w:rsidRDefault="009765C8" w:rsidP="00DA198D">
      <w:pPr>
        <w:pStyle w:val="Default"/>
        <w:rPr>
          <w:rFonts w:cstheme="minorBidi"/>
          <w:color w:val="auto"/>
        </w:rPr>
        <w:sectPr w:rsidR="009765C8" w:rsidSect="004F607F">
          <w:pgSz w:w="11906" w:h="16838"/>
          <w:pgMar w:top="1418" w:right="1417" w:bottom="1417" w:left="1417" w:header="708" w:footer="708" w:gutter="0"/>
          <w:cols w:space="708"/>
          <w:docGrid w:linePitch="360"/>
        </w:sectPr>
      </w:pPr>
    </w:p>
    <w:p w:rsidR="00297889" w:rsidRPr="00297889" w:rsidRDefault="00297889" w:rsidP="00297889">
      <w:pPr>
        <w:autoSpaceDE w:val="0"/>
        <w:autoSpaceDN w:val="0"/>
        <w:adjustRightInd w:val="0"/>
        <w:spacing w:after="0" w:line="240" w:lineRule="auto"/>
        <w:rPr>
          <w:rFonts w:ascii="Impact" w:hAnsi="Impact"/>
          <w:sz w:val="32"/>
          <w:szCs w:val="32"/>
        </w:rPr>
      </w:pPr>
      <w:r w:rsidRPr="00297889">
        <w:rPr>
          <w:rFonts w:ascii="Impact" w:hAnsi="Impact"/>
          <w:sz w:val="24"/>
          <w:szCs w:val="24"/>
        </w:rPr>
        <w:t xml:space="preserve"> </w:t>
      </w:r>
      <w:r w:rsidRPr="00297889">
        <w:rPr>
          <w:rFonts w:ascii="Impact" w:hAnsi="Impact"/>
          <w:color w:val="92D050"/>
          <w:sz w:val="32"/>
          <w:szCs w:val="32"/>
        </w:rPr>
        <w:t xml:space="preserve">Contexte </w:t>
      </w:r>
    </w:p>
    <w:p w:rsidR="00297889" w:rsidRDefault="00297889" w:rsidP="00896D11">
      <w:pPr>
        <w:autoSpaceDE w:val="0"/>
        <w:autoSpaceDN w:val="0"/>
        <w:adjustRightInd w:val="0"/>
        <w:spacing w:after="0" w:line="240" w:lineRule="auto"/>
        <w:jc w:val="both"/>
        <w:rPr>
          <w:rFonts w:ascii="Century Gothic" w:hAnsi="Century Gothic" w:cs="Century Gothic"/>
          <w:sz w:val="20"/>
          <w:szCs w:val="20"/>
        </w:rPr>
      </w:pPr>
      <w:r w:rsidRPr="00297889">
        <w:rPr>
          <w:rFonts w:ascii="Century Gothic" w:hAnsi="Century Gothic" w:cs="Century Gothic"/>
          <w:sz w:val="20"/>
          <w:szCs w:val="20"/>
        </w:rPr>
        <w:t>Le partage de l'information et la coopération au sein et entre les services répressifs et au sein et entre les pays sont essentiels dans la lutte contre la criminalité transnationale organisée. L'importance de cette coopération est réaffirmée dans la résolution Conf. 11.3 (Rev. CoP16) «</w:t>
      </w:r>
      <w:r w:rsidR="004F607F">
        <w:rPr>
          <w:rFonts w:ascii="Century Gothic" w:hAnsi="Century Gothic" w:cs="Century Gothic"/>
          <w:sz w:val="20"/>
          <w:szCs w:val="20"/>
        </w:rPr>
        <w:t xml:space="preserve"> </w:t>
      </w:r>
      <w:r w:rsidRPr="00297889">
        <w:rPr>
          <w:rFonts w:ascii="Century Gothic" w:hAnsi="Century Gothic" w:cs="Century Gothic"/>
          <w:sz w:val="20"/>
          <w:szCs w:val="20"/>
        </w:rPr>
        <w:t>Conformité et application</w:t>
      </w:r>
      <w:r w:rsidR="004F607F">
        <w:rPr>
          <w:rFonts w:ascii="Century Gothic" w:hAnsi="Century Gothic" w:cs="Century Gothic"/>
          <w:sz w:val="20"/>
          <w:szCs w:val="20"/>
        </w:rPr>
        <w:t xml:space="preserve"> </w:t>
      </w:r>
      <w:r w:rsidRPr="00297889">
        <w:rPr>
          <w:rFonts w:ascii="Century Gothic" w:hAnsi="Century Gothic" w:cs="Century Gothic"/>
          <w:sz w:val="20"/>
          <w:szCs w:val="20"/>
        </w:rPr>
        <w:t xml:space="preserve">», qui recommande aux autorités de gestion de coordonner leurs activités de formation et de réunions conjointes avec les organismes gouvernementaux responsables de l'application de la Convention sur le commerce international des espèces de faune et de flore sauvages menacées d'extinction (CITES) afin de faciliter l'échange d'informations. Les gouvernements de la région de l'Afrique centrale et leurs partenaires s'engagent à respecter leurs engagements internationaux en matière de commerce illicite des espèces végétales et animales sauvages et, en particulier, de la mise en </w:t>
      </w:r>
      <w:r w:rsidR="007701F6" w:rsidRPr="00297889">
        <w:rPr>
          <w:rFonts w:ascii="Century Gothic" w:hAnsi="Century Gothic" w:cs="Century Gothic"/>
          <w:sz w:val="20"/>
          <w:szCs w:val="20"/>
        </w:rPr>
        <w:t>œuvre</w:t>
      </w:r>
      <w:r w:rsidRPr="00297889">
        <w:rPr>
          <w:rFonts w:ascii="Century Gothic" w:hAnsi="Century Gothic" w:cs="Century Gothic"/>
          <w:sz w:val="20"/>
          <w:szCs w:val="20"/>
        </w:rPr>
        <w:t xml:space="preserve"> de la résolution Conf. 11,3 (CoP16). </w:t>
      </w:r>
    </w:p>
    <w:p w:rsidR="00D53F1E" w:rsidRPr="00297889" w:rsidRDefault="00D53F1E" w:rsidP="00896D11">
      <w:pPr>
        <w:autoSpaceDE w:val="0"/>
        <w:autoSpaceDN w:val="0"/>
        <w:adjustRightInd w:val="0"/>
        <w:spacing w:after="0" w:line="240" w:lineRule="auto"/>
        <w:jc w:val="both"/>
        <w:rPr>
          <w:rFonts w:ascii="Century Gothic" w:hAnsi="Century Gothic" w:cs="Century Gothic"/>
          <w:sz w:val="20"/>
          <w:szCs w:val="20"/>
        </w:rPr>
      </w:pPr>
    </w:p>
    <w:p w:rsidR="00297889" w:rsidRPr="00297889" w:rsidRDefault="00297889" w:rsidP="00297889">
      <w:pPr>
        <w:autoSpaceDE w:val="0"/>
        <w:autoSpaceDN w:val="0"/>
        <w:adjustRightInd w:val="0"/>
        <w:spacing w:after="0" w:line="240" w:lineRule="auto"/>
        <w:rPr>
          <w:rFonts w:ascii="Impact" w:hAnsi="Impact" w:cs="Impact"/>
          <w:color w:val="92D050"/>
          <w:sz w:val="32"/>
          <w:szCs w:val="32"/>
        </w:rPr>
      </w:pPr>
      <w:r w:rsidRPr="00297889">
        <w:rPr>
          <w:rFonts w:ascii="Impact" w:hAnsi="Impact" w:cs="Impact"/>
          <w:color w:val="92D050"/>
          <w:sz w:val="32"/>
          <w:szCs w:val="32"/>
        </w:rPr>
        <w:t xml:space="preserve">Le Système AFRICA-TWIX </w:t>
      </w:r>
    </w:p>
    <w:p w:rsidR="00297889" w:rsidRDefault="00297889" w:rsidP="00297889">
      <w:pPr>
        <w:jc w:val="center"/>
        <w:rPr>
          <w:rFonts w:ascii="Century Gothic" w:hAnsi="Century Gothic" w:cs="Century Gothic"/>
          <w:sz w:val="20"/>
          <w:szCs w:val="20"/>
        </w:rPr>
      </w:pPr>
      <w:r w:rsidRPr="00297889">
        <w:rPr>
          <w:rFonts w:ascii="Century Gothic" w:hAnsi="Century Gothic" w:cs="Century Gothic"/>
          <w:sz w:val="20"/>
          <w:szCs w:val="20"/>
        </w:rPr>
        <w:t xml:space="preserve">Un outil mis au point pour faciliter l'échange d'informations et la coopération entre les autorités de gestion et de contrôle de la CITES. </w:t>
      </w:r>
    </w:p>
    <w:p w:rsidR="00DA198D" w:rsidRPr="007B34BF" w:rsidRDefault="00896D11" w:rsidP="00297889">
      <w:pPr>
        <w:jc w:val="center"/>
        <w:rPr>
          <w:rFonts w:ascii="Century Gothic" w:hAnsi="Century Gothic" w:cs="Century Gothic"/>
          <w:sz w:val="20"/>
          <w:szCs w:val="20"/>
        </w:rPr>
      </w:pPr>
      <w:r w:rsidRPr="00EE427B">
        <w:rPr>
          <w:noProof/>
          <w:color w:val="92D050"/>
          <w:sz w:val="32"/>
          <w:szCs w:val="32"/>
          <w:lang w:eastAsia="fr-FR"/>
        </w:rPr>
        <mc:AlternateContent>
          <mc:Choice Requires="wps">
            <w:drawing>
              <wp:anchor distT="0" distB="0" distL="114300" distR="114300" simplePos="0" relativeHeight="251655680" behindDoc="0" locked="0" layoutInCell="1" allowOverlap="1" wp14:anchorId="17A1D7A7" wp14:editId="36DACFF9">
                <wp:simplePos x="0" y="0"/>
                <wp:positionH relativeFrom="column">
                  <wp:posOffset>0</wp:posOffset>
                </wp:positionH>
                <wp:positionV relativeFrom="paragraph">
                  <wp:posOffset>2341083</wp:posOffset>
                </wp:positionV>
                <wp:extent cx="3267047" cy="723014"/>
                <wp:effectExtent l="0" t="0" r="10160" b="20320"/>
                <wp:wrapNone/>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47" cy="723014"/>
                        </a:xfrm>
                        <a:prstGeom prst="rect">
                          <a:avLst/>
                        </a:prstGeom>
                        <a:solidFill>
                          <a:srgbClr val="FFFFFF"/>
                        </a:solidFill>
                        <a:ln w="9525">
                          <a:solidFill>
                            <a:schemeClr val="bg1"/>
                          </a:solidFill>
                          <a:miter lim="800000"/>
                          <a:headEnd/>
                          <a:tailEnd/>
                        </a:ln>
                      </wps:spPr>
                      <wps:txbx>
                        <w:txbxContent>
                          <w:p w:rsidR="00896D11" w:rsidRPr="00896D11" w:rsidRDefault="00896D11" w:rsidP="00896D11">
                            <w:pPr>
                              <w:pStyle w:val="Default"/>
                              <w:jc w:val="both"/>
                              <w:rPr>
                                <w:rFonts w:cstheme="minorBidi"/>
                                <w:color w:val="92D050"/>
                              </w:rPr>
                            </w:pPr>
                            <w:r w:rsidRPr="00896D11">
                              <w:rPr>
                                <w:rFonts w:ascii="Century Gothic" w:hAnsi="Century Gothic" w:cstheme="minorBidi"/>
                                <w:color w:val="auto"/>
                                <w:sz w:val="20"/>
                                <w:szCs w:val="20"/>
                              </w:rPr>
                              <w:t>L'initiative a été inspirée par les succès d'un système similaire en Europe, EU-TWIX (European Union - Trade in Wildlife Information Exchange), créé en 2005.</w:t>
                            </w:r>
                            <w:r>
                              <w:rPr>
                                <w:rFonts w:ascii="Century Gothic" w:hAnsi="Century Gothic" w:cstheme="minorBidi"/>
                                <w:color w:val="auto"/>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1D7A7" id="_x0000_s1027" type="#_x0000_t202" style="position:absolute;left:0;text-align:left;margin-left:0;margin-top:184.35pt;width:257.25pt;height:56.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" strokecolor="white [3212]">
                <v:textbox>
                  <w:txbxContent>
                    <w:p w:rsidR="00896D11" w:rsidRPr="00896D11" w:rsidRDefault="00896D11" w:rsidP="00896D11">
                      <w:pPr>
                        <w:pStyle w:val="Default"/>
                        <w:jc w:val="both"/>
                        <w:rPr>
                          <w:rFonts w:cstheme="minorBidi"/>
                          <w:color w:val="92D050"/>
                        </w:rPr>
                      </w:pPr>
                      <w:r w:rsidRPr="00896D11">
                        <w:rPr>
                          <w:rFonts w:ascii="Century Gothic" w:hAnsi="Century Gothic" w:cstheme="minorBidi"/>
                          <w:color w:val="auto"/>
                          <w:sz w:val="20"/>
                          <w:szCs w:val="20"/>
                        </w:rPr>
                        <w:t>L'initiative a été inspirée par les succès d'un système similaire en Europe, EU-TWIX (European Union - Trade in Wildlife Information Exchange), créé en 2005.</w:t>
                      </w:r>
                      <w:r>
                        <w:rPr>
                          <w:rFonts w:ascii="Century Gothic" w:hAnsi="Century Gothic" w:cstheme="minorBidi"/>
                          <w:color w:val="auto"/>
                          <w:sz w:val="20"/>
                          <w:szCs w:val="20"/>
                        </w:rPr>
                        <w:t xml:space="preserve"> </w:t>
                      </w:r>
                    </w:p>
                  </w:txbxContent>
                </v:textbox>
              </v:shape>
            </w:pict>
          </mc:Fallback>
        </mc:AlternateContent>
      </w:r>
      <w:r>
        <w:rPr>
          <w:noProof/>
          <w:lang w:eastAsia="fr-FR"/>
        </w:rPr>
        <w:drawing>
          <wp:inline distT="0" distB="0" distL="0" distR="0" wp14:anchorId="6B5A745F" wp14:editId="082F3F73">
            <wp:extent cx="3098165" cy="2253615"/>
            <wp:effectExtent l="0" t="0" r="698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8">
                      <a:extLst>
                        <a:ext uri="{28A0092B-C50C-407E-A947-70E740481C1C}">
                          <a14:useLocalDpi xmlns:a14="http://schemas.microsoft.com/office/drawing/2010/main" val="0"/>
                        </a:ext>
                      </a:extLst>
                    </a:blip>
                    <a:stretch>
                      <a:fillRect/>
                    </a:stretch>
                  </pic:blipFill>
                  <pic:spPr>
                    <a:xfrm>
                      <a:off x="0" y="0"/>
                      <a:ext cx="3098165" cy="2253615"/>
                    </a:xfrm>
                    <a:prstGeom prst="rect">
                      <a:avLst/>
                    </a:prstGeom>
                  </pic:spPr>
                </pic:pic>
              </a:graphicData>
            </a:graphic>
          </wp:inline>
        </w:drawing>
      </w:r>
    </w:p>
    <w:p w:rsidR="003246BF" w:rsidRPr="007B34BF" w:rsidRDefault="003246BF" w:rsidP="00DA198D">
      <w:pPr>
        <w:pStyle w:val="Default"/>
        <w:rPr>
          <w:rFonts w:ascii="Century Gothic" w:hAnsi="Century Gothic" w:cs="Century Gothic"/>
          <w:color w:val="auto"/>
          <w:sz w:val="20"/>
          <w:szCs w:val="20"/>
        </w:rPr>
      </w:pPr>
    </w:p>
    <w:p w:rsidR="00896D11" w:rsidRPr="007B34BF" w:rsidRDefault="00896D11" w:rsidP="00896D11">
      <w:pPr>
        <w:autoSpaceDE w:val="0"/>
        <w:autoSpaceDN w:val="0"/>
        <w:adjustRightInd w:val="0"/>
        <w:spacing w:after="0" w:line="240" w:lineRule="auto"/>
        <w:rPr>
          <w:rFonts w:ascii="Century Gothic" w:hAnsi="Century Gothic" w:cs="Century Gothic"/>
          <w:sz w:val="20"/>
          <w:szCs w:val="20"/>
        </w:rPr>
      </w:pPr>
    </w:p>
    <w:p w:rsidR="00896D11" w:rsidRPr="007B34BF" w:rsidRDefault="00896D11" w:rsidP="00896D11">
      <w:pPr>
        <w:autoSpaceDE w:val="0"/>
        <w:autoSpaceDN w:val="0"/>
        <w:adjustRightInd w:val="0"/>
        <w:spacing w:after="0" w:line="240" w:lineRule="auto"/>
        <w:rPr>
          <w:rFonts w:ascii="Century Gothic" w:hAnsi="Century Gothic" w:cs="Century Gothic"/>
          <w:sz w:val="20"/>
          <w:szCs w:val="20"/>
        </w:rPr>
      </w:pPr>
    </w:p>
    <w:p w:rsidR="00516E6E" w:rsidRPr="007B34BF" w:rsidRDefault="0052469E" w:rsidP="00516E6E">
      <w:pPr>
        <w:autoSpaceDE w:val="0"/>
        <w:autoSpaceDN w:val="0"/>
        <w:adjustRightInd w:val="0"/>
        <w:spacing w:after="0" w:line="240" w:lineRule="auto"/>
        <w:rPr>
          <w:rFonts w:ascii="Century Gothic" w:hAnsi="Century Gothic" w:cs="Century Gothic"/>
          <w:sz w:val="20"/>
          <w:szCs w:val="20"/>
        </w:rPr>
      </w:pPr>
      <w:r>
        <w:rPr>
          <w:noProof/>
        </w:rPr>
        <w:drawing>
          <wp:anchor distT="0" distB="0" distL="114300" distR="114300" simplePos="0" relativeHeight="251663872" behindDoc="0" locked="0" layoutInCell="1" allowOverlap="1" wp14:anchorId="77D87CF2">
            <wp:simplePos x="0" y="0"/>
            <wp:positionH relativeFrom="margin">
              <wp:align>center</wp:align>
            </wp:positionH>
            <wp:positionV relativeFrom="paragraph">
              <wp:posOffset>286385</wp:posOffset>
            </wp:positionV>
            <wp:extent cx="1700999" cy="612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0999" cy="61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6E6E" w:rsidRPr="007B34BF">
        <w:rPr>
          <w:rFonts w:ascii="Century Gothic" w:hAnsi="Century Gothic" w:cs="Century Gothic"/>
          <w:sz w:val="20"/>
          <w:szCs w:val="20"/>
        </w:rPr>
        <w:t xml:space="preserve">Objectif </w:t>
      </w:r>
    </w:p>
    <w:p w:rsidR="00516E6E" w:rsidRDefault="00516E6E" w:rsidP="00516E6E">
      <w:pPr>
        <w:autoSpaceDE w:val="0"/>
        <w:autoSpaceDN w:val="0"/>
        <w:adjustRightInd w:val="0"/>
        <w:spacing w:after="0" w:line="240" w:lineRule="auto"/>
        <w:jc w:val="both"/>
        <w:rPr>
          <w:rFonts w:ascii="Century Gothic" w:hAnsi="Century Gothic" w:cs="Century Gothic"/>
          <w:sz w:val="20"/>
          <w:szCs w:val="20"/>
        </w:rPr>
      </w:pPr>
      <w:r w:rsidRPr="00516E6E">
        <w:rPr>
          <w:rFonts w:ascii="Century Gothic" w:hAnsi="Century Gothic" w:cs="Century Gothic"/>
          <w:sz w:val="20"/>
          <w:szCs w:val="20"/>
        </w:rPr>
        <w:t xml:space="preserve">Promouvoir le partage de l'information, de l'expérience et de la coopération au sein et entre les organismes chargés de la mise en </w:t>
      </w:r>
      <w:r w:rsidR="007701F6" w:rsidRPr="00516E6E">
        <w:rPr>
          <w:rFonts w:ascii="Century Gothic" w:hAnsi="Century Gothic" w:cs="Century Gothic"/>
          <w:sz w:val="20"/>
          <w:szCs w:val="20"/>
        </w:rPr>
        <w:t>œuvre</w:t>
      </w:r>
      <w:r w:rsidRPr="00516E6E">
        <w:rPr>
          <w:rFonts w:ascii="Century Gothic" w:hAnsi="Century Gothic" w:cs="Century Gothic"/>
          <w:sz w:val="20"/>
          <w:szCs w:val="20"/>
        </w:rPr>
        <w:t xml:space="preserve"> des lois forestières et fauniques et des cadres réglementaires aux niveaux national, régional et international en Afrique centrale. </w:t>
      </w:r>
    </w:p>
    <w:p w:rsidR="00516E6E" w:rsidRPr="00516E6E" w:rsidRDefault="00516E6E" w:rsidP="00516E6E">
      <w:pPr>
        <w:autoSpaceDE w:val="0"/>
        <w:autoSpaceDN w:val="0"/>
        <w:adjustRightInd w:val="0"/>
        <w:spacing w:after="0" w:line="240" w:lineRule="auto"/>
        <w:jc w:val="both"/>
        <w:rPr>
          <w:rFonts w:ascii="Century Gothic" w:hAnsi="Century Gothic" w:cs="Century Gothic"/>
          <w:sz w:val="20"/>
          <w:szCs w:val="20"/>
        </w:rPr>
      </w:pPr>
    </w:p>
    <w:p w:rsidR="00516E6E" w:rsidRPr="007B34BF" w:rsidRDefault="00516E6E" w:rsidP="00516E6E">
      <w:pPr>
        <w:autoSpaceDE w:val="0"/>
        <w:autoSpaceDN w:val="0"/>
        <w:adjustRightInd w:val="0"/>
        <w:spacing w:after="0" w:line="240" w:lineRule="auto"/>
        <w:rPr>
          <w:rFonts w:ascii="Impact" w:hAnsi="Impact" w:cs="Impact"/>
          <w:color w:val="92D050"/>
          <w:sz w:val="32"/>
          <w:szCs w:val="32"/>
        </w:rPr>
      </w:pPr>
      <w:r w:rsidRPr="007B34BF">
        <w:rPr>
          <w:rFonts w:ascii="Impact" w:hAnsi="Impact" w:cs="Impact"/>
          <w:color w:val="92D050"/>
          <w:sz w:val="32"/>
          <w:szCs w:val="32"/>
        </w:rPr>
        <w:t xml:space="preserve">Couverture géographique </w:t>
      </w:r>
    </w:p>
    <w:p w:rsidR="004570E4" w:rsidRDefault="00516E6E" w:rsidP="00C64B9C">
      <w:pPr>
        <w:jc w:val="both"/>
        <w:rPr>
          <w:rFonts w:ascii="Century Gothic" w:hAnsi="Century Gothic" w:cs="Century Gothic"/>
          <w:sz w:val="20"/>
          <w:szCs w:val="20"/>
        </w:rPr>
      </w:pPr>
      <w:r w:rsidRPr="00516E6E">
        <w:rPr>
          <w:rFonts w:ascii="Century Gothic" w:hAnsi="Century Gothic" w:cs="Century Gothic"/>
          <w:sz w:val="20"/>
          <w:szCs w:val="20"/>
        </w:rPr>
        <w:t>AFRICA-TWIX est en cours d</w:t>
      </w:r>
      <w:r w:rsidR="007701F6">
        <w:rPr>
          <w:rFonts w:ascii="Century Gothic" w:hAnsi="Century Gothic" w:cs="Century Gothic"/>
          <w:sz w:val="20"/>
          <w:szCs w:val="20"/>
        </w:rPr>
        <w:t>e mise en œuvre</w:t>
      </w:r>
      <w:r w:rsidRPr="00516E6E">
        <w:rPr>
          <w:rFonts w:ascii="Century Gothic" w:hAnsi="Century Gothic" w:cs="Century Gothic"/>
          <w:sz w:val="20"/>
          <w:szCs w:val="20"/>
        </w:rPr>
        <w:t xml:space="preserve"> dans cinq pays d'Afrique centrale (Cameroun, Congo, Gabon, République démocratique du Congo et République centrafricaine), m</w:t>
      </w:r>
      <w:r w:rsidR="004570E4">
        <w:rPr>
          <w:rFonts w:ascii="Century Gothic" w:hAnsi="Century Gothic" w:cs="Century Gothic"/>
          <w:sz w:val="20"/>
          <w:szCs w:val="20"/>
        </w:rPr>
        <w:t>ais sera progressivement étendu</w:t>
      </w:r>
      <w:r w:rsidRPr="00516E6E">
        <w:rPr>
          <w:rFonts w:ascii="Century Gothic" w:hAnsi="Century Gothic" w:cs="Century Gothic"/>
          <w:sz w:val="20"/>
          <w:szCs w:val="20"/>
        </w:rPr>
        <w:t xml:space="preserve"> à d'autres pays de la sous-région et à l'Afrique en général. </w:t>
      </w:r>
      <w:r>
        <w:rPr>
          <w:rFonts w:ascii="Century Gothic" w:hAnsi="Century Gothic" w:cs="Century Gothic"/>
          <w:sz w:val="20"/>
          <w:szCs w:val="20"/>
        </w:rPr>
        <w:t xml:space="preserve"> </w:t>
      </w:r>
    </w:p>
    <w:p w:rsidR="00896D11" w:rsidRDefault="00CF1911" w:rsidP="00C64B9C">
      <w:pPr>
        <w:jc w:val="both"/>
        <w:rPr>
          <w:rFonts w:ascii="Century Gothic" w:hAnsi="Century Gothic" w:cs="Century Gothic"/>
          <w:sz w:val="20"/>
          <w:szCs w:val="20"/>
        </w:rPr>
      </w:pPr>
      <w:r>
        <w:rPr>
          <w:rFonts w:ascii="Century Gothic" w:hAnsi="Century Gothic" w:cs="Century Gothic"/>
          <w:noProof/>
          <w:sz w:val="20"/>
          <w:szCs w:val="20"/>
        </w:rPr>
        <w:drawing>
          <wp:inline distT="0" distB="0" distL="0" distR="0" wp14:anchorId="38ADE3FF" wp14:editId="02107619">
            <wp:extent cx="3171293" cy="34099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0">
                      <a:extLst>
                        <a:ext uri="{28A0092B-C50C-407E-A947-70E740481C1C}">
                          <a14:useLocalDpi xmlns:a14="http://schemas.microsoft.com/office/drawing/2010/main" val="0"/>
                        </a:ext>
                      </a:extLst>
                    </a:blip>
                    <a:stretch>
                      <a:fillRect/>
                    </a:stretch>
                  </pic:blipFill>
                  <pic:spPr>
                    <a:xfrm>
                      <a:off x="0" y="0"/>
                      <a:ext cx="3184146" cy="3423771"/>
                    </a:xfrm>
                    <a:prstGeom prst="rect">
                      <a:avLst/>
                    </a:prstGeom>
                  </pic:spPr>
                </pic:pic>
              </a:graphicData>
            </a:graphic>
          </wp:inline>
        </w:drawing>
      </w:r>
    </w:p>
    <w:p w:rsidR="004570E4" w:rsidRPr="007B34BF" w:rsidRDefault="00C26BCA" w:rsidP="004570E4">
      <w:pPr>
        <w:jc w:val="both"/>
        <w:rPr>
          <w:rFonts w:ascii="Century Gothic" w:hAnsi="Century Gothic" w:cs="Century Gothic"/>
          <w:sz w:val="20"/>
          <w:szCs w:val="20"/>
        </w:rPr>
      </w:pPr>
      <w:r w:rsidRPr="007B34BF">
        <w:rPr>
          <w:rFonts w:ascii="Century Gothic" w:hAnsi="Century Gothic" w:cs="Century Gothic"/>
          <w:sz w:val="20"/>
          <w:szCs w:val="20"/>
        </w:rPr>
        <w:t xml:space="preserve">  </w:t>
      </w:r>
      <w:r w:rsidR="00516E6E" w:rsidRPr="007B34BF">
        <w:rPr>
          <w:rFonts w:ascii="Century Gothic" w:hAnsi="Century Gothic" w:cs="Century Gothic"/>
          <w:sz w:val="20"/>
          <w:szCs w:val="20"/>
        </w:rPr>
        <w:t xml:space="preserve">Pays </w:t>
      </w:r>
      <w:r w:rsidR="007701F6" w:rsidRPr="007B34BF">
        <w:rPr>
          <w:rFonts w:ascii="Century Gothic" w:hAnsi="Century Gothic" w:cs="Century Gothic"/>
          <w:sz w:val="20"/>
          <w:szCs w:val="20"/>
        </w:rPr>
        <w:t xml:space="preserve">de mise en œuvre </w:t>
      </w:r>
      <w:r w:rsidR="00516E6E" w:rsidRPr="007B34BF">
        <w:rPr>
          <w:rFonts w:ascii="Century Gothic" w:hAnsi="Century Gothic" w:cs="Century Gothic"/>
          <w:sz w:val="20"/>
          <w:szCs w:val="20"/>
        </w:rPr>
        <w:t>d’</w:t>
      </w:r>
      <w:r w:rsidR="00CF1911" w:rsidRPr="007B34BF">
        <w:rPr>
          <w:rFonts w:ascii="Century Gothic" w:hAnsi="Century Gothic" w:cs="Century Gothic"/>
          <w:sz w:val="20"/>
          <w:szCs w:val="20"/>
        </w:rPr>
        <w:t xml:space="preserve">AFRICA-TWIX </w:t>
      </w:r>
    </w:p>
    <w:p w:rsidR="004570E4" w:rsidRDefault="004570E4" w:rsidP="00C26BCA">
      <w:pPr>
        <w:jc w:val="center"/>
      </w:pPr>
    </w:p>
    <w:p w:rsidR="007B34BF" w:rsidRPr="00CE0AA8" w:rsidRDefault="007B34BF" w:rsidP="00C26BCA">
      <w:pPr>
        <w:jc w:val="center"/>
      </w:pPr>
    </w:p>
    <w:p w:rsidR="003C44B8" w:rsidRPr="00CE0AA8" w:rsidRDefault="003C44B8" w:rsidP="00DA198D">
      <w:pPr>
        <w:jc w:val="both"/>
      </w:pPr>
    </w:p>
    <w:p w:rsidR="008675AC" w:rsidRDefault="008675AC" w:rsidP="00206485">
      <w:pPr>
        <w:pStyle w:val="Default"/>
        <w:rPr>
          <w:rFonts w:asciiTheme="minorHAnsi" w:hAnsiTheme="minorHAnsi" w:cstheme="minorBidi"/>
          <w:color w:val="auto"/>
          <w:sz w:val="22"/>
          <w:szCs w:val="22"/>
        </w:rPr>
      </w:pPr>
    </w:p>
    <w:p w:rsidR="00206485" w:rsidRPr="00206485" w:rsidRDefault="0052469E" w:rsidP="00206485">
      <w:pPr>
        <w:pStyle w:val="Default"/>
        <w:rPr>
          <w:sz w:val="32"/>
          <w:szCs w:val="32"/>
        </w:rPr>
      </w:pPr>
      <w:r>
        <w:rPr>
          <w:noProof/>
        </w:rPr>
        <w:lastRenderedPageBreak/>
        <w:drawing>
          <wp:anchor distT="0" distB="0" distL="114300" distR="114300" simplePos="0" relativeHeight="251665920" behindDoc="0" locked="0" layoutInCell="1" allowOverlap="1" wp14:anchorId="4D533972" wp14:editId="0CCFAD8C">
            <wp:simplePos x="0" y="0"/>
            <wp:positionH relativeFrom="margin">
              <wp:align>center</wp:align>
            </wp:positionH>
            <wp:positionV relativeFrom="paragraph">
              <wp:posOffset>-695960</wp:posOffset>
            </wp:positionV>
            <wp:extent cx="1700999" cy="612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0999" cy="61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6485" w:rsidRPr="00206485">
        <w:rPr>
          <w:color w:val="92D050"/>
          <w:sz w:val="32"/>
          <w:szCs w:val="32"/>
        </w:rPr>
        <w:t xml:space="preserve">Avantages d’AFRICA-TWIX </w:t>
      </w:r>
    </w:p>
    <w:p w:rsidR="00206485" w:rsidRPr="00206485" w:rsidRDefault="00206485" w:rsidP="00206485">
      <w:pPr>
        <w:autoSpaceDE w:val="0"/>
        <w:autoSpaceDN w:val="0"/>
        <w:adjustRightInd w:val="0"/>
        <w:spacing w:after="0" w:line="240" w:lineRule="auto"/>
        <w:jc w:val="both"/>
        <w:rPr>
          <w:rFonts w:ascii="Century Gothic" w:hAnsi="Century Gothic" w:cs="Century Gothic"/>
          <w:sz w:val="20"/>
          <w:szCs w:val="20"/>
        </w:rPr>
      </w:pPr>
      <w:r w:rsidRPr="00206485">
        <w:rPr>
          <w:rFonts w:ascii="Century Gothic" w:hAnsi="Century Gothic" w:cs="Century Gothic"/>
          <w:sz w:val="20"/>
          <w:szCs w:val="20"/>
        </w:rPr>
        <w:t>Bien que toujours en développement, le système AFRICA-TWIX a déjà fourni aux utilisateurs l'outil suivant</w:t>
      </w:r>
      <w:r w:rsidR="004F607F">
        <w:rPr>
          <w:rFonts w:ascii="Century Gothic" w:hAnsi="Century Gothic" w:cs="Century Gothic"/>
          <w:sz w:val="20"/>
          <w:szCs w:val="20"/>
        </w:rPr>
        <w:t xml:space="preserve"> </w:t>
      </w:r>
      <w:r w:rsidRPr="00206485">
        <w:rPr>
          <w:rFonts w:ascii="Century Gothic" w:hAnsi="Century Gothic" w:cs="Century Gothic"/>
          <w:sz w:val="20"/>
          <w:szCs w:val="20"/>
        </w:rPr>
        <w:t xml:space="preserve">: </w:t>
      </w:r>
    </w:p>
    <w:p w:rsidR="00206485" w:rsidRDefault="00206485" w:rsidP="00206485">
      <w:pPr>
        <w:autoSpaceDE w:val="0"/>
        <w:autoSpaceDN w:val="0"/>
        <w:adjustRightInd w:val="0"/>
        <w:spacing w:after="0" w:line="240" w:lineRule="auto"/>
        <w:jc w:val="both"/>
        <w:rPr>
          <w:rFonts w:ascii="Century Gothic" w:hAnsi="Century Gothic" w:cs="Century Gothic"/>
          <w:sz w:val="20"/>
          <w:szCs w:val="20"/>
        </w:rPr>
      </w:pPr>
      <w:r w:rsidRPr="00206485">
        <w:rPr>
          <w:rFonts w:ascii="Calibri" w:hAnsi="Calibri" w:cs="Calibri"/>
          <w:sz w:val="20"/>
          <w:szCs w:val="20"/>
        </w:rPr>
        <w:t xml:space="preserve">• </w:t>
      </w:r>
      <w:r w:rsidRPr="00206485">
        <w:rPr>
          <w:rFonts w:ascii="Century Gothic" w:hAnsi="Century Gothic" w:cs="Century Gothic"/>
          <w:sz w:val="20"/>
          <w:szCs w:val="20"/>
        </w:rPr>
        <w:t>Un serveur de liste de diffusion électronique - qui sert de plateforme pour échanger des informations, des expertises et de l'expérience sur l'application des lois sur la faune dans les quatre pays qui utilisent déjà le système</w:t>
      </w:r>
      <w:r w:rsidR="004F607F">
        <w:rPr>
          <w:rFonts w:ascii="Century Gothic" w:hAnsi="Century Gothic" w:cs="Century Gothic"/>
          <w:sz w:val="20"/>
          <w:szCs w:val="20"/>
        </w:rPr>
        <w:t xml:space="preserve"> </w:t>
      </w:r>
      <w:r w:rsidRPr="00206485">
        <w:rPr>
          <w:rFonts w:ascii="Century Gothic" w:hAnsi="Century Gothic" w:cs="Century Gothic"/>
          <w:sz w:val="20"/>
          <w:szCs w:val="20"/>
        </w:rPr>
        <w:t xml:space="preserve">; </w:t>
      </w:r>
    </w:p>
    <w:p w:rsidR="00B42D34" w:rsidRPr="008675AC" w:rsidRDefault="00B42D34" w:rsidP="00206485">
      <w:pPr>
        <w:autoSpaceDE w:val="0"/>
        <w:autoSpaceDN w:val="0"/>
        <w:adjustRightInd w:val="0"/>
        <w:spacing w:after="0" w:line="240" w:lineRule="auto"/>
        <w:jc w:val="both"/>
        <w:rPr>
          <w:rFonts w:ascii="Century Gothic" w:hAnsi="Century Gothic" w:cs="Century Gothic"/>
          <w:sz w:val="20"/>
          <w:szCs w:val="20"/>
        </w:rPr>
      </w:pPr>
      <w:r w:rsidRPr="005B1024">
        <w:rPr>
          <w:rFonts w:ascii="Century Gothic" w:hAnsi="Century Gothic"/>
          <w:sz w:val="20"/>
          <w:szCs w:val="20"/>
        </w:rPr>
        <w:t>Les informations</w:t>
      </w:r>
      <w:r w:rsidR="005B1024">
        <w:rPr>
          <w:rFonts w:ascii="Century Gothic" w:hAnsi="Century Gothic"/>
          <w:sz w:val="20"/>
          <w:szCs w:val="20"/>
        </w:rPr>
        <w:t xml:space="preserve"> injectées dans la plateforme</w:t>
      </w:r>
      <w:r w:rsidRPr="005B1024">
        <w:rPr>
          <w:rFonts w:ascii="Century Gothic" w:hAnsi="Century Gothic"/>
          <w:sz w:val="20"/>
          <w:szCs w:val="20"/>
        </w:rPr>
        <w:t xml:space="preserve"> ne doivent pas être partagées hors du réseau AFRICA-TWIX sans le consentement préalable des administrations concernées.</w:t>
      </w:r>
    </w:p>
    <w:p w:rsidR="00206485" w:rsidRPr="00206485" w:rsidRDefault="00206485" w:rsidP="00206485">
      <w:pPr>
        <w:autoSpaceDE w:val="0"/>
        <w:autoSpaceDN w:val="0"/>
        <w:adjustRightInd w:val="0"/>
        <w:spacing w:after="0" w:line="240" w:lineRule="auto"/>
        <w:rPr>
          <w:rFonts w:ascii="Century Gothic" w:hAnsi="Century Gothic" w:cs="Century Gothic"/>
          <w:sz w:val="20"/>
          <w:szCs w:val="20"/>
        </w:rPr>
      </w:pPr>
    </w:p>
    <w:p w:rsidR="00206485" w:rsidRPr="00206485" w:rsidRDefault="00206485" w:rsidP="00206485">
      <w:pPr>
        <w:autoSpaceDE w:val="0"/>
        <w:autoSpaceDN w:val="0"/>
        <w:adjustRightInd w:val="0"/>
        <w:spacing w:after="0" w:line="240" w:lineRule="auto"/>
        <w:rPr>
          <w:rFonts w:ascii="Impact" w:hAnsi="Impact" w:cs="Impact"/>
          <w:color w:val="92D050"/>
          <w:sz w:val="32"/>
          <w:szCs w:val="32"/>
        </w:rPr>
      </w:pPr>
      <w:r w:rsidRPr="00206485">
        <w:rPr>
          <w:rFonts w:ascii="Impact" w:hAnsi="Impact" w:cs="Impact"/>
          <w:color w:val="92D050"/>
          <w:sz w:val="32"/>
          <w:szCs w:val="32"/>
        </w:rPr>
        <w:t xml:space="preserve">Bénéficiaires et Partenaires </w:t>
      </w:r>
    </w:p>
    <w:p w:rsidR="00206485" w:rsidRPr="00206485" w:rsidRDefault="00206485" w:rsidP="00206485">
      <w:pPr>
        <w:autoSpaceDE w:val="0"/>
        <w:autoSpaceDN w:val="0"/>
        <w:adjustRightInd w:val="0"/>
        <w:spacing w:after="23" w:line="240" w:lineRule="auto"/>
        <w:jc w:val="both"/>
        <w:rPr>
          <w:rFonts w:ascii="Century Gothic" w:hAnsi="Century Gothic" w:cs="Century Gothic"/>
          <w:sz w:val="20"/>
          <w:szCs w:val="20"/>
        </w:rPr>
      </w:pPr>
      <w:r w:rsidRPr="00206485">
        <w:rPr>
          <w:rFonts w:ascii="Impact" w:hAnsi="Impact" w:cs="Impact"/>
          <w:sz w:val="20"/>
          <w:szCs w:val="20"/>
        </w:rPr>
        <w:t xml:space="preserve"> </w:t>
      </w:r>
      <w:r w:rsidRPr="00206485">
        <w:rPr>
          <w:rFonts w:ascii="Century Gothic" w:hAnsi="Century Gothic" w:cs="Century Gothic"/>
          <w:b/>
          <w:bCs/>
          <w:sz w:val="20"/>
          <w:szCs w:val="20"/>
        </w:rPr>
        <w:t xml:space="preserve">Au niveau national : </w:t>
      </w:r>
      <w:r w:rsidRPr="00206485">
        <w:rPr>
          <w:rFonts w:ascii="Century Gothic" w:hAnsi="Century Gothic" w:cs="Century Gothic"/>
          <w:sz w:val="20"/>
          <w:szCs w:val="20"/>
        </w:rPr>
        <w:t>les responsables de l'application de la loi chargés de lutter contre le commerce illicite des espèces végétales et animales sauvages (incluant les services de protection de la faune et de la forêt, la police, les douanes, les procureurs, les responsables de la défense et de la justice pénale)</w:t>
      </w:r>
      <w:r w:rsidR="00543E4A">
        <w:rPr>
          <w:rFonts w:ascii="Century Gothic" w:hAnsi="Century Gothic" w:cs="Century Gothic"/>
          <w:sz w:val="20"/>
          <w:szCs w:val="20"/>
        </w:rPr>
        <w:t xml:space="preserve"> </w:t>
      </w:r>
      <w:r w:rsidRPr="00206485">
        <w:rPr>
          <w:rFonts w:ascii="Century Gothic" w:hAnsi="Century Gothic" w:cs="Century Gothic"/>
          <w:sz w:val="20"/>
          <w:szCs w:val="20"/>
        </w:rPr>
        <w:t>; Les organes de gestion CITES</w:t>
      </w:r>
      <w:r w:rsidR="00543E4A">
        <w:rPr>
          <w:rFonts w:ascii="Century Gothic" w:hAnsi="Century Gothic" w:cs="Century Gothic"/>
          <w:sz w:val="20"/>
          <w:szCs w:val="20"/>
        </w:rPr>
        <w:t xml:space="preserve"> </w:t>
      </w:r>
      <w:r w:rsidRPr="00206485">
        <w:rPr>
          <w:rFonts w:ascii="Century Gothic" w:hAnsi="Century Gothic" w:cs="Century Gothic"/>
          <w:sz w:val="20"/>
          <w:szCs w:val="20"/>
        </w:rPr>
        <w:t xml:space="preserve">; </w:t>
      </w:r>
    </w:p>
    <w:p w:rsidR="00206485" w:rsidRPr="00206485" w:rsidRDefault="00206485" w:rsidP="00206485">
      <w:pPr>
        <w:autoSpaceDE w:val="0"/>
        <w:autoSpaceDN w:val="0"/>
        <w:adjustRightInd w:val="0"/>
        <w:spacing w:after="0" w:line="240" w:lineRule="auto"/>
        <w:jc w:val="both"/>
        <w:rPr>
          <w:rFonts w:ascii="Century Gothic" w:hAnsi="Century Gothic" w:cs="Century Gothic"/>
          <w:sz w:val="20"/>
          <w:szCs w:val="20"/>
        </w:rPr>
      </w:pPr>
      <w:r w:rsidRPr="00206485">
        <w:rPr>
          <w:rFonts w:ascii="Century Gothic" w:hAnsi="Century Gothic" w:cs="Century Gothic"/>
          <w:sz w:val="20"/>
          <w:szCs w:val="20"/>
        </w:rPr>
        <w:t xml:space="preserve"> </w:t>
      </w:r>
      <w:r w:rsidRPr="00206485">
        <w:rPr>
          <w:rFonts w:ascii="Century Gothic" w:hAnsi="Century Gothic" w:cs="Century Gothic"/>
          <w:b/>
          <w:bCs/>
          <w:sz w:val="20"/>
          <w:szCs w:val="20"/>
        </w:rPr>
        <w:t xml:space="preserve">Au niveau régional et international : </w:t>
      </w:r>
      <w:r w:rsidRPr="00206485">
        <w:rPr>
          <w:rFonts w:ascii="Century Gothic" w:hAnsi="Century Gothic" w:cs="Century Gothic"/>
          <w:sz w:val="20"/>
          <w:szCs w:val="20"/>
        </w:rPr>
        <w:t xml:space="preserve">Les chefs du Bureau central national de l'Organisation internationale de police criminelle - OIPC-INTERPOL, de la délégation régionale de l'ONUDC, du Bureau régional de liaison et du renseignement et du personnel de la Commission des Forêts d'Afrique Centrale (COMIFAC). </w:t>
      </w:r>
    </w:p>
    <w:p w:rsidR="00206485" w:rsidRPr="00206485" w:rsidRDefault="00206485" w:rsidP="00206485">
      <w:pPr>
        <w:autoSpaceDE w:val="0"/>
        <w:autoSpaceDN w:val="0"/>
        <w:adjustRightInd w:val="0"/>
        <w:spacing w:after="0" w:line="240" w:lineRule="auto"/>
        <w:rPr>
          <w:rFonts w:ascii="Century Gothic" w:hAnsi="Century Gothic" w:cs="Century Gothic"/>
          <w:sz w:val="20"/>
          <w:szCs w:val="20"/>
        </w:rPr>
      </w:pPr>
    </w:p>
    <w:p w:rsidR="00206485" w:rsidRPr="00206485" w:rsidRDefault="00206485" w:rsidP="00206485">
      <w:pPr>
        <w:autoSpaceDE w:val="0"/>
        <w:autoSpaceDN w:val="0"/>
        <w:adjustRightInd w:val="0"/>
        <w:spacing w:after="0" w:line="240" w:lineRule="auto"/>
        <w:rPr>
          <w:rFonts w:ascii="Impact" w:hAnsi="Impact" w:cs="Impact"/>
          <w:color w:val="92D050"/>
          <w:sz w:val="32"/>
          <w:szCs w:val="32"/>
        </w:rPr>
      </w:pPr>
      <w:r w:rsidRPr="00206485">
        <w:rPr>
          <w:rFonts w:ascii="Impact" w:hAnsi="Impact" w:cs="Impact"/>
          <w:color w:val="92D050"/>
          <w:sz w:val="32"/>
          <w:szCs w:val="32"/>
        </w:rPr>
        <w:t xml:space="preserve">Activités en cours et prévues </w:t>
      </w:r>
    </w:p>
    <w:p w:rsidR="00206485" w:rsidRPr="00206485" w:rsidRDefault="00206485" w:rsidP="00206485">
      <w:pPr>
        <w:autoSpaceDE w:val="0"/>
        <w:autoSpaceDN w:val="0"/>
        <w:adjustRightInd w:val="0"/>
        <w:spacing w:after="26" w:line="240" w:lineRule="auto"/>
        <w:jc w:val="both"/>
        <w:rPr>
          <w:rFonts w:ascii="Century Gothic" w:hAnsi="Century Gothic" w:cs="Century Gothic"/>
          <w:sz w:val="20"/>
          <w:szCs w:val="20"/>
        </w:rPr>
      </w:pPr>
      <w:r w:rsidRPr="00206485">
        <w:rPr>
          <w:rFonts w:ascii="Calibri" w:hAnsi="Calibri" w:cs="Calibri"/>
          <w:sz w:val="20"/>
          <w:szCs w:val="20"/>
        </w:rPr>
        <w:t xml:space="preserve">• </w:t>
      </w:r>
      <w:r w:rsidRPr="00206485">
        <w:rPr>
          <w:rFonts w:ascii="Century Gothic" w:hAnsi="Century Gothic" w:cs="Century Gothic"/>
          <w:sz w:val="20"/>
          <w:szCs w:val="20"/>
        </w:rPr>
        <w:t>Gérer l'information partagée sur le système de liste de diffusion électronique, l'enregistrement de nouveaux membres et la collecte de fonds pour soutenir le système</w:t>
      </w:r>
      <w:r w:rsidR="004F607F">
        <w:rPr>
          <w:rFonts w:ascii="Century Gothic" w:hAnsi="Century Gothic" w:cs="Century Gothic"/>
          <w:sz w:val="20"/>
          <w:szCs w:val="20"/>
        </w:rPr>
        <w:t xml:space="preserve"> </w:t>
      </w:r>
      <w:r w:rsidRPr="00206485">
        <w:rPr>
          <w:rFonts w:ascii="Century Gothic" w:hAnsi="Century Gothic" w:cs="Century Gothic"/>
          <w:sz w:val="20"/>
          <w:szCs w:val="20"/>
        </w:rPr>
        <w:t xml:space="preserve">; </w:t>
      </w:r>
    </w:p>
    <w:p w:rsidR="00206485" w:rsidRPr="00206485" w:rsidRDefault="00206485" w:rsidP="00206485">
      <w:pPr>
        <w:autoSpaceDE w:val="0"/>
        <w:autoSpaceDN w:val="0"/>
        <w:adjustRightInd w:val="0"/>
        <w:spacing w:after="26" w:line="240" w:lineRule="auto"/>
        <w:jc w:val="both"/>
        <w:rPr>
          <w:rFonts w:ascii="Century Gothic" w:hAnsi="Century Gothic" w:cs="Century Gothic"/>
          <w:sz w:val="20"/>
          <w:szCs w:val="20"/>
        </w:rPr>
      </w:pPr>
      <w:r w:rsidRPr="00206485">
        <w:rPr>
          <w:rFonts w:ascii="Calibri" w:hAnsi="Calibri" w:cs="Calibri"/>
          <w:sz w:val="20"/>
          <w:szCs w:val="20"/>
        </w:rPr>
        <w:t xml:space="preserve">• </w:t>
      </w:r>
      <w:r w:rsidRPr="00206485">
        <w:rPr>
          <w:rFonts w:ascii="Century Gothic" w:hAnsi="Century Gothic" w:cs="Century Gothic"/>
          <w:sz w:val="20"/>
          <w:szCs w:val="20"/>
        </w:rPr>
        <w:t>Mettre au point une base de données sur Internet à accès restreint - qui enregistre les infractions CITES dans les pays respectifs, ainsi que les ressources pour appuyer les efforts de lutte contre la fraude, comme les laboratoires d'identification et les centres de sauvetage pour les spécimens saisis</w:t>
      </w:r>
      <w:r w:rsidR="004F607F">
        <w:rPr>
          <w:rFonts w:ascii="Century Gothic" w:hAnsi="Century Gothic" w:cs="Century Gothic"/>
          <w:sz w:val="20"/>
          <w:szCs w:val="20"/>
        </w:rPr>
        <w:t xml:space="preserve"> </w:t>
      </w:r>
      <w:r w:rsidRPr="00206485">
        <w:rPr>
          <w:rFonts w:ascii="Century Gothic" w:hAnsi="Century Gothic" w:cs="Century Gothic"/>
          <w:sz w:val="20"/>
          <w:szCs w:val="20"/>
        </w:rPr>
        <w:t xml:space="preserve">; </w:t>
      </w:r>
    </w:p>
    <w:p w:rsidR="003C44B8" w:rsidRPr="00206485" w:rsidRDefault="00206485" w:rsidP="00206485">
      <w:pPr>
        <w:autoSpaceDE w:val="0"/>
        <w:autoSpaceDN w:val="0"/>
        <w:adjustRightInd w:val="0"/>
        <w:spacing w:after="0" w:line="240" w:lineRule="auto"/>
        <w:jc w:val="both"/>
        <w:rPr>
          <w:rFonts w:ascii="Century Gothic" w:hAnsi="Century Gothic" w:cs="Century Gothic"/>
          <w:sz w:val="20"/>
          <w:szCs w:val="20"/>
        </w:rPr>
      </w:pPr>
      <w:r w:rsidRPr="00206485">
        <w:rPr>
          <w:rFonts w:ascii="Calibri" w:hAnsi="Calibri" w:cs="Calibri"/>
          <w:sz w:val="20"/>
          <w:szCs w:val="20"/>
        </w:rPr>
        <w:t xml:space="preserve">• </w:t>
      </w:r>
      <w:r w:rsidRPr="00206485">
        <w:rPr>
          <w:rFonts w:ascii="Century Gothic" w:hAnsi="Century Gothic" w:cs="Century Gothic"/>
          <w:sz w:val="20"/>
          <w:szCs w:val="20"/>
        </w:rPr>
        <w:t xml:space="preserve">Renforcer les capacités pour appuyer l'identification des espèces sauvages et de leurs produits dérivés ainsi que dans l'investigation des crimes connexes. </w:t>
      </w:r>
    </w:p>
    <w:p w:rsidR="00C26BCA" w:rsidRPr="00206485" w:rsidRDefault="00C26BCA" w:rsidP="003C44B8">
      <w:pPr>
        <w:pStyle w:val="Default"/>
        <w:jc w:val="both"/>
        <w:rPr>
          <w:rFonts w:ascii="Century Gothic" w:hAnsi="Century Gothic" w:cs="Century Gothic"/>
          <w:color w:val="auto"/>
          <w:sz w:val="20"/>
          <w:szCs w:val="20"/>
        </w:rPr>
      </w:pPr>
    </w:p>
    <w:p w:rsidR="003C44B8" w:rsidRPr="007701F6" w:rsidRDefault="003C44B8" w:rsidP="003C44B8">
      <w:pPr>
        <w:pStyle w:val="Default"/>
        <w:jc w:val="both"/>
        <w:rPr>
          <w:rFonts w:cs="Century Gothic"/>
          <w:color w:val="92D050"/>
          <w:sz w:val="28"/>
          <w:szCs w:val="28"/>
        </w:rPr>
      </w:pPr>
      <w:r w:rsidRPr="007701F6">
        <w:rPr>
          <w:rFonts w:cs="Century Gothic"/>
          <w:color w:val="92D050"/>
          <w:sz w:val="32"/>
          <w:szCs w:val="32"/>
        </w:rPr>
        <w:t>AFRICA-TWIX</w:t>
      </w:r>
      <w:r w:rsidR="004F607F">
        <w:rPr>
          <w:rFonts w:cs="Century Gothic"/>
          <w:color w:val="92D050"/>
          <w:sz w:val="32"/>
          <w:szCs w:val="32"/>
        </w:rPr>
        <w:t xml:space="preserve"> </w:t>
      </w:r>
      <w:r w:rsidRPr="007701F6">
        <w:rPr>
          <w:rFonts w:cs="Century Gothic"/>
          <w:color w:val="92D050"/>
          <w:sz w:val="32"/>
          <w:szCs w:val="32"/>
        </w:rPr>
        <w:t>:</w:t>
      </w:r>
      <w:r w:rsidRPr="007701F6">
        <w:rPr>
          <w:rFonts w:cs="Century Gothic"/>
          <w:color w:val="92D050"/>
          <w:sz w:val="28"/>
          <w:szCs w:val="28"/>
        </w:rPr>
        <w:t xml:space="preserve"> </w:t>
      </w:r>
      <w:r w:rsidR="00567F6F" w:rsidRPr="007701F6">
        <w:rPr>
          <w:rFonts w:cs="Century Gothic"/>
          <w:color w:val="92D050"/>
          <w:sz w:val="28"/>
          <w:szCs w:val="28"/>
        </w:rPr>
        <w:t>Une Réponse aux Aspirations Régionales et Internationales</w:t>
      </w:r>
    </w:p>
    <w:p w:rsidR="00567F6F" w:rsidRPr="00567F6F" w:rsidRDefault="00567F6F" w:rsidP="004570E4">
      <w:pPr>
        <w:autoSpaceDE w:val="0"/>
        <w:autoSpaceDN w:val="0"/>
        <w:adjustRightInd w:val="0"/>
        <w:spacing w:after="0" w:line="240" w:lineRule="auto"/>
        <w:jc w:val="both"/>
        <w:rPr>
          <w:rFonts w:ascii="Century Gothic" w:hAnsi="Century Gothic"/>
          <w:sz w:val="20"/>
          <w:szCs w:val="20"/>
        </w:rPr>
      </w:pPr>
      <w:r w:rsidRPr="00567F6F">
        <w:rPr>
          <w:rFonts w:ascii="Century Gothic" w:hAnsi="Century Gothic"/>
          <w:sz w:val="20"/>
          <w:szCs w:val="20"/>
        </w:rPr>
        <w:t>AFRICA-TWIX est une réponse à de nombreuses recommandations et déclarations régionales et internationales sur le commerce illégal d'espèces sauvages, notamment</w:t>
      </w:r>
      <w:r w:rsidR="004F607F">
        <w:rPr>
          <w:rFonts w:ascii="Century Gothic" w:hAnsi="Century Gothic"/>
          <w:sz w:val="20"/>
          <w:szCs w:val="20"/>
        </w:rPr>
        <w:t xml:space="preserve"> </w:t>
      </w:r>
      <w:r w:rsidRPr="00567F6F">
        <w:rPr>
          <w:rFonts w:ascii="Century Gothic" w:hAnsi="Century Gothic"/>
          <w:sz w:val="20"/>
          <w:szCs w:val="20"/>
        </w:rPr>
        <w:t xml:space="preserve">: </w:t>
      </w:r>
    </w:p>
    <w:p w:rsidR="00567F6F" w:rsidRPr="00567F6F" w:rsidRDefault="00567F6F" w:rsidP="004570E4">
      <w:pPr>
        <w:autoSpaceDE w:val="0"/>
        <w:autoSpaceDN w:val="0"/>
        <w:adjustRightInd w:val="0"/>
        <w:spacing w:after="23" w:line="240" w:lineRule="auto"/>
        <w:jc w:val="both"/>
        <w:rPr>
          <w:rFonts w:ascii="Century Gothic" w:hAnsi="Century Gothic" w:cs="Century Gothic"/>
          <w:sz w:val="20"/>
          <w:szCs w:val="20"/>
        </w:rPr>
      </w:pPr>
      <w:r w:rsidRPr="00567F6F">
        <w:rPr>
          <w:rFonts w:ascii="Calibri" w:hAnsi="Calibri" w:cs="Calibri"/>
          <w:sz w:val="20"/>
          <w:szCs w:val="20"/>
        </w:rPr>
        <w:t xml:space="preserve">• </w:t>
      </w:r>
      <w:r w:rsidRPr="00567F6F">
        <w:rPr>
          <w:rFonts w:ascii="Century Gothic" w:hAnsi="Century Gothic" w:cs="Century Gothic"/>
          <w:sz w:val="20"/>
          <w:szCs w:val="20"/>
        </w:rPr>
        <w:t xml:space="preserve">Déclaration des ministres de la CEEAC sur la lutte contre le braconnage en Afrique centrale à Yaoundé (mars 2013). </w:t>
      </w:r>
    </w:p>
    <w:p w:rsidR="00567F6F" w:rsidRPr="00567F6F" w:rsidRDefault="00567F6F" w:rsidP="004570E4">
      <w:pPr>
        <w:autoSpaceDE w:val="0"/>
        <w:autoSpaceDN w:val="0"/>
        <w:adjustRightInd w:val="0"/>
        <w:spacing w:after="23" w:line="240" w:lineRule="auto"/>
        <w:jc w:val="both"/>
        <w:rPr>
          <w:rFonts w:ascii="Century Gothic" w:hAnsi="Century Gothic" w:cs="Century Gothic"/>
          <w:sz w:val="20"/>
          <w:szCs w:val="20"/>
        </w:rPr>
      </w:pPr>
      <w:r w:rsidRPr="00567F6F">
        <w:rPr>
          <w:rFonts w:ascii="Calibri" w:hAnsi="Calibri" w:cs="Calibri"/>
          <w:sz w:val="20"/>
          <w:szCs w:val="20"/>
        </w:rPr>
        <w:t xml:space="preserve">• </w:t>
      </w:r>
      <w:r w:rsidRPr="00567F6F">
        <w:rPr>
          <w:rFonts w:ascii="Century Gothic" w:hAnsi="Century Gothic" w:cs="Century Gothic"/>
          <w:sz w:val="20"/>
          <w:szCs w:val="20"/>
        </w:rPr>
        <w:t xml:space="preserve">La Déclaration de la Conférence de Londres sur le commerce illégal de la faune (février 2014). </w:t>
      </w:r>
    </w:p>
    <w:p w:rsidR="00567F6F" w:rsidRPr="00567F6F" w:rsidRDefault="00567F6F" w:rsidP="004570E4">
      <w:pPr>
        <w:autoSpaceDE w:val="0"/>
        <w:autoSpaceDN w:val="0"/>
        <w:adjustRightInd w:val="0"/>
        <w:spacing w:after="23" w:line="240" w:lineRule="auto"/>
        <w:jc w:val="both"/>
        <w:rPr>
          <w:rFonts w:ascii="Century Gothic" w:hAnsi="Century Gothic" w:cs="Century Gothic"/>
          <w:sz w:val="20"/>
          <w:szCs w:val="20"/>
        </w:rPr>
      </w:pPr>
      <w:r w:rsidRPr="00567F6F">
        <w:rPr>
          <w:rFonts w:ascii="Calibri" w:hAnsi="Calibri" w:cs="Calibri"/>
          <w:sz w:val="20"/>
          <w:szCs w:val="20"/>
        </w:rPr>
        <w:t xml:space="preserve">• </w:t>
      </w:r>
      <w:r w:rsidRPr="00567F6F">
        <w:rPr>
          <w:rFonts w:ascii="Century Gothic" w:hAnsi="Century Gothic" w:cs="Century Gothic"/>
          <w:sz w:val="20"/>
          <w:szCs w:val="20"/>
        </w:rPr>
        <w:t xml:space="preserve">Déclaration de Kasane sur le commerce illégal de la faune (mars 2015). </w:t>
      </w:r>
    </w:p>
    <w:p w:rsidR="00567F6F" w:rsidRPr="00567F6F" w:rsidRDefault="00567F6F" w:rsidP="004570E4">
      <w:pPr>
        <w:autoSpaceDE w:val="0"/>
        <w:autoSpaceDN w:val="0"/>
        <w:adjustRightInd w:val="0"/>
        <w:spacing w:after="23" w:line="240" w:lineRule="auto"/>
        <w:jc w:val="both"/>
        <w:rPr>
          <w:rFonts w:ascii="Century Gothic" w:hAnsi="Century Gothic" w:cs="Century Gothic"/>
          <w:sz w:val="20"/>
          <w:szCs w:val="20"/>
        </w:rPr>
      </w:pPr>
      <w:r w:rsidRPr="00567F6F">
        <w:rPr>
          <w:rFonts w:ascii="Calibri" w:hAnsi="Calibri" w:cs="Calibri"/>
          <w:sz w:val="20"/>
          <w:szCs w:val="20"/>
        </w:rPr>
        <w:t xml:space="preserve">• </w:t>
      </w:r>
      <w:r w:rsidRPr="00567F6F">
        <w:rPr>
          <w:rFonts w:ascii="Century Gothic" w:hAnsi="Century Gothic" w:cs="Century Gothic"/>
          <w:sz w:val="20"/>
          <w:szCs w:val="20"/>
        </w:rPr>
        <w:t xml:space="preserve">Stratégie africaine de lutte contre l'exploitation illégale et le commerce illicite de la faune et de la flore sauvages en Afrique (mai 2015) dirigée par la Commission de l'Union Africaine. </w:t>
      </w:r>
    </w:p>
    <w:p w:rsidR="00567F6F" w:rsidRPr="00567F6F" w:rsidRDefault="00567F6F" w:rsidP="004570E4">
      <w:pPr>
        <w:autoSpaceDE w:val="0"/>
        <w:autoSpaceDN w:val="0"/>
        <w:adjustRightInd w:val="0"/>
        <w:spacing w:after="23" w:line="240" w:lineRule="auto"/>
        <w:jc w:val="both"/>
        <w:rPr>
          <w:rFonts w:ascii="Century Gothic" w:hAnsi="Century Gothic" w:cs="Century Gothic"/>
          <w:sz w:val="20"/>
          <w:szCs w:val="20"/>
        </w:rPr>
      </w:pPr>
      <w:r w:rsidRPr="00567F6F">
        <w:rPr>
          <w:rFonts w:ascii="Calibri" w:hAnsi="Calibri" w:cs="Calibri"/>
          <w:sz w:val="20"/>
          <w:szCs w:val="20"/>
        </w:rPr>
        <w:t xml:space="preserve">• </w:t>
      </w:r>
      <w:r w:rsidRPr="00567F6F">
        <w:rPr>
          <w:rFonts w:ascii="Century Gothic" w:hAnsi="Century Gothic" w:cs="Century Gothic"/>
          <w:sz w:val="20"/>
          <w:szCs w:val="20"/>
        </w:rPr>
        <w:t xml:space="preserve">Plan d'action de la COMIFAC pour l'application de la loi en Afrique centrale (communément appelé PAPECALF 2012-2017). </w:t>
      </w:r>
    </w:p>
    <w:p w:rsidR="00567F6F" w:rsidRPr="00567F6F" w:rsidRDefault="00567F6F" w:rsidP="004570E4">
      <w:pPr>
        <w:autoSpaceDE w:val="0"/>
        <w:autoSpaceDN w:val="0"/>
        <w:adjustRightInd w:val="0"/>
        <w:spacing w:after="0" w:line="240" w:lineRule="auto"/>
        <w:jc w:val="both"/>
        <w:rPr>
          <w:rFonts w:ascii="Century Gothic" w:hAnsi="Century Gothic" w:cs="Century Gothic"/>
          <w:sz w:val="20"/>
          <w:szCs w:val="20"/>
        </w:rPr>
      </w:pPr>
      <w:r w:rsidRPr="00567F6F">
        <w:rPr>
          <w:rFonts w:ascii="Calibri" w:hAnsi="Calibri" w:cs="Calibri"/>
          <w:sz w:val="20"/>
          <w:szCs w:val="20"/>
        </w:rPr>
        <w:t xml:space="preserve">• </w:t>
      </w:r>
      <w:r w:rsidRPr="00567F6F">
        <w:rPr>
          <w:rFonts w:ascii="Century Gothic" w:hAnsi="Century Gothic" w:cs="Century Gothic"/>
          <w:sz w:val="20"/>
          <w:szCs w:val="20"/>
        </w:rPr>
        <w:t xml:space="preserve">Forum sur la coopération sino-africaine (FOCAC), Plan d'action de Johannesburg. </w:t>
      </w:r>
    </w:p>
    <w:p w:rsidR="00567F6F" w:rsidRPr="00567F6F" w:rsidRDefault="00567F6F" w:rsidP="00567F6F">
      <w:pPr>
        <w:autoSpaceDE w:val="0"/>
        <w:autoSpaceDN w:val="0"/>
        <w:adjustRightInd w:val="0"/>
        <w:spacing w:after="0" w:line="240" w:lineRule="auto"/>
        <w:rPr>
          <w:rFonts w:ascii="Century Gothic" w:hAnsi="Century Gothic" w:cs="Century Gothic"/>
          <w:sz w:val="20"/>
          <w:szCs w:val="20"/>
        </w:rPr>
      </w:pPr>
    </w:p>
    <w:p w:rsidR="00567F6F" w:rsidRPr="00567F6F" w:rsidRDefault="00567F6F" w:rsidP="00567F6F">
      <w:pPr>
        <w:autoSpaceDE w:val="0"/>
        <w:autoSpaceDN w:val="0"/>
        <w:adjustRightInd w:val="0"/>
        <w:spacing w:after="0" w:line="240" w:lineRule="auto"/>
        <w:rPr>
          <w:rFonts w:ascii="Impact" w:hAnsi="Impact" w:cs="Impact"/>
          <w:color w:val="92D050"/>
          <w:sz w:val="32"/>
          <w:szCs w:val="32"/>
        </w:rPr>
      </w:pPr>
      <w:r w:rsidRPr="00567F6F">
        <w:rPr>
          <w:rFonts w:ascii="Impact" w:hAnsi="Impact" w:cs="Impact"/>
          <w:color w:val="92D050"/>
          <w:sz w:val="32"/>
          <w:szCs w:val="32"/>
        </w:rPr>
        <w:t xml:space="preserve">Bailleurs de fonds </w:t>
      </w:r>
    </w:p>
    <w:p w:rsidR="00567F6F" w:rsidRPr="00567F6F" w:rsidRDefault="00567F6F" w:rsidP="004570E4">
      <w:pPr>
        <w:autoSpaceDE w:val="0"/>
        <w:autoSpaceDN w:val="0"/>
        <w:adjustRightInd w:val="0"/>
        <w:spacing w:after="26" w:line="240" w:lineRule="auto"/>
        <w:jc w:val="both"/>
        <w:rPr>
          <w:rFonts w:ascii="Century Gothic" w:hAnsi="Century Gothic" w:cs="Century Gothic"/>
          <w:sz w:val="20"/>
          <w:szCs w:val="20"/>
        </w:rPr>
      </w:pPr>
      <w:r w:rsidRPr="00567F6F">
        <w:rPr>
          <w:rFonts w:ascii="Century Gothic" w:hAnsi="Century Gothic" w:cs="Century Gothic"/>
          <w:sz w:val="20"/>
          <w:szCs w:val="20"/>
        </w:rPr>
        <w:t xml:space="preserve">1. Le projet </w:t>
      </w:r>
      <w:r w:rsidR="004F607F" w:rsidRPr="004F607F">
        <w:rPr>
          <w:rFonts w:ascii="Century Gothic" w:hAnsi="Century Gothic" w:cs="Century Gothic"/>
          <w:sz w:val="20"/>
          <w:szCs w:val="20"/>
        </w:rPr>
        <w:t>« Partenariat contre le braconnage et le commerce illégal d'espèces sauvages (ivoire et corne de rhinocéros) en Afrique et en Asie »</w:t>
      </w:r>
      <w:r w:rsidRPr="00567F6F">
        <w:rPr>
          <w:rFonts w:ascii="Century Gothic" w:hAnsi="Century Gothic" w:cs="Century Gothic"/>
          <w:sz w:val="20"/>
          <w:szCs w:val="20"/>
        </w:rPr>
        <w:t xml:space="preserve">, mis en </w:t>
      </w:r>
      <w:r w:rsidR="004570E4" w:rsidRPr="00567F6F">
        <w:rPr>
          <w:rFonts w:ascii="Century Gothic" w:hAnsi="Century Gothic" w:cs="Century Gothic"/>
          <w:sz w:val="20"/>
          <w:szCs w:val="20"/>
        </w:rPr>
        <w:t>œuvre</w:t>
      </w:r>
      <w:r w:rsidRPr="00567F6F">
        <w:rPr>
          <w:rFonts w:ascii="Century Gothic" w:hAnsi="Century Gothic" w:cs="Century Gothic"/>
          <w:sz w:val="20"/>
          <w:szCs w:val="20"/>
        </w:rPr>
        <w:t xml:space="preserve"> par la GIZ au nom du ministère fédéral allemand de la Coopération économique et du Développement (BMZ) et du ministère allemand de l'environnement, de la conservation de la nature et de la sûreté nucléaire (BMU); </w:t>
      </w:r>
    </w:p>
    <w:p w:rsidR="009765C8" w:rsidRDefault="008B6957" w:rsidP="004570E4">
      <w:pPr>
        <w:autoSpaceDE w:val="0"/>
        <w:autoSpaceDN w:val="0"/>
        <w:adjustRightInd w:val="0"/>
        <w:spacing w:after="0" w:line="240" w:lineRule="auto"/>
        <w:jc w:val="both"/>
        <w:rPr>
          <w:rFonts w:ascii="Century Gothic" w:hAnsi="Century Gothic" w:cs="Century Gothic"/>
          <w:sz w:val="20"/>
          <w:szCs w:val="20"/>
        </w:rPr>
      </w:pPr>
      <w:r w:rsidRPr="00614649">
        <w:rPr>
          <w:rFonts w:ascii="Century Gothic" w:hAnsi="Century Gothic" w:cs="Century Gothic"/>
          <w:sz w:val="20"/>
          <w:szCs w:val="20"/>
        </w:rPr>
        <w:t xml:space="preserve">4. </w:t>
      </w:r>
      <w:r w:rsidR="00614649" w:rsidRPr="00614649">
        <w:rPr>
          <w:rFonts w:ascii="Century Gothic" w:hAnsi="Century Gothic"/>
          <w:sz w:val="20"/>
          <w:szCs w:val="20"/>
        </w:rPr>
        <w:t>Service Public Fédéral Santé Publique</w:t>
      </w:r>
      <w:r w:rsidR="004F607F">
        <w:rPr>
          <w:rFonts w:ascii="Century Gothic" w:hAnsi="Century Gothic"/>
          <w:sz w:val="20"/>
          <w:szCs w:val="20"/>
        </w:rPr>
        <w:t xml:space="preserve"> de Belgique</w:t>
      </w:r>
      <w:r w:rsidR="00614649" w:rsidRPr="00614649">
        <w:rPr>
          <w:rFonts w:ascii="Century Gothic" w:hAnsi="Century Gothic"/>
          <w:sz w:val="20"/>
          <w:szCs w:val="20"/>
        </w:rPr>
        <w:t>, Sécurité de la chaine alimentaire et environnement</w:t>
      </w:r>
      <w:r w:rsidR="00614649">
        <w:rPr>
          <w:rFonts w:ascii="Century Gothic" w:hAnsi="Century Gothic" w:cs="Century Gothic"/>
          <w:sz w:val="20"/>
          <w:szCs w:val="20"/>
        </w:rPr>
        <w:t>.</w:t>
      </w:r>
      <w:bookmarkStart w:id="0" w:name="_GoBack"/>
      <w:bookmarkEnd w:id="0"/>
    </w:p>
    <w:p w:rsidR="004F607F" w:rsidRDefault="004F607F" w:rsidP="004570E4">
      <w:pPr>
        <w:autoSpaceDE w:val="0"/>
        <w:autoSpaceDN w:val="0"/>
        <w:adjustRightInd w:val="0"/>
        <w:spacing w:after="0" w:line="240" w:lineRule="auto"/>
        <w:jc w:val="both"/>
        <w:rPr>
          <w:rFonts w:ascii="Century Gothic" w:hAnsi="Century Gothic" w:cs="Century Gothic"/>
          <w:sz w:val="20"/>
          <w:szCs w:val="20"/>
        </w:rPr>
      </w:pPr>
    </w:p>
    <w:p w:rsidR="0004488C" w:rsidRDefault="004F607F" w:rsidP="004570E4">
      <w:pPr>
        <w:autoSpaceDE w:val="0"/>
        <w:autoSpaceDN w:val="0"/>
        <w:adjustRightInd w:val="0"/>
        <w:spacing w:after="0" w:line="240" w:lineRule="auto"/>
        <w:jc w:val="both"/>
        <w:rPr>
          <w:rFonts w:ascii="Century Gothic" w:hAnsi="Century Gothic" w:cs="Century Gothic"/>
          <w:sz w:val="20"/>
          <w:szCs w:val="20"/>
        </w:rPr>
      </w:pPr>
      <w:r>
        <w:rPr>
          <w:noProof/>
        </w:rPr>
        <w:drawing>
          <wp:inline distT="0" distB="0" distL="0" distR="0">
            <wp:extent cx="2409825" cy="74664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9768" cy="777605"/>
                    </a:xfrm>
                    <a:prstGeom prst="rect">
                      <a:avLst/>
                    </a:prstGeom>
                    <a:noFill/>
                    <a:ln>
                      <a:noFill/>
                    </a:ln>
                  </pic:spPr>
                </pic:pic>
              </a:graphicData>
            </a:graphic>
          </wp:inline>
        </w:drawing>
      </w:r>
    </w:p>
    <w:p w:rsidR="00DD03D8" w:rsidRDefault="00DD03D8" w:rsidP="004570E4">
      <w:pPr>
        <w:autoSpaceDE w:val="0"/>
        <w:autoSpaceDN w:val="0"/>
        <w:adjustRightInd w:val="0"/>
        <w:spacing w:after="0" w:line="240" w:lineRule="auto"/>
        <w:jc w:val="both"/>
        <w:rPr>
          <w:rFonts w:ascii="Century Gothic" w:hAnsi="Century Gothic" w:cs="Century Gothic"/>
          <w:sz w:val="20"/>
          <w:szCs w:val="20"/>
        </w:rPr>
      </w:pPr>
    </w:p>
    <w:p w:rsidR="007B34BF" w:rsidRDefault="007B34BF" w:rsidP="004570E4">
      <w:pPr>
        <w:autoSpaceDE w:val="0"/>
        <w:autoSpaceDN w:val="0"/>
        <w:adjustRightInd w:val="0"/>
        <w:spacing w:after="0" w:line="240" w:lineRule="auto"/>
        <w:jc w:val="both"/>
        <w:rPr>
          <w:rFonts w:ascii="Century Gothic" w:hAnsi="Century Gothic" w:cs="Century Gothic"/>
          <w:sz w:val="20"/>
          <w:szCs w:val="20"/>
        </w:rPr>
      </w:pPr>
      <w:r w:rsidRPr="00C83D9A">
        <w:rPr>
          <w:noProof/>
          <w:lang w:eastAsia="fr-FR"/>
        </w:rPr>
        <w:drawing>
          <wp:anchor distT="0" distB="0" distL="114300" distR="114300" simplePos="0" relativeHeight="251662848" behindDoc="0" locked="0" layoutInCell="1" allowOverlap="1" wp14:anchorId="3D149354" wp14:editId="5964CA77">
            <wp:simplePos x="0" y="0"/>
            <wp:positionH relativeFrom="column">
              <wp:align>left</wp:align>
            </wp:positionH>
            <wp:positionV relativeFrom="paragraph">
              <wp:posOffset>6350</wp:posOffset>
            </wp:positionV>
            <wp:extent cx="1552575" cy="428625"/>
            <wp:effectExtent l="0" t="0" r="9525" b="9525"/>
            <wp:wrapNone/>
            <wp:docPr id="19" name="Picture 31" descr="C:\Users\DRTRAFFIC\AppData\Local\Microsoft\Windows\Temporary Internet Files\Content.Outlook\DTHPFG72\FOD_Eng_Q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TRAFFIC\AppData\Local\Microsoft\Windows\Temporary Internet Files\Content.Outlook\DTHPFG72\FOD_Eng_Q (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257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34BF" w:rsidRPr="00567F6F" w:rsidRDefault="007B34BF" w:rsidP="004570E4">
      <w:pPr>
        <w:autoSpaceDE w:val="0"/>
        <w:autoSpaceDN w:val="0"/>
        <w:adjustRightInd w:val="0"/>
        <w:spacing w:after="0" w:line="240" w:lineRule="auto"/>
        <w:jc w:val="both"/>
        <w:rPr>
          <w:rFonts w:ascii="Century Gothic" w:hAnsi="Century Gothic" w:cs="Century Gothic"/>
          <w:sz w:val="20"/>
          <w:szCs w:val="20"/>
        </w:rPr>
      </w:pPr>
    </w:p>
    <w:p w:rsidR="00DD03D8" w:rsidRDefault="00DD03D8" w:rsidP="003C44B8">
      <w:pPr>
        <w:autoSpaceDE w:val="0"/>
        <w:autoSpaceDN w:val="0"/>
        <w:adjustRightInd w:val="0"/>
        <w:spacing w:after="0" w:line="240" w:lineRule="auto"/>
        <w:jc w:val="both"/>
        <w:rPr>
          <w:rFonts w:ascii="Century Gothic" w:hAnsi="Century Gothic" w:cs="Century Gothic"/>
          <w:b/>
          <w:color w:val="92D050"/>
          <w:sz w:val="24"/>
          <w:szCs w:val="24"/>
        </w:rPr>
      </w:pPr>
    </w:p>
    <w:p w:rsidR="0052469E" w:rsidRDefault="0052469E" w:rsidP="003C44B8">
      <w:pPr>
        <w:autoSpaceDE w:val="0"/>
        <w:autoSpaceDN w:val="0"/>
        <w:adjustRightInd w:val="0"/>
        <w:spacing w:after="0" w:line="240" w:lineRule="auto"/>
        <w:jc w:val="both"/>
        <w:rPr>
          <w:rFonts w:ascii="Century Gothic" w:hAnsi="Century Gothic" w:cs="Century Gothic"/>
          <w:b/>
          <w:color w:val="92D050"/>
          <w:sz w:val="24"/>
          <w:szCs w:val="24"/>
        </w:rPr>
      </w:pPr>
    </w:p>
    <w:p w:rsidR="00C26BCA" w:rsidRPr="004570E4" w:rsidRDefault="004F607F" w:rsidP="003C44B8">
      <w:pPr>
        <w:autoSpaceDE w:val="0"/>
        <w:autoSpaceDN w:val="0"/>
        <w:adjustRightInd w:val="0"/>
        <w:spacing w:after="0" w:line="240" w:lineRule="auto"/>
        <w:jc w:val="both"/>
        <w:rPr>
          <w:rFonts w:ascii="Century Gothic" w:hAnsi="Century Gothic" w:cs="Century Gothic"/>
          <w:b/>
          <w:color w:val="92D050"/>
          <w:sz w:val="24"/>
          <w:szCs w:val="24"/>
        </w:rPr>
        <w:sectPr w:rsidR="00C26BCA" w:rsidRPr="004570E4" w:rsidSect="004F607F">
          <w:type w:val="continuous"/>
          <w:pgSz w:w="11906" w:h="16838"/>
          <w:pgMar w:top="1418" w:right="720" w:bottom="720" w:left="720" w:header="709" w:footer="709" w:gutter="0"/>
          <w:cols w:num="2" w:space="708"/>
          <w:docGrid w:linePitch="360"/>
        </w:sectPr>
      </w:pPr>
      <w:r>
        <w:rPr>
          <w:rFonts w:ascii="Century Gothic" w:hAnsi="Century Gothic" w:cs="Century Gothic"/>
          <w:b/>
          <w:noProof/>
          <w:color w:val="92D050"/>
          <w:sz w:val="24"/>
          <w:szCs w:val="24"/>
        </w:rPr>
        <w:drawing>
          <wp:anchor distT="0" distB="0" distL="114300" distR="114300" simplePos="0" relativeHeight="251658752" behindDoc="0" locked="0" layoutInCell="1" allowOverlap="1">
            <wp:simplePos x="0" y="0"/>
            <wp:positionH relativeFrom="column">
              <wp:posOffset>4781257</wp:posOffset>
            </wp:positionH>
            <wp:positionV relativeFrom="paragraph">
              <wp:posOffset>396048</wp:posOffset>
            </wp:positionV>
            <wp:extent cx="436544" cy="561453"/>
            <wp:effectExtent l="0" t="0" r="1905" b="0"/>
            <wp:wrapNone/>
            <wp:docPr id="7"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4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36544" cy="561453"/>
                    </a:xfrm>
                    <a:prstGeom prst="rect">
                      <a:avLst/>
                    </a:prstGeom>
                    <a:noFill/>
                  </pic:spPr>
                </pic:pic>
              </a:graphicData>
            </a:graphic>
          </wp:anchor>
        </w:drawing>
      </w:r>
      <w:r>
        <w:rPr>
          <w:rFonts w:ascii="Century Gothic" w:hAnsi="Century Gothic" w:cs="Century Gothic"/>
          <w:b/>
          <w:noProof/>
          <w:color w:val="92D050"/>
          <w:sz w:val="24"/>
          <w:szCs w:val="24"/>
        </w:rPr>
        <w:drawing>
          <wp:anchor distT="0" distB="0" distL="114300" distR="114300" simplePos="0" relativeHeight="251659776" behindDoc="0" locked="0" layoutInCell="1" allowOverlap="1">
            <wp:simplePos x="0" y="0"/>
            <wp:positionH relativeFrom="column">
              <wp:posOffset>4751910</wp:posOffset>
            </wp:positionH>
            <wp:positionV relativeFrom="paragraph">
              <wp:posOffset>1081301</wp:posOffset>
            </wp:positionV>
            <wp:extent cx="593520" cy="609069"/>
            <wp:effectExtent l="0" t="0" r="0" b="635"/>
            <wp:wrapNone/>
            <wp:docPr id="14"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5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93520" cy="609069"/>
                    </a:xfrm>
                    <a:prstGeom prst="rect">
                      <a:avLst/>
                    </a:prstGeom>
                    <a:noFill/>
                  </pic:spPr>
                </pic:pic>
              </a:graphicData>
            </a:graphic>
          </wp:anchor>
        </w:drawing>
      </w:r>
      <w:r w:rsidR="004570E4" w:rsidRPr="004570E4">
        <w:rPr>
          <w:rFonts w:ascii="Century Gothic" w:hAnsi="Century Gothic" w:cs="Century Gothic"/>
          <w:b/>
          <w:color w:val="92D050"/>
          <w:sz w:val="24"/>
          <w:szCs w:val="24"/>
        </w:rPr>
        <w:t xml:space="preserve">Avec l’appui des partenaires </w:t>
      </w:r>
      <w:r w:rsidR="00DD03D8">
        <w:rPr>
          <w:rFonts w:ascii="Century Gothic" w:hAnsi="Century Gothic" w:cs="Century Gothic"/>
          <w:b/>
          <w:color w:val="92D050"/>
          <w:sz w:val="24"/>
          <w:szCs w:val="24"/>
        </w:rPr>
        <w:t>techniques</w:t>
      </w:r>
    </w:p>
    <w:p w:rsidR="003B499E" w:rsidRPr="004570E4" w:rsidRDefault="0052469E" w:rsidP="003C44B8">
      <w:pPr>
        <w:autoSpaceDE w:val="0"/>
        <w:autoSpaceDN w:val="0"/>
        <w:adjustRightInd w:val="0"/>
        <w:spacing w:after="0" w:line="240" w:lineRule="auto"/>
        <w:jc w:val="both"/>
        <w:rPr>
          <w:rFonts w:ascii="Century Gothic" w:hAnsi="Century Gothic" w:cs="Century Gothic"/>
          <w:sz w:val="20"/>
          <w:szCs w:val="20"/>
        </w:rPr>
      </w:pPr>
      <w:r>
        <w:rPr>
          <w:noProof/>
        </w:rPr>
        <w:drawing>
          <wp:anchor distT="0" distB="0" distL="114300" distR="114300" simplePos="0" relativeHeight="251667968" behindDoc="0" locked="0" layoutInCell="1" allowOverlap="1" wp14:anchorId="3E509542" wp14:editId="347AC989">
            <wp:simplePos x="0" y="0"/>
            <wp:positionH relativeFrom="margin">
              <wp:posOffset>5538472</wp:posOffset>
            </wp:positionH>
            <wp:positionV relativeFrom="paragraph">
              <wp:posOffset>208915</wp:posOffset>
            </wp:positionV>
            <wp:extent cx="1200704" cy="432000"/>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0704" cy="43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s="Century Gothic"/>
          <w:noProof/>
          <w:sz w:val="20"/>
          <w:szCs w:val="20"/>
        </w:rPr>
        <w:drawing>
          <wp:anchor distT="0" distB="0" distL="114300" distR="114300" simplePos="0" relativeHeight="251657728" behindDoc="0" locked="0" layoutInCell="1" allowOverlap="1">
            <wp:simplePos x="0" y="0"/>
            <wp:positionH relativeFrom="column">
              <wp:posOffset>3224530</wp:posOffset>
            </wp:positionH>
            <wp:positionV relativeFrom="paragraph">
              <wp:posOffset>172720</wp:posOffset>
            </wp:positionV>
            <wp:extent cx="713105" cy="647700"/>
            <wp:effectExtent l="0" t="0" r="0" b="0"/>
            <wp:wrapNone/>
            <wp:docPr id="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13105" cy="6477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B34BF">
        <w:rPr>
          <w:noProof/>
          <w:lang w:eastAsia="fr-FR"/>
        </w:rPr>
        <w:drawing>
          <wp:anchor distT="0" distB="0" distL="114300" distR="114300" simplePos="0" relativeHeight="251656704" behindDoc="1" locked="0" layoutInCell="1" allowOverlap="1">
            <wp:simplePos x="0" y="0"/>
            <wp:positionH relativeFrom="column">
              <wp:posOffset>-476250</wp:posOffset>
            </wp:positionH>
            <wp:positionV relativeFrom="paragraph">
              <wp:posOffset>165735</wp:posOffset>
            </wp:positionV>
            <wp:extent cx="3095625" cy="1123950"/>
            <wp:effectExtent l="0" t="0" r="9525" b="0"/>
            <wp:wrapThrough wrapText="bothSides">
              <wp:wrapPolygon edited="0">
                <wp:start x="0" y="0"/>
                <wp:lineTo x="0" y="21234"/>
                <wp:lineTo x="21534" y="21234"/>
                <wp:lineTo x="21534" y="0"/>
                <wp:lineTo x="0" y="0"/>
              </wp:wrapPolygon>
            </wp:wrapThrough>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7">
                      <a:extLst>
                        <a:ext uri="{28A0092B-C50C-407E-A947-70E740481C1C}">
                          <a14:useLocalDpi xmlns:a14="http://schemas.microsoft.com/office/drawing/2010/main" val="0"/>
                        </a:ext>
                      </a:extLst>
                    </a:blip>
                    <a:stretch>
                      <a:fillRect/>
                    </a:stretch>
                  </pic:blipFill>
                  <pic:spPr>
                    <a:xfrm>
                      <a:off x="0" y="0"/>
                      <a:ext cx="3095625" cy="1123950"/>
                    </a:xfrm>
                    <a:prstGeom prst="rect">
                      <a:avLst/>
                    </a:prstGeom>
                  </pic:spPr>
                </pic:pic>
              </a:graphicData>
            </a:graphic>
          </wp:anchor>
        </w:drawing>
      </w:r>
      <w:r w:rsidR="004F607F">
        <w:rPr>
          <w:rFonts w:ascii="Century Gothic" w:hAnsi="Century Gothic" w:cs="Century Gothic"/>
          <w:noProof/>
          <w:sz w:val="20"/>
          <w:szCs w:val="20"/>
        </w:rPr>
        <w:drawing>
          <wp:anchor distT="0" distB="0" distL="114300" distR="114300" simplePos="0" relativeHeight="251660800" behindDoc="0" locked="0" layoutInCell="1" allowOverlap="1">
            <wp:simplePos x="0" y="0"/>
            <wp:positionH relativeFrom="column">
              <wp:posOffset>4167505</wp:posOffset>
            </wp:positionH>
            <wp:positionV relativeFrom="paragraph">
              <wp:posOffset>93980</wp:posOffset>
            </wp:positionV>
            <wp:extent cx="835025" cy="704850"/>
            <wp:effectExtent l="0" t="0" r="3175" b="0"/>
            <wp:wrapNone/>
            <wp:docPr id="1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5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835025" cy="704850"/>
                    </a:xfrm>
                    <a:prstGeom prst="rect">
                      <a:avLst/>
                    </a:prstGeom>
                    <a:noFill/>
                  </pic:spPr>
                </pic:pic>
              </a:graphicData>
            </a:graphic>
            <wp14:sizeRelV relativeFrom="margin">
              <wp14:pctHeight>0</wp14:pctHeight>
            </wp14:sizeRelV>
          </wp:anchor>
        </w:drawing>
      </w:r>
    </w:p>
    <w:sectPr w:rsidR="003B499E" w:rsidRPr="004570E4" w:rsidSect="0052469E">
      <w:type w:val="continuous"/>
      <w:pgSz w:w="11906" w:h="16838"/>
      <w:pgMar w:top="1560"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59FA" w:rsidRDefault="004459FA" w:rsidP="00896D11">
      <w:pPr>
        <w:spacing w:after="0" w:line="240" w:lineRule="auto"/>
      </w:pPr>
      <w:r>
        <w:separator/>
      </w:r>
    </w:p>
  </w:endnote>
  <w:endnote w:type="continuationSeparator" w:id="0">
    <w:p w:rsidR="004459FA" w:rsidRDefault="004459FA" w:rsidP="00896D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altName w:val="Impact"/>
    <w:panose1 w:val="020B080603090205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59FA" w:rsidRDefault="004459FA" w:rsidP="00896D11">
      <w:pPr>
        <w:spacing w:after="0" w:line="240" w:lineRule="auto"/>
      </w:pPr>
      <w:r>
        <w:separator/>
      </w:r>
    </w:p>
  </w:footnote>
  <w:footnote w:type="continuationSeparator" w:id="0">
    <w:p w:rsidR="004459FA" w:rsidRDefault="004459FA" w:rsidP="00896D1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040"/>
    <w:rsid w:val="0001518D"/>
    <w:rsid w:val="0003729A"/>
    <w:rsid w:val="00043824"/>
    <w:rsid w:val="0004488C"/>
    <w:rsid w:val="00060515"/>
    <w:rsid w:val="00074F20"/>
    <w:rsid w:val="00085F81"/>
    <w:rsid w:val="00087F74"/>
    <w:rsid w:val="0011736A"/>
    <w:rsid w:val="00195604"/>
    <w:rsid w:val="001A03DB"/>
    <w:rsid w:val="001A37D1"/>
    <w:rsid w:val="001F4E96"/>
    <w:rsid w:val="00206485"/>
    <w:rsid w:val="002119DA"/>
    <w:rsid w:val="00216D90"/>
    <w:rsid w:val="0021795A"/>
    <w:rsid w:val="0024016A"/>
    <w:rsid w:val="002801B7"/>
    <w:rsid w:val="00297889"/>
    <w:rsid w:val="002A63CC"/>
    <w:rsid w:val="002E3570"/>
    <w:rsid w:val="003246BF"/>
    <w:rsid w:val="00344B21"/>
    <w:rsid w:val="003972D6"/>
    <w:rsid w:val="003A7449"/>
    <w:rsid w:val="003B499E"/>
    <w:rsid w:val="003C44B8"/>
    <w:rsid w:val="004459FA"/>
    <w:rsid w:val="004570E4"/>
    <w:rsid w:val="004975B5"/>
    <w:rsid w:val="004B42EE"/>
    <w:rsid w:val="004F242F"/>
    <w:rsid w:val="004F607F"/>
    <w:rsid w:val="00515040"/>
    <w:rsid w:val="00516E6E"/>
    <w:rsid w:val="0052469E"/>
    <w:rsid w:val="00525CB7"/>
    <w:rsid w:val="00543E4A"/>
    <w:rsid w:val="005679B4"/>
    <w:rsid w:val="00567F6F"/>
    <w:rsid w:val="00583211"/>
    <w:rsid w:val="005A630A"/>
    <w:rsid w:val="005B1024"/>
    <w:rsid w:val="005D34F9"/>
    <w:rsid w:val="005D4274"/>
    <w:rsid w:val="00611960"/>
    <w:rsid w:val="00611EFA"/>
    <w:rsid w:val="00614649"/>
    <w:rsid w:val="00680710"/>
    <w:rsid w:val="006A1C87"/>
    <w:rsid w:val="006A25DC"/>
    <w:rsid w:val="006C4BB9"/>
    <w:rsid w:val="006F2FAF"/>
    <w:rsid w:val="00724F74"/>
    <w:rsid w:val="00725E74"/>
    <w:rsid w:val="007701F6"/>
    <w:rsid w:val="00771647"/>
    <w:rsid w:val="00773BC4"/>
    <w:rsid w:val="007B34BF"/>
    <w:rsid w:val="007D5F11"/>
    <w:rsid w:val="0085303A"/>
    <w:rsid w:val="008675AC"/>
    <w:rsid w:val="00873E45"/>
    <w:rsid w:val="008800EC"/>
    <w:rsid w:val="00894C8A"/>
    <w:rsid w:val="00896D11"/>
    <w:rsid w:val="008B6957"/>
    <w:rsid w:val="0090375F"/>
    <w:rsid w:val="009250F4"/>
    <w:rsid w:val="009765C8"/>
    <w:rsid w:val="00995FB8"/>
    <w:rsid w:val="009C1FA0"/>
    <w:rsid w:val="009D1B68"/>
    <w:rsid w:val="00A057C3"/>
    <w:rsid w:val="00A331BF"/>
    <w:rsid w:val="00A36BD2"/>
    <w:rsid w:val="00A439D2"/>
    <w:rsid w:val="00AB1418"/>
    <w:rsid w:val="00AB409F"/>
    <w:rsid w:val="00AB6797"/>
    <w:rsid w:val="00AF28BA"/>
    <w:rsid w:val="00B17659"/>
    <w:rsid w:val="00B42D34"/>
    <w:rsid w:val="00BD266B"/>
    <w:rsid w:val="00BE32FF"/>
    <w:rsid w:val="00C136B7"/>
    <w:rsid w:val="00C26BCA"/>
    <w:rsid w:val="00C44B8F"/>
    <w:rsid w:val="00C64B9C"/>
    <w:rsid w:val="00CE0AA8"/>
    <w:rsid w:val="00CF1911"/>
    <w:rsid w:val="00D53F1E"/>
    <w:rsid w:val="00DA198D"/>
    <w:rsid w:val="00DD03D8"/>
    <w:rsid w:val="00E74426"/>
    <w:rsid w:val="00EE427B"/>
    <w:rsid w:val="00EF1FB3"/>
    <w:rsid w:val="00FA00F2"/>
    <w:rsid w:val="00FC06AC"/>
    <w:rsid w:val="00FD054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19245"/>
  <w15:docId w15:val="{8CABC71B-6642-4081-84DD-9726C91F9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8B695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19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98D"/>
    <w:rPr>
      <w:rFonts w:ascii="Tahoma" w:hAnsi="Tahoma" w:cs="Tahoma"/>
      <w:sz w:val="16"/>
      <w:szCs w:val="16"/>
    </w:rPr>
  </w:style>
  <w:style w:type="paragraph" w:customStyle="1" w:styleId="Default">
    <w:name w:val="Default"/>
    <w:rsid w:val="00DA198D"/>
    <w:pPr>
      <w:autoSpaceDE w:val="0"/>
      <w:autoSpaceDN w:val="0"/>
      <w:adjustRightInd w:val="0"/>
      <w:spacing w:after="0" w:line="240" w:lineRule="auto"/>
    </w:pPr>
    <w:rPr>
      <w:rFonts w:ascii="Impact" w:hAnsi="Impact" w:cs="Impact"/>
      <w:color w:val="000000"/>
      <w:sz w:val="24"/>
      <w:szCs w:val="24"/>
    </w:rPr>
  </w:style>
  <w:style w:type="paragraph" w:styleId="Header">
    <w:name w:val="header"/>
    <w:basedOn w:val="Normal"/>
    <w:link w:val="HeaderChar"/>
    <w:uiPriority w:val="99"/>
    <w:unhideWhenUsed/>
    <w:rsid w:val="00896D11"/>
    <w:pPr>
      <w:tabs>
        <w:tab w:val="center" w:pos="4536"/>
        <w:tab w:val="right" w:pos="9072"/>
      </w:tabs>
      <w:spacing w:after="0" w:line="240" w:lineRule="auto"/>
    </w:pPr>
  </w:style>
  <w:style w:type="character" w:customStyle="1" w:styleId="HeaderChar">
    <w:name w:val="Header Char"/>
    <w:basedOn w:val="DefaultParagraphFont"/>
    <w:link w:val="Header"/>
    <w:uiPriority w:val="99"/>
    <w:rsid w:val="00896D11"/>
  </w:style>
  <w:style w:type="paragraph" w:styleId="Footer">
    <w:name w:val="footer"/>
    <w:basedOn w:val="Normal"/>
    <w:link w:val="FooterChar"/>
    <w:uiPriority w:val="99"/>
    <w:unhideWhenUsed/>
    <w:rsid w:val="00896D11"/>
    <w:pPr>
      <w:tabs>
        <w:tab w:val="center" w:pos="4536"/>
        <w:tab w:val="right" w:pos="9072"/>
      </w:tabs>
      <w:spacing w:after="0" w:line="240" w:lineRule="auto"/>
    </w:pPr>
  </w:style>
  <w:style w:type="character" w:customStyle="1" w:styleId="FooterChar">
    <w:name w:val="Footer Char"/>
    <w:basedOn w:val="DefaultParagraphFont"/>
    <w:link w:val="Footer"/>
    <w:uiPriority w:val="99"/>
    <w:rsid w:val="00896D11"/>
  </w:style>
  <w:style w:type="character" w:customStyle="1" w:styleId="Heading1Char">
    <w:name w:val="Heading 1 Char"/>
    <w:basedOn w:val="DefaultParagraphFont"/>
    <w:link w:val="Heading1"/>
    <w:uiPriority w:val="9"/>
    <w:rsid w:val="008B6957"/>
    <w:rPr>
      <w:rFonts w:ascii="Times New Roman" w:eastAsia="Times New Roman" w:hAnsi="Times New Roman" w:cs="Times New Roman"/>
      <w:b/>
      <w:bCs/>
      <w:kern w:val="36"/>
      <w:sz w:val="48"/>
      <w:szCs w:val="4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6847255">
      <w:bodyDiv w:val="1"/>
      <w:marLeft w:val="0"/>
      <w:marRight w:val="0"/>
      <w:marTop w:val="0"/>
      <w:marBottom w:val="0"/>
      <w:divBdr>
        <w:top w:val="none" w:sz="0" w:space="0" w:color="auto"/>
        <w:left w:val="none" w:sz="0" w:space="0" w:color="auto"/>
        <w:bottom w:val="none" w:sz="0" w:space="0" w:color="auto"/>
        <w:right w:val="none" w:sz="0" w:space="0" w:color="auto"/>
      </w:divBdr>
    </w:div>
    <w:div w:id="2124417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2996B-CE2B-4E0C-8596-07D402F9C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763</Words>
  <Characters>4354</Characters>
  <Application>Microsoft Office Word</Application>
  <DocSecurity>0</DocSecurity>
  <Lines>36</Lines>
  <Paragraphs>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dc:creator>
  <cp:lastModifiedBy>Colomban MacDowall</cp:lastModifiedBy>
  <cp:revision>6</cp:revision>
  <cp:lastPrinted>2017-08-29T13:26:00Z</cp:lastPrinted>
  <dcterms:created xsi:type="dcterms:W3CDTF">2018-04-06T14:47:00Z</dcterms:created>
  <dcterms:modified xsi:type="dcterms:W3CDTF">2018-04-13T09:52:00Z</dcterms:modified>
</cp:coreProperties>
</file>