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B7372" w14:textId="77777777" w:rsidR="00D04AAD" w:rsidRDefault="00D04AAD" w:rsidP="003D3521">
      <w:pPr>
        <w:jc w:val="center"/>
      </w:pPr>
    </w:p>
    <w:p w14:paraId="3608BF8C" w14:textId="77777777" w:rsidR="00D04AAD" w:rsidRDefault="00D04AAD" w:rsidP="003D3521">
      <w:pPr>
        <w:jc w:val="center"/>
      </w:pPr>
    </w:p>
    <w:p w14:paraId="5AD3ED5A" w14:textId="77777777" w:rsidR="00D04AAD" w:rsidRDefault="00D04AAD" w:rsidP="003D3521">
      <w:pPr>
        <w:jc w:val="center"/>
      </w:pPr>
    </w:p>
    <w:p w14:paraId="1F952A1A" w14:textId="05DEB0EB" w:rsidR="009D3B6C" w:rsidRPr="006854F1" w:rsidRDefault="000F3F64" w:rsidP="003D3521">
      <w:pPr>
        <w:jc w:val="center"/>
      </w:pPr>
      <w:r w:rsidRPr="006854F1">
        <w:rPr>
          <w:noProof/>
          <w:lang w:val="en-GB" w:eastAsia="zh-CN"/>
        </w:rPr>
        <w:drawing>
          <wp:inline distT="0" distB="0" distL="0" distR="0" wp14:anchorId="03F5BC8A" wp14:editId="66708657">
            <wp:extent cx="1380490"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687070"/>
                    </a:xfrm>
                    <a:prstGeom prst="rect">
                      <a:avLst/>
                    </a:prstGeom>
                    <a:noFill/>
                    <a:ln>
                      <a:noFill/>
                    </a:ln>
                  </pic:spPr>
                </pic:pic>
              </a:graphicData>
            </a:graphic>
          </wp:inline>
        </w:drawing>
      </w:r>
    </w:p>
    <w:p w14:paraId="459CAAC1" w14:textId="77777777" w:rsidR="009D3B6C" w:rsidRDefault="009D3B6C" w:rsidP="0075721F">
      <w:pPr>
        <w:spacing w:before="120"/>
        <w:jc w:val="center"/>
        <w:rPr>
          <w:sz w:val="22"/>
          <w:szCs w:val="22"/>
        </w:rPr>
      </w:pPr>
    </w:p>
    <w:p w14:paraId="3BC5FDCD" w14:textId="77777777" w:rsidR="005579E5" w:rsidRDefault="005579E5" w:rsidP="00A9482F">
      <w:pPr>
        <w:spacing w:before="120"/>
        <w:rPr>
          <w:b/>
          <w:sz w:val="28"/>
          <w:szCs w:val="28"/>
          <w:lang w:val="en-GB"/>
        </w:rPr>
      </w:pPr>
    </w:p>
    <w:p w14:paraId="40F1EFC1" w14:textId="02421255" w:rsidR="008152FD" w:rsidRPr="005579E5" w:rsidRDefault="005579E5" w:rsidP="00A9482F">
      <w:pPr>
        <w:spacing w:before="120"/>
        <w:rPr>
          <w:sz w:val="22"/>
          <w:szCs w:val="22"/>
          <w:lang w:val="en-GB"/>
        </w:rPr>
      </w:pPr>
      <w:r w:rsidRPr="005579E5">
        <w:rPr>
          <w:b/>
          <w:sz w:val="28"/>
          <w:szCs w:val="28"/>
          <w:lang w:val="en-GB"/>
        </w:rPr>
        <w:t>Law enforcement and combating wildlife and forest crime</w:t>
      </w:r>
    </w:p>
    <w:p w14:paraId="0652C778" w14:textId="77777777" w:rsidR="005579E5" w:rsidRDefault="005579E5" w:rsidP="0075721F">
      <w:pPr>
        <w:spacing w:before="120"/>
        <w:rPr>
          <w:b/>
          <w:sz w:val="28"/>
          <w:szCs w:val="28"/>
          <w:lang w:val="en-GB"/>
        </w:rPr>
      </w:pPr>
    </w:p>
    <w:p w14:paraId="29765EE0" w14:textId="7E626D39" w:rsidR="00A9482F" w:rsidRPr="00AA5E3A" w:rsidRDefault="00A9482F" w:rsidP="00AA5E3A">
      <w:pPr>
        <w:spacing w:before="120"/>
        <w:rPr>
          <w:b/>
          <w:sz w:val="28"/>
          <w:szCs w:val="28"/>
          <w:lang w:val="fr-FR"/>
        </w:rPr>
      </w:pPr>
      <w:r w:rsidRPr="00AA5E3A">
        <w:rPr>
          <w:b/>
          <w:sz w:val="28"/>
          <w:szCs w:val="28"/>
          <w:lang w:val="fr-FR"/>
        </w:rPr>
        <w:t xml:space="preserve">Budget: </w:t>
      </w:r>
      <w:r w:rsidR="002B272B" w:rsidRPr="00AA5E3A">
        <w:rPr>
          <w:b/>
          <w:sz w:val="28"/>
          <w:szCs w:val="28"/>
          <w:lang w:val="fr-FR"/>
        </w:rPr>
        <w:t>1</w:t>
      </w:r>
      <w:r w:rsidR="00AA5E3A" w:rsidRPr="00AA5E3A">
        <w:rPr>
          <w:b/>
          <w:sz w:val="28"/>
          <w:szCs w:val="28"/>
          <w:lang w:val="fr-FR"/>
        </w:rPr>
        <w:t>5</w:t>
      </w:r>
      <w:r w:rsidR="002B272B" w:rsidRPr="00AA5E3A">
        <w:rPr>
          <w:b/>
          <w:sz w:val="28"/>
          <w:szCs w:val="28"/>
          <w:lang w:val="fr-FR"/>
        </w:rPr>
        <w:t>,500,000</w:t>
      </w:r>
      <w:r w:rsidRPr="00AA5E3A">
        <w:rPr>
          <w:b/>
          <w:sz w:val="28"/>
          <w:szCs w:val="28"/>
          <w:lang w:val="fr-FR"/>
        </w:rPr>
        <w:t xml:space="preserve"> Euro</w:t>
      </w:r>
    </w:p>
    <w:p w14:paraId="6B93D847" w14:textId="6DC55639" w:rsidR="00AA5E3A" w:rsidRPr="00AA5E3A" w:rsidRDefault="00AA5E3A" w:rsidP="00AA5E3A">
      <w:pPr>
        <w:spacing w:before="120"/>
        <w:rPr>
          <w:b/>
          <w:sz w:val="28"/>
          <w:szCs w:val="28"/>
          <w:lang w:val="fr-FR"/>
        </w:rPr>
      </w:pPr>
      <w:r w:rsidRPr="00AA5E3A">
        <w:rPr>
          <w:b/>
          <w:sz w:val="28"/>
          <w:szCs w:val="28"/>
          <w:lang w:val="fr-FR"/>
        </w:rPr>
        <w:t>EU contribution: 1</w:t>
      </w:r>
      <w:r>
        <w:rPr>
          <w:b/>
          <w:sz w:val="28"/>
          <w:szCs w:val="28"/>
          <w:lang w:val="fr-FR"/>
        </w:rPr>
        <w:t>3</w:t>
      </w:r>
      <w:r w:rsidRPr="00AA5E3A">
        <w:rPr>
          <w:b/>
          <w:sz w:val="28"/>
          <w:szCs w:val="28"/>
          <w:lang w:val="fr-FR"/>
        </w:rPr>
        <w:t>,500,000</w:t>
      </w:r>
      <w:r>
        <w:rPr>
          <w:b/>
          <w:sz w:val="28"/>
          <w:szCs w:val="28"/>
          <w:lang w:val="fr-FR"/>
        </w:rPr>
        <w:t xml:space="preserve"> Euro</w:t>
      </w:r>
    </w:p>
    <w:p w14:paraId="6F611B22" w14:textId="0661C99B" w:rsidR="00AA5E3A" w:rsidRPr="00AA5E3A" w:rsidRDefault="002D0CA4" w:rsidP="00AA5E3A">
      <w:pPr>
        <w:spacing w:before="120"/>
        <w:rPr>
          <w:b/>
          <w:sz w:val="28"/>
          <w:szCs w:val="28"/>
          <w:lang w:val="fr-FR"/>
        </w:rPr>
      </w:pPr>
      <w:r>
        <w:rPr>
          <w:b/>
          <w:sz w:val="28"/>
          <w:szCs w:val="28"/>
          <w:lang w:val="fr-FR"/>
        </w:rPr>
        <w:t>Co-financing</w:t>
      </w:r>
      <w:r w:rsidR="00AA5E3A" w:rsidRPr="00AA5E3A">
        <w:rPr>
          <w:b/>
          <w:sz w:val="28"/>
          <w:szCs w:val="28"/>
          <w:lang w:val="fr-FR"/>
        </w:rPr>
        <w:t xml:space="preserve">: </w:t>
      </w:r>
      <w:r w:rsidR="00AA5E3A">
        <w:rPr>
          <w:b/>
          <w:sz w:val="28"/>
          <w:szCs w:val="28"/>
          <w:lang w:val="fr-FR"/>
        </w:rPr>
        <w:t>2,000,000 Euro</w:t>
      </w:r>
      <w:r w:rsidR="00D04131">
        <w:rPr>
          <w:b/>
          <w:sz w:val="28"/>
          <w:szCs w:val="28"/>
          <w:lang w:val="fr-FR"/>
        </w:rPr>
        <w:t xml:space="preserve"> (tbc)</w:t>
      </w:r>
    </w:p>
    <w:p w14:paraId="5EA9053E" w14:textId="7433D28C" w:rsidR="00A9482F" w:rsidRDefault="00A9482F" w:rsidP="00D04131">
      <w:pPr>
        <w:spacing w:before="120"/>
        <w:rPr>
          <w:b/>
          <w:sz w:val="28"/>
          <w:szCs w:val="28"/>
          <w:lang w:val="en-GB"/>
        </w:rPr>
      </w:pPr>
      <w:r>
        <w:rPr>
          <w:b/>
          <w:sz w:val="28"/>
          <w:szCs w:val="28"/>
          <w:lang w:val="en-GB"/>
        </w:rPr>
        <w:t xml:space="preserve">Implementation Period: </w:t>
      </w:r>
      <w:r w:rsidR="00D04131">
        <w:rPr>
          <w:b/>
          <w:sz w:val="28"/>
          <w:szCs w:val="28"/>
          <w:lang w:val="en-GB"/>
        </w:rPr>
        <w:t>48</w:t>
      </w:r>
      <w:r>
        <w:rPr>
          <w:b/>
          <w:sz w:val="28"/>
          <w:szCs w:val="28"/>
          <w:lang w:val="en-GB"/>
        </w:rPr>
        <w:t xml:space="preserve"> Months</w:t>
      </w:r>
      <w:r w:rsidR="00D04131">
        <w:rPr>
          <w:b/>
          <w:sz w:val="28"/>
          <w:szCs w:val="28"/>
          <w:lang w:val="en-GB"/>
        </w:rPr>
        <w:t xml:space="preserve"> (tbc)</w:t>
      </w:r>
    </w:p>
    <w:p w14:paraId="5AEFD7F1" w14:textId="77777777" w:rsidR="00A9482F" w:rsidRDefault="00A9482F" w:rsidP="0075721F">
      <w:pPr>
        <w:spacing w:before="120"/>
        <w:rPr>
          <w:b/>
          <w:sz w:val="28"/>
          <w:szCs w:val="28"/>
          <w:lang w:val="en-GB"/>
        </w:rPr>
      </w:pPr>
    </w:p>
    <w:p w14:paraId="3E3C2067" w14:textId="77777777" w:rsidR="00A9482F" w:rsidRDefault="00A9482F" w:rsidP="0075721F">
      <w:pPr>
        <w:spacing w:before="120"/>
        <w:rPr>
          <w:b/>
          <w:sz w:val="28"/>
          <w:szCs w:val="28"/>
          <w:lang w:val="en-GB"/>
        </w:rPr>
      </w:pPr>
    </w:p>
    <w:p w14:paraId="61820E92" w14:textId="2397E308" w:rsidR="005579E5" w:rsidRPr="00D04AAD" w:rsidRDefault="005579E5" w:rsidP="005579E5">
      <w:pPr>
        <w:spacing w:before="120"/>
        <w:rPr>
          <w:b/>
          <w:sz w:val="28"/>
          <w:szCs w:val="28"/>
          <w:lang w:val="en-GB"/>
        </w:rPr>
      </w:pPr>
      <w:r>
        <w:rPr>
          <w:b/>
          <w:sz w:val="28"/>
          <w:szCs w:val="28"/>
          <w:lang w:val="en-GB"/>
        </w:rPr>
        <w:t>Project modality</w:t>
      </w:r>
      <w:r w:rsidRPr="00D04AAD">
        <w:rPr>
          <w:b/>
          <w:sz w:val="28"/>
          <w:szCs w:val="28"/>
          <w:lang w:val="en-GB"/>
        </w:rPr>
        <w:t xml:space="preserve">: </w:t>
      </w:r>
    </w:p>
    <w:p w14:paraId="5575DEE4" w14:textId="77777777" w:rsidR="005579E5" w:rsidRPr="00D04AAD" w:rsidRDefault="005579E5" w:rsidP="005579E5">
      <w:pPr>
        <w:pStyle w:val="ListParagraph"/>
        <w:spacing w:before="120"/>
        <w:rPr>
          <w:b/>
          <w:sz w:val="28"/>
          <w:szCs w:val="28"/>
          <w:lang w:val="en-GB"/>
        </w:rPr>
      </w:pPr>
    </w:p>
    <w:p w14:paraId="13158382" w14:textId="7A06C015" w:rsidR="005579E5" w:rsidRPr="005579E5" w:rsidRDefault="005579E5" w:rsidP="00235702">
      <w:pPr>
        <w:pStyle w:val="ListParagraph"/>
        <w:numPr>
          <w:ilvl w:val="0"/>
          <w:numId w:val="31"/>
        </w:numPr>
        <w:spacing w:before="120"/>
        <w:rPr>
          <w:b/>
          <w:sz w:val="28"/>
          <w:szCs w:val="28"/>
          <w:lang w:val="en-GB"/>
        </w:rPr>
      </w:pPr>
      <w:r w:rsidRPr="005579E5">
        <w:rPr>
          <w:b/>
          <w:sz w:val="28"/>
          <w:szCs w:val="28"/>
          <w:lang w:val="en-GB"/>
        </w:rPr>
        <w:t>Indirect management with United Nations Orga</w:t>
      </w:r>
      <w:r>
        <w:rPr>
          <w:b/>
          <w:sz w:val="28"/>
          <w:szCs w:val="28"/>
          <w:lang w:val="en-GB"/>
        </w:rPr>
        <w:t>nisation on Drugs and Crime (UN</w:t>
      </w:r>
      <w:r w:rsidRPr="005579E5">
        <w:rPr>
          <w:b/>
          <w:sz w:val="28"/>
          <w:szCs w:val="28"/>
          <w:lang w:val="en-GB"/>
        </w:rPr>
        <w:t>ODC) and I</w:t>
      </w:r>
      <w:r w:rsidR="00235702">
        <w:rPr>
          <w:b/>
          <w:sz w:val="28"/>
          <w:szCs w:val="28"/>
          <w:lang w:val="en-GB"/>
        </w:rPr>
        <w:t>NTERPOL</w:t>
      </w:r>
      <w:r w:rsidRPr="005579E5">
        <w:rPr>
          <w:b/>
          <w:sz w:val="28"/>
          <w:szCs w:val="28"/>
          <w:lang w:val="en-GB"/>
        </w:rPr>
        <w:t xml:space="preserve"> </w:t>
      </w:r>
    </w:p>
    <w:p w14:paraId="61BA8222" w14:textId="77777777" w:rsidR="005579E5" w:rsidRDefault="005579E5" w:rsidP="0075721F">
      <w:pPr>
        <w:spacing w:before="120"/>
        <w:rPr>
          <w:b/>
          <w:sz w:val="28"/>
          <w:szCs w:val="28"/>
          <w:lang w:val="en-GB"/>
        </w:rPr>
      </w:pPr>
    </w:p>
    <w:p w14:paraId="7CE81C61" w14:textId="77777777" w:rsidR="005579E5" w:rsidRDefault="005579E5" w:rsidP="0075721F">
      <w:pPr>
        <w:spacing w:before="120"/>
        <w:rPr>
          <w:b/>
          <w:sz w:val="28"/>
          <w:szCs w:val="28"/>
          <w:lang w:val="en-GB"/>
        </w:rPr>
      </w:pPr>
    </w:p>
    <w:p w14:paraId="1254765D" w14:textId="75669ED4" w:rsidR="0043361D" w:rsidRPr="00D04AAD" w:rsidRDefault="00D04AAD" w:rsidP="0075721F">
      <w:pPr>
        <w:spacing w:before="120"/>
        <w:rPr>
          <w:b/>
          <w:sz w:val="28"/>
          <w:szCs w:val="28"/>
          <w:lang w:val="en-GB"/>
        </w:rPr>
      </w:pPr>
      <w:r w:rsidRPr="00D04AAD">
        <w:rPr>
          <w:b/>
          <w:sz w:val="28"/>
          <w:szCs w:val="28"/>
          <w:lang w:val="en-GB"/>
        </w:rPr>
        <w:t xml:space="preserve">Implemented by: </w:t>
      </w:r>
    </w:p>
    <w:p w14:paraId="1A245E42" w14:textId="77777777" w:rsidR="00D04AAD" w:rsidRPr="00D04AAD" w:rsidRDefault="00D04AAD" w:rsidP="00D04AAD">
      <w:pPr>
        <w:pStyle w:val="ListParagraph"/>
        <w:spacing w:before="120"/>
        <w:rPr>
          <w:b/>
          <w:sz w:val="28"/>
          <w:szCs w:val="28"/>
          <w:lang w:val="en-GB"/>
        </w:rPr>
      </w:pPr>
    </w:p>
    <w:p w14:paraId="1AEF6A6B" w14:textId="3263AEDE" w:rsidR="00D04AAD" w:rsidRPr="005579E5" w:rsidRDefault="00235702" w:rsidP="00A33871">
      <w:pPr>
        <w:pStyle w:val="ListParagraph"/>
        <w:numPr>
          <w:ilvl w:val="0"/>
          <w:numId w:val="31"/>
        </w:numPr>
        <w:spacing w:before="120"/>
        <w:rPr>
          <w:b/>
          <w:sz w:val="28"/>
          <w:szCs w:val="28"/>
          <w:lang w:val="en-GB"/>
        </w:rPr>
      </w:pPr>
      <w:r>
        <w:rPr>
          <w:b/>
          <w:sz w:val="28"/>
          <w:szCs w:val="28"/>
          <w:lang w:val="en-GB"/>
        </w:rPr>
        <w:t xml:space="preserve">The </w:t>
      </w:r>
      <w:r w:rsidR="005579E5">
        <w:rPr>
          <w:b/>
          <w:sz w:val="28"/>
          <w:szCs w:val="28"/>
          <w:lang w:val="en-GB"/>
        </w:rPr>
        <w:t>International Consortium on Combating Wildlife Crime</w:t>
      </w:r>
      <w:r w:rsidR="002B272B">
        <w:rPr>
          <w:b/>
          <w:sz w:val="28"/>
          <w:szCs w:val="28"/>
          <w:lang w:val="en-GB"/>
        </w:rPr>
        <w:t xml:space="preserve"> </w:t>
      </w:r>
      <w:r w:rsidR="002B272B" w:rsidRPr="006E5B06">
        <w:rPr>
          <w:b/>
          <w:bCs/>
          <w:sz w:val="28"/>
          <w:szCs w:val="28"/>
        </w:rPr>
        <w:t>(ICCWC)</w:t>
      </w:r>
    </w:p>
    <w:p w14:paraId="175F59A7" w14:textId="77777777" w:rsidR="00D04AAD" w:rsidRPr="00D04AAD" w:rsidRDefault="00D04AAD" w:rsidP="0075721F">
      <w:pPr>
        <w:spacing w:before="120"/>
        <w:rPr>
          <w:b/>
          <w:sz w:val="28"/>
          <w:szCs w:val="28"/>
          <w:lang w:val="en-GB"/>
        </w:rPr>
      </w:pPr>
    </w:p>
    <w:p w14:paraId="3FFF0ED8" w14:textId="77777777" w:rsidR="00D04AAD" w:rsidRPr="006854F1" w:rsidRDefault="00D04AAD" w:rsidP="0075721F">
      <w:pPr>
        <w:spacing w:before="120"/>
        <w:rPr>
          <w:sz w:val="22"/>
          <w:szCs w:val="22"/>
        </w:rPr>
      </w:pPr>
    </w:p>
    <w:p w14:paraId="7A291AA1" w14:textId="64C22F3E" w:rsidR="00D04AAD" w:rsidRPr="00D04AAD" w:rsidRDefault="00D04AAD" w:rsidP="00D04AAD">
      <w:pPr>
        <w:spacing w:after="200"/>
        <w:jc w:val="center"/>
        <w:rPr>
          <w:rFonts w:ascii="Calibri" w:eastAsia="MS Mincho" w:hAnsi="Calibri"/>
          <w:sz w:val="22"/>
          <w:lang w:val="en-GB" w:eastAsia="ja-JP"/>
        </w:rPr>
      </w:pPr>
    </w:p>
    <w:p w14:paraId="56A9DE97" w14:textId="77777777" w:rsidR="003D6C16" w:rsidRDefault="003D6C16" w:rsidP="00D04AAD">
      <w:pPr>
        <w:spacing w:before="120"/>
        <w:ind w:left="-120"/>
        <w:rPr>
          <w:sz w:val="40"/>
          <w:szCs w:val="40"/>
          <w:u w:val="single"/>
        </w:rPr>
      </w:pPr>
    </w:p>
    <w:p w14:paraId="36191CDD" w14:textId="77777777" w:rsidR="00D04AAD" w:rsidRDefault="00D04AAD" w:rsidP="00D04AAD">
      <w:pPr>
        <w:spacing w:before="120"/>
        <w:ind w:left="-120"/>
        <w:rPr>
          <w:sz w:val="40"/>
          <w:szCs w:val="40"/>
          <w:u w:val="single"/>
        </w:rPr>
      </w:pPr>
    </w:p>
    <w:p w14:paraId="2CC4AD7D" w14:textId="77F84F5E" w:rsidR="008152FD" w:rsidRDefault="002B272B" w:rsidP="00D04AAD">
      <w:pPr>
        <w:spacing w:before="120"/>
        <w:ind w:left="-120"/>
        <w:rPr>
          <w:sz w:val="40"/>
          <w:szCs w:val="40"/>
          <w:u w:val="single"/>
        </w:rPr>
      </w:pPr>
      <w:r w:rsidRPr="00E84DC8">
        <w:rPr>
          <w:noProof/>
          <w:lang w:val="en-GB" w:eastAsia="zh-CN"/>
        </w:rPr>
        <w:drawing>
          <wp:inline distT="0" distB="0" distL="0" distR="0" wp14:anchorId="0C09BDAA" wp14:editId="6CBDE79D">
            <wp:extent cx="5727700" cy="835660"/>
            <wp:effectExtent l="0" t="0" r="12700" b="2540"/>
            <wp:docPr id="2" name="Picture 1" descr="G:\docs\03.SLU\Wildlife Forest Crime\Forensics\Timber - Guide\Guide\Decision Tree\Flow Diagram\ICC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docs\03.SLU\Wildlife Forest Crime\Forensics\Timber - Guide\Guide\Decision Tree\Flow Diagram\ICCW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35660"/>
                    </a:xfrm>
                    <a:prstGeom prst="rect">
                      <a:avLst/>
                    </a:prstGeom>
                    <a:noFill/>
                    <a:extLst/>
                  </pic:spPr>
                </pic:pic>
              </a:graphicData>
            </a:graphic>
          </wp:inline>
        </w:drawing>
      </w:r>
    </w:p>
    <w:p w14:paraId="12820E94" w14:textId="77777777" w:rsidR="008152FD" w:rsidRDefault="008152FD" w:rsidP="0075721F">
      <w:pPr>
        <w:spacing w:before="120"/>
        <w:ind w:left="-120"/>
        <w:jc w:val="center"/>
        <w:rPr>
          <w:sz w:val="40"/>
          <w:szCs w:val="40"/>
          <w:u w:val="single"/>
        </w:rPr>
      </w:pPr>
    </w:p>
    <w:p w14:paraId="2275F00D" w14:textId="335B8871" w:rsidR="008152FD" w:rsidRDefault="008152FD" w:rsidP="0075721F">
      <w:pPr>
        <w:spacing w:before="120"/>
        <w:ind w:left="-120"/>
        <w:jc w:val="center"/>
        <w:rPr>
          <w:sz w:val="40"/>
          <w:szCs w:val="40"/>
          <w:u w:val="single"/>
        </w:rPr>
      </w:pPr>
    </w:p>
    <w:p w14:paraId="1F762B2C" w14:textId="30107C94" w:rsidR="009D3B6C" w:rsidRDefault="000B4D19" w:rsidP="0075721F">
      <w:pPr>
        <w:spacing w:before="120"/>
        <w:ind w:left="-120"/>
        <w:jc w:val="center"/>
        <w:rPr>
          <w:sz w:val="40"/>
          <w:szCs w:val="40"/>
          <w:u w:val="single"/>
        </w:rPr>
      </w:pPr>
      <w:r w:rsidRPr="006854F1">
        <w:rPr>
          <w:sz w:val="40"/>
          <w:szCs w:val="40"/>
          <w:u w:val="single"/>
        </w:rPr>
        <w:t>C</w:t>
      </w:r>
      <w:r w:rsidR="003055D4" w:rsidRPr="006854F1">
        <w:rPr>
          <w:sz w:val="40"/>
          <w:szCs w:val="40"/>
          <w:u w:val="single"/>
        </w:rPr>
        <w:t>ontent</w:t>
      </w:r>
      <w:r w:rsidRPr="006854F1">
        <w:rPr>
          <w:sz w:val="40"/>
          <w:szCs w:val="40"/>
          <w:u w:val="single"/>
        </w:rPr>
        <w:t>s</w:t>
      </w:r>
    </w:p>
    <w:p w14:paraId="421777A5" w14:textId="77777777" w:rsidR="00D04AAD" w:rsidRDefault="00D04AAD" w:rsidP="0075721F">
      <w:pPr>
        <w:spacing w:before="120"/>
        <w:ind w:left="-120"/>
        <w:jc w:val="center"/>
        <w:rPr>
          <w:sz w:val="40"/>
          <w:szCs w:val="40"/>
          <w:u w:val="single"/>
        </w:rPr>
      </w:pPr>
    </w:p>
    <w:p w14:paraId="1955C8DD" w14:textId="77777777" w:rsidR="00D04AAD" w:rsidRPr="006854F1" w:rsidRDefault="00D04AAD" w:rsidP="0075721F">
      <w:pPr>
        <w:spacing w:before="120"/>
        <w:ind w:left="-120"/>
        <w:jc w:val="center"/>
        <w:rPr>
          <w:sz w:val="40"/>
          <w:szCs w:val="40"/>
          <w:highlight w:val="yellow"/>
          <w:u w:val="single"/>
        </w:rPr>
      </w:pPr>
    </w:p>
    <w:bookmarkStart w:id="0" w:name="_Toc277337043"/>
    <w:bookmarkStart w:id="1" w:name="_Toc277340291"/>
    <w:p w14:paraId="145D9836" w14:textId="1E52310A" w:rsidR="006F527A" w:rsidRDefault="00382E40">
      <w:pPr>
        <w:pStyle w:val="TOC3"/>
        <w:rPr>
          <w:rFonts w:asciiTheme="minorHAnsi" w:eastAsiaTheme="minorEastAsia" w:hAnsiTheme="minorHAnsi" w:cstheme="minorBidi"/>
          <w:noProof/>
          <w:szCs w:val="22"/>
          <w:lang w:val="en-GB" w:eastAsia="zh-CN"/>
        </w:rPr>
      </w:pPr>
      <w:r>
        <w:rPr>
          <w:b/>
          <w:bCs/>
          <w:sz w:val="24"/>
          <w:szCs w:val="24"/>
        </w:rPr>
        <w:fldChar w:fldCharType="begin"/>
      </w:r>
      <w:r>
        <w:rPr>
          <w:b/>
          <w:bCs/>
          <w:sz w:val="24"/>
          <w:szCs w:val="24"/>
        </w:rPr>
        <w:instrText xml:space="preserve"> TOC \o "1-4" \h \z \u </w:instrText>
      </w:r>
      <w:r>
        <w:rPr>
          <w:b/>
          <w:bCs/>
          <w:sz w:val="24"/>
          <w:szCs w:val="24"/>
        </w:rPr>
        <w:fldChar w:fldCharType="separate"/>
      </w:r>
      <w:hyperlink w:anchor="_Toc497992272" w:history="1">
        <w:r w:rsidR="006F527A" w:rsidRPr="00FF0192">
          <w:rPr>
            <w:rStyle w:val="Hyperlink"/>
            <w:noProof/>
          </w:rPr>
          <w:t>1.</w:t>
        </w:r>
        <w:r w:rsidR="006F527A">
          <w:rPr>
            <w:rFonts w:asciiTheme="minorHAnsi" w:eastAsiaTheme="minorEastAsia" w:hAnsiTheme="minorHAnsi" w:cstheme="minorBidi"/>
            <w:noProof/>
            <w:szCs w:val="22"/>
            <w:lang w:val="en-GB" w:eastAsia="zh-CN"/>
          </w:rPr>
          <w:tab/>
        </w:r>
        <w:r w:rsidR="006F527A" w:rsidRPr="00FF0192">
          <w:rPr>
            <w:rStyle w:val="Hyperlink"/>
            <w:noProof/>
          </w:rPr>
          <w:t>Summary</w:t>
        </w:r>
        <w:r w:rsidR="006F527A">
          <w:rPr>
            <w:noProof/>
            <w:webHidden/>
          </w:rPr>
          <w:tab/>
        </w:r>
        <w:r w:rsidR="006F527A">
          <w:rPr>
            <w:noProof/>
            <w:webHidden/>
          </w:rPr>
          <w:fldChar w:fldCharType="begin"/>
        </w:r>
        <w:r w:rsidR="006F527A">
          <w:rPr>
            <w:noProof/>
            <w:webHidden/>
          </w:rPr>
          <w:instrText xml:space="preserve"> PAGEREF _Toc497992272 \h </w:instrText>
        </w:r>
        <w:r w:rsidR="006F527A">
          <w:rPr>
            <w:noProof/>
            <w:webHidden/>
          </w:rPr>
        </w:r>
        <w:r w:rsidR="006F527A">
          <w:rPr>
            <w:noProof/>
            <w:webHidden/>
          </w:rPr>
          <w:fldChar w:fldCharType="separate"/>
        </w:r>
        <w:r w:rsidR="006F527A">
          <w:rPr>
            <w:noProof/>
            <w:webHidden/>
          </w:rPr>
          <w:t>3</w:t>
        </w:r>
        <w:r w:rsidR="006F527A">
          <w:rPr>
            <w:noProof/>
            <w:webHidden/>
          </w:rPr>
          <w:fldChar w:fldCharType="end"/>
        </w:r>
      </w:hyperlink>
    </w:p>
    <w:p w14:paraId="65A4F980" w14:textId="5884A1E6" w:rsidR="006F527A" w:rsidRDefault="006F527A">
      <w:pPr>
        <w:pStyle w:val="TOC3"/>
        <w:rPr>
          <w:rFonts w:asciiTheme="minorHAnsi" w:eastAsiaTheme="minorEastAsia" w:hAnsiTheme="minorHAnsi" w:cstheme="minorBidi"/>
          <w:noProof/>
          <w:szCs w:val="22"/>
          <w:lang w:val="en-GB" w:eastAsia="zh-CN"/>
        </w:rPr>
      </w:pPr>
      <w:hyperlink w:anchor="_Toc497992273" w:history="1">
        <w:r w:rsidRPr="00FF0192">
          <w:rPr>
            <w:rStyle w:val="Hyperlink"/>
            <w:noProof/>
          </w:rPr>
          <w:t>2.</w:t>
        </w:r>
        <w:r>
          <w:rPr>
            <w:rFonts w:asciiTheme="minorHAnsi" w:eastAsiaTheme="minorEastAsia" w:hAnsiTheme="minorHAnsi" w:cstheme="minorBidi"/>
            <w:noProof/>
            <w:szCs w:val="22"/>
            <w:lang w:val="en-GB" w:eastAsia="zh-CN"/>
          </w:rPr>
          <w:tab/>
        </w:r>
        <w:r w:rsidRPr="00FF0192">
          <w:rPr>
            <w:rStyle w:val="Hyperlink"/>
            <w:noProof/>
          </w:rPr>
          <w:t>Project Rationale</w:t>
        </w:r>
        <w:r>
          <w:rPr>
            <w:noProof/>
            <w:webHidden/>
          </w:rPr>
          <w:tab/>
        </w:r>
        <w:r>
          <w:rPr>
            <w:noProof/>
            <w:webHidden/>
          </w:rPr>
          <w:fldChar w:fldCharType="begin"/>
        </w:r>
        <w:r>
          <w:rPr>
            <w:noProof/>
            <w:webHidden/>
          </w:rPr>
          <w:instrText xml:space="preserve"> PAGEREF _Toc497992273 \h </w:instrText>
        </w:r>
        <w:r>
          <w:rPr>
            <w:noProof/>
            <w:webHidden/>
          </w:rPr>
        </w:r>
        <w:r>
          <w:rPr>
            <w:noProof/>
            <w:webHidden/>
          </w:rPr>
          <w:fldChar w:fldCharType="separate"/>
        </w:r>
        <w:r>
          <w:rPr>
            <w:noProof/>
            <w:webHidden/>
          </w:rPr>
          <w:t>4</w:t>
        </w:r>
        <w:r>
          <w:rPr>
            <w:noProof/>
            <w:webHidden/>
          </w:rPr>
          <w:fldChar w:fldCharType="end"/>
        </w:r>
      </w:hyperlink>
    </w:p>
    <w:p w14:paraId="050491F3" w14:textId="7E375B28" w:rsidR="006F527A" w:rsidRDefault="006F527A">
      <w:pPr>
        <w:pStyle w:val="TOC3"/>
        <w:rPr>
          <w:rFonts w:asciiTheme="minorHAnsi" w:eastAsiaTheme="minorEastAsia" w:hAnsiTheme="minorHAnsi" w:cstheme="minorBidi"/>
          <w:noProof/>
          <w:szCs w:val="22"/>
          <w:lang w:val="en-GB" w:eastAsia="zh-CN"/>
        </w:rPr>
      </w:pPr>
      <w:hyperlink w:anchor="_Toc497992274" w:history="1">
        <w:r w:rsidRPr="00FF0192">
          <w:rPr>
            <w:rStyle w:val="Hyperlink"/>
            <w:noProof/>
          </w:rPr>
          <w:t>2.1.</w:t>
        </w:r>
        <w:r>
          <w:rPr>
            <w:rFonts w:asciiTheme="minorHAnsi" w:eastAsiaTheme="minorEastAsia" w:hAnsiTheme="minorHAnsi" w:cstheme="minorBidi"/>
            <w:noProof/>
            <w:szCs w:val="22"/>
            <w:lang w:val="en-GB" w:eastAsia="zh-CN"/>
          </w:rPr>
          <w:tab/>
        </w:r>
        <w:r w:rsidRPr="00FF0192">
          <w:rPr>
            <w:rStyle w:val="Hyperlink"/>
            <w:noProof/>
          </w:rPr>
          <w:t>Background</w:t>
        </w:r>
        <w:r>
          <w:rPr>
            <w:noProof/>
            <w:webHidden/>
          </w:rPr>
          <w:tab/>
        </w:r>
        <w:r>
          <w:rPr>
            <w:noProof/>
            <w:webHidden/>
          </w:rPr>
          <w:fldChar w:fldCharType="begin"/>
        </w:r>
        <w:r>
          <w:rPr>
            <w:noProof/>
            <w:webHidden/>
          </w:rPr>
          <w:instrText xml:space="preserve"> PAGEREF _Toc497992274 \h </w:instrText>
        </w:r>
        <w:r>
          <w:rPr>
            <w:noProof/>
            <w:webHidden/>
          </w:rPr>
        </w:r>
        <w:r>
          <w:rPr>
            <w:noProof/>
            <w:webHidden/>
          </w:rPr>
          <w:fldChar w:fldCharType="separate"/>
        </w:r>
        <w:r>
          <w:rPr>
            <w:noProof/>
            <w:webHidden/>
          </w:rPr>
          <w:t>4</w:t>
        </w:r>
        <w:r>
          <w:rPr>
            <w:noProof/>
            <w:webHidden/>
          </w:rPr>
          <w:fldChar w:fldCharType="end"/>
        </w:r>
      </w:hyperlink>
    </w:p>
    <w:p w14:paraId="1B5FC0B7" w14:textId="357DC836" w:rsidR="006F527A" w:rsidRDefault="006F527A">
      <w:pPr>
        <w:pStyle w:val="TOC3"/>
        <w:rPr>
          <w:rFonts w:asciiTheme="minorHAnsi" w:eastAsiaTheme="minorEastAsia" w:hAnsiTheme="minorHAnsi" w:cstheme="minorBidi"/>
          <w:noProof/>
          <w:szCs w:val="22"/>
          <w:lang w:val="en-GB" w:eastAsia="zh-CN"/>
        </w:rPr>
      </w:pPr>
      <w:hyperlink w:anchor="_Toc497992275" w:history="1">
        <w:r w:rsidRPr="00FF0192">
          <w:rPr>
            <w:rStyle w:val="Hyperlink"/>
            <w:noProof/>
          </w:rPr>
          <w:t>2.2.</w:t>
        </w:r>
        <w:r>
          <w:rPr>
            <w:rFonts w:asciiTheme="minorHAnsi" w:eastAsiaTheme="minorEastAsia" w:hAnsiTheme="minorHAnsi" w:cstheme="minorBidi"/>
            <w:noProof/>
            <w:szCs w:val="22"/>
            <w:lang w:val="en-GB" w:eastAsia="zh-CN"/>
          </w:rPr>
          <w:tab/>
        </w:r>
        <w:r w:rsidRPr="00FF0192">
          <w:rPr>
            <w:rStyle w:val="Hyperlink"/>
            <w:noProof/>
          </w:rPr>
          <w:t>Strategic Context</w:t>
        </w:r>
        <w:r>
          <w:rPr>
            <w:noProof/>
            <w:webHidden/>
          </w:rPr>
          <w:tab/>
        </w:r>
        <w:r>
          <w:rPr>
            <w:noProof/>
            <w:webHidden/>
          </w:rPr>
          <w:fldChar w:fldCharType="begin"/>
        </w:r>
        <w:r>
          <w:rPr>
            <w:noProof/>
            <w:webHidden/>
          </w:rPr>
          <w:instrText xml:space="preserve"> PAGEREF _Toc497992275 \h </w:instrText>
        </w:r>
        <w:r>
          <w:rPr>
            <w:noProof/>
            <w:webHidden/>
          </w:rPr>
        </w:r>
        <w:r>
          <w:rPr>
            <w:noProof/>
            <w:webHidden/>
          </w:rPr>
          <w:fldChar w:fldCharType="separate"/>
        </w:r>
        <w:r>
          <w:rPr>
            <w:noProof/>
            <w:webHidden/>
          </w:rPr>
          <w:t>6</w:t>
        </w:r>
        <w:r>
          <w:rPr>
            <w:noProof/>
            <w:webHidden/>
          </w:rPr>
          <w:fldChar w:fldCharType="end"/>
        </w:r>
      </w:hyperlink>
    </w:p>
    <w:p w14:paraId="4370F11D" w14:textId="20DD4882" w:rsidR="006F527A" w:rsidRDefault="006F527A">
      <w:pPr>
        <w:pStyle w:val="TOC3"/>
        <w:rPr>
          <w:rFonts w:asciiTheme="minorHAnsi" w:eastAsiaTheme="minorEastAsia" w:hAnsiTheme="minorHAnsi" w:cstheme="minorBidi"/>
          <w:noProof/>
          <w:szCs w:val="22"/>
          <w:lang w:val="en-GB" w:eastAsia="zh-CN"/>
        </w:rPr>
      </w:pPr>
      <w:hyperlink w:anchor="_Toc497992276" w:history="1">
        <w:r w:rsidRPr="00FF0192">
          <w:rPr>
            <w:rStyle w:val="Hyperlink"/>
            <w:noProof/>
          </w:rPr>
          <w:t>2.3.</w:t>
        </w:r>
        <w:r>
          <w:rPr>
            <w:rFonts w:asciiTheme="minorHAnsi" w:eastAsiaTheme="minorEastAsia" w:hAnsiTheme="minorHAnsi" w:cstheme="minorBidi"/>
            <w:noProof/>
            <w:szCs w:val="22"/>
            <w:lang w:val="en-GB" w:eastAsia="zh-CN"/>
          </w:rPr>
          <w:tab/>
        </w:r>
        <w:r w:rsidRPr="00FF0192">
          <w:rPr>
            <w:rStyle w:val="Hyperlink"/>
            <w:noProof/>
          </w:rPr>
          <w:t>Policy Context</w:t>
        </w:r>
        <w:r>
          <w:rPr>
            <w:noProof/>
            <w:webHidden/>
          </w:rPr>
          <w:tab/>
        </w:r>
        <w:r>
          <w:rPr>
            <w:noProof/>
            <w:webHidden/>
          </w:rPr>
          <w:fldChar w:fldCharType="begin"/>
        </w:r>
        <w:r>
          <w:rPr>
            <w:noProof/>
            <w:webHidden/>
          </w:rPr>
          <w:instrText xml:space="preserve"> PAGEREF _Toc497992276 \h </w:instrText>
        </w:r>
        <w:r>
          <w:rPr>
            <w:noProof/>
            <w:webHidden/>
          </w:rPr>
        </w:r>
        <w:r>
          <w:rPr>
            <w:noProof/>
            <w:webHidden/>
          </w:rPr>
          <w:fldChar w:fldCharType="separate"/>
        </w:r>
        <w:r>
          <w:rPr>
            <w:noProof/>
            <w:webHidden/>
          </w:rPr>
          <w:t>6</w:t>
        </w:r>
        <w:r>
          <w:rPr>
            <w:noProof/>
            <w:webHidden/>
          </w:rPr>
          <w:fldChar w:fldCharType="end"/>
        </w:r>
      </w:hyperlink>
    </w:p>
    <w:p w14:paraId="5EDECE0F" w14:textId="37B563FC" w:rsidR="006F527A" w:rsidRDefault="006F527A">
      <w:pPr>
        <w:pStyle w:val="TOC3"/>
        <w:rPr>
          <w:rFonts w:asciiTheme="minorHAnsi" w:eastAsiaTheme="minorEastAsia" w:hAnsiTheme="minorHAnsi" w:cstheme="minorBidi"/>
          <w:noProof/>
          <w:szCs w:val="22"/>
          <w:lang w:val="en-GB" w:eastAsia="zh-CN"/>
        </w:rPr>
      </w:pPr>
      <w:hyperlink w:anchor="_Toc497992277" w:history="1">
        <w:r w:rsidRPr="00FF0192">
          <w:rPr>
            <w:rStyle w:val="Hyperlink"/>
            <w:noProof/>
          </w:rPr>
          <w:t>2.4.</w:t>
        </w:r>
        <w:r>
          <w:rPr>
            <w:rFonts w:asciiTheme="minorHAnsi" w:eastAsiaTheme="minorEastAsia" w:hAnsiTheme="minorHAnsi" w:cstheme="minorBidi"/>
            <w:noProof/>
            <w:szCs w:val="22"/>
            <w:lang w:val="en-GB" w:eastAsia="zh-CN"/>
          </w:rPr>
          <w:tab/>
        </w:r>
        <w:r w:rsidRPr="00FF0192">
          <w:rPr>
            <w:rStyle w:val="Hyperlink"/>
            <w:noProof/>
          </w:rPr>
          <w:t>Stakeholder Analysis</w:t>
        </w:r>
        <w:r>
          <w:rPr>
            <w:noProof/>
            <w:webHidden/>
          </w:rPr>
          <w:tab/>
        </w:r>
        <w:r>
          <w:rPr>
            <w:noProof/>
            <w:webHidden/>
          </w:rPr>
          <w:fldChar w:fldCharType="begin"/>
        </w:r>
        <w:r>
          <w:rPr>
            <w:noProof/>
            <w:webHidden/>
          </w:rPr>
          <w:instrText xml:space="preserve"> PAGEREF _Toc497992277 \h </w:instrText>
        </w:r>
        <w:r>
          <w:rPr>
            <w:noProof/>
            <w:webHidden/>
          </w:rPr>
        </w:r>
        <w:r>
          <w:rPr>
            <w:noProof/>
            <w:webHidden/>
          </w:rPr>
          <w:fldChar w:fldCharType="separate"/>
        </w:r>
        <w:r>
          <w:rPr>
            <w:noProof/>
            <w:webHidden/>
          </w:rPr>
          <w:t>7</w:t>
        </w:r>
        <w:r>
          <w:rPr>
            <w:noProof/>
            <w:webHidden/>
          </w:rPr>
          <w:fldChar w:fldCharType="end"/>
        </w:r>
      </w:hyperlink>
    </w:p>
    <w:p w14:paraId="2493FE33" w14:textId="08FF44C9" w:rsidR="006F527A" w:rsidRDefault="006F527A">
      <w:pPr>
        <w:pStyle w:val="TOC3"/>
        <w:rPr>
          <w:rFonts w:asciiTheme="minorHAnsi" w:eastAsiaTheme="minorEastAsia" w:hAnsiTheme="minorHAnsi" w:cstheme="minorBidi"/>
          <w:noProof/>
          <w:szCs w:val="22"/>
          <w:lang w:val="en-GB" w:eastAsia="zh-CN"/>
        </w:rPr>
      </w:pPr>
      <w:hyperlink w:anchor="_Toc497992278" w:history="1">
        <w:r w:rsidRPr="00FF0192">
          <w:rPr>
            <w:rStyle w:val="Hyperlink"/>
            <w:rFonts w:asciiTheme="majorBidi" w:hAnsiTheme="majorBidi" w:cstheme="majorBidi"/>
            <w:noProof/>
          </w:rPr>
          <w:t>3.1.</w:t>
        </w:r>
        <w:r>
          <w:rPr>
            <w:rFonts w:asciiTheme="minorHAnsi" w:eastAsiaTheme="minorEastAsia" w:hAnsiTheme="minorHAnsi" w:cstheme="minorBidi"/>
            <w:noProof/>
            <w:szCs w:val="22"/>
            <w:lang w:val="en-GB" w:eastAsia="zh-CN"/>
          </w:rPr>
          <w:tab/>
        </w:r>
        <w:r w:rsidRPr="00FF0192">
          <w:rPr>
            <w:rStyle w:val="Hyperlink"/>
            <w:rFonts w:asciiTheme="majorBidi" w:hAnsiTheme="majorBidi" w:cstheme="majorBidi"/>
            <w:noProof/>
          </w:rPr>
          <w:t>Objectives and results</w:t>
        </w:r>
        <w:r>
          <w:rPr>
            <w:noProof/>
            <w:webHidden/>
          </w:rPr>
          <w:tab/>
        </w:r>
        <w:r>
          <w:rPr>
            <w:noProof/>
            <w:webHidden/>
          </w:rPr>
          <w:fldChar w:fldCharType="begin"/>
        </w:r>
        <w:r>
          <w:rPr>
            <w:noProof/>
            <w:webHidden/>
          </w:rPr>
          <w:instrText xml:space="preserve"> PAGEREF _Toc497992278 \h </w:instrText>
        </w:r>
        <w:r>
          <w:rPr>
            <w:noProof/>
            <w:webHidden/>
          </w:rPr>
        </w:r>
        <w:r>
          <w:rPr>
            <w:noProof/>
            <w:webHidden/>
          </w:rPr>
          <w:fldChar w:fldCharType="separate"/>
        </w:r>
        <w:r>
          <w:rPr>
            <w:noProof/>
            <w:webHidden/>
          </w:rPr>
          <w:t>8</w:t>
        </w:r>
        <w:r>
          <w:rPr>
            <w:noProof/>
            <w:webHidden/>
          </w:rPr>
          <w:fldChar w:fldCharType="end"/>
        </w:r>
      </w:hyperlink>
    </w:p>
    <w:p w14:paraId="5C8BC1D1" w14:textId="268F1000" w:rsidR="006F527A" w:rsidRDefault="006F527A">
      <w:pPr>
        <w:pStyle w:val="TOC3"/>
        <w:rPr>
          <w:rFonts w:asciiTheme="minorHAnsi" w:eastAsiaTheme="minorEastAsia" w:hAnsiTheme="minorHAnsi" w:cstheme="minorBidi"/>
          <w:noProof/>
          <w:szCs w:val="22"/>
          <w:lang w:val="en-GB" w:eastAsia="zh-CN"/>
        </w:rPr>
      </w:pPr>
      <w:hyperlink w:anchor="_Toc497992279" w:history="1">
        <w:r w:rsidRPr="00FF0192">
          <w:rPr>
            <w:rStyle w:val="Hyperlink"/>
            <w:noProof/>
          </w:rPr>
          <w:t>3.2.</w:t>
        </w:r>
        <w:r>
          <w:rPr>
            <w:rFonts w:asciiTheme="minorHAnsi" w:eastAsiaTheme="minorEastAsia" w:hAnsiTheme="minorHAnsi" w:cstheme="minorBidi"/>
            <w:noProof/>
            <w:szCs w:val="22"/>
            <w:lang w:val="en-GB" w:eastAsia="zh-CN"/>
          </w:rPr>
          <w:tab/>
        </w:r>
        <w:r w:rsidRPr="00FF0192">
          <w:rPr>
            <w:rStyle w:val="Hyperlink"/>
            <w:noProof/>
          </w:rPr>
          <w:t>Indicative action plan for implementing the action</w:t>
        </w:r>
        <w:r>
          <w:rPr>
            <w:noProof/>
            <w:webHidden/>
          </w:rPr>
          <w:tab/>
        </w:r>
        <w:r>
          <w:rPr>
            <w:noProof/>
            <w:webHidden/>
          </w:rPr>
          <w:fldChar w:fldCharType="begin"/>
        </w:r>
        <w:r>
          <w:rPr>
            <w:noProof/>
            <w:webHidden/>
          </w:rPr>
          <w:instrText xml:space="preserve"> PAGEREF _Toc497992279 \h </w:instrText>
        </w:r>
        <w:r>
          <w:rPr>
            <w:noProof/>
            <w:webHidden/>
          </w:rPr>
        </w:r>
        <w:r>
          <w:rPr>
            <w:noProof/>
            <w:webHidden/>
          </w:rPr>
          <w:fldChar w:fldCharType="separate"/>
        </w:r>
        <w:r>
          <w:rPr>
            <w:noProof/>
            <w:webHidden/>
          </w:rPr>
          <w:t>13</w:t>
        </w:r>
        <w:r>
          <w:rPr>
            <w:noProof/>
            <w:webHidden/>
          </w:rPr>
          <w:fldChar w:fldCharType="end"/>
        </w:r>
      </w:hyperlink>
    </w:p>
    <w:p w14:paraId="78976037" w14:textId="703C1246"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80" w:history="1">
        <w:r w:rsidRPr="00FF0192">
          <w:rPr>
            <w:rStyle w:val="Hyperlink"/>
            <w:noProof/>
          </w:rPr>
          <w:t>3.2.1.</w:t>
        </w:r>
        <w:r>
          <w:rPr>
            <w:rFonts w:asciiTheme="minorHAnsi" w:eastAsiaTheme="minorEastAsia" w:hAnsiTheme="minorHAnsi" w:cstheme="minorBidi"/>
            <w:noProof/>
            <w:sz w:val="22"/>
            <w:szCs w:val="22"/>
            <w:lang w:val="en-GB" w:eastAsia="zh-CN"/>
          </w:rPr>
          <w:tab/>
        </w:r>
        <w:r w:rsidRPr="00FF0192">
          <w:rPr>
            <w:rStyle w:val="Hyperlink"/>
            <w:noProof/>
          </w:rPr>
          <w:t>Specific Objective 1: Wildlife and forest crime is reduced in and between a series of strategic countries of Africa, Asia and Latin America</w:t>
        </w:r>
        <w:r>
          <w:rPr>
            <w:noProof/>
            <w:webHidden/>
          </w:rPr>
          <w:tab/>
        </w:r>
        <w:r>
          <w:rPr>
            <w:noProof/>
            <w:webHidden/>
          </w:rPr>
          <w:fldChar w:fldCharType="begin"/>
        </w:r>
        <w:r>
          <w:rPr>
            <w:noProof/>
            <w:webHidden/>
          </w:rPr>
          <w:instrText xml:space="preserve"> PAGEREF _Toc497992280 \h </w:instrText>
        </w:r>
        <w:r>
          <w:rPr>
            <w:noProof/>
            <w:webHidden/>
          </w:rPr>
        </w:r>
        <w:r>
          <w:rPr>
            <w:noProof/>
            <w:webHidden/>
          </w:rPr>
          <w:fldChar w:fldCharType="separate"/>
        </w:r>
        <w:r>
          <w:rPr>
            <w:noProof/>
            <w:webHidden/>
          </w:rPr>
          <w:t>13</w:t>
        </w:r>
        <w:r>
          <w:rPr>
            <w:noProof/>
            <w:webHidden/>
          </w:rPr>
          <w:fldChar w:fldCharType="end"/>
        </w:r>
      </w:hyperlink>
    </w:p>
    <w:p w14:paraId="62531065" w14:textId="61B20F66" w:rsidR="006F527A" w:rsidRDefault="006F527A">
      <w:pPr>
        <w:pStyle w:val="TOC3"/>
        <w:rPr>
          <w:rFonts w:asciiTheme="minorHAnsi" w:eastAsiaTheme="minorEastAsia" w:hAnsiTheme="minorHAnsi" w:cstheme="minorBidi"/>
          <w:noProof/>
          <w:szCs w:val="22"/>
          <w:lang w:val="en-GB" w:eastAsia="zh-CN"/>
        </w:rPr>
      </w:pPr>
      <w:hyperlink w:anchor="_Toc497992281" w:history="1">
        <w:r w:rsidRPr="00FF0192">
          <w:rPr>
            <w:rStyle w:val="Hyperlink"/>
            <w:noProof/>
          </w:rPr>
          <w:t>3.3.</w:t>
        </w:r>
        <w:r>
          <w:rPr>
            <w:rFonts w:asciiTheme="minorHAnsi" w:eastAsiaTheme="minorEastAsia" w:hAnsiTheme="minorHAnsi" w:cstheme="minorBidi"/>
            <w:noProof/>
            <w:szCs w:val="22"/>
            <w:lang w:val="en-GB" w:eastAsia="zh-CN"/>
          </w:rPr>
          <w:tab/>
        </w:r>
        <w:r w:rsidRPr="00FF0192">
          <w:rPr>
            <w:rStyle w:val="Hyperlink"/>
            <w:noProof/>
          </w:rPr>
          <w:t>Methodology for implementation of activities</w:t>
        </w:r>
        <w:r>
          <w:rPr>
            <w:noProof/>
            <w:webHidden/>
          </w:rPr>
          <w:tab/>
        </w:r>
        <w:r>
          <w:rPr>
            <w:noProof/>
            <w:webHidden/>
          </w:rPr>
          <w:fldChar w:fldCharType="begin"/>
        </w:r>
        <w:r>
          <w:rPr>
            <w:noProof/>
            <w:webHidden/>
          </w:rPr>
          <w:instrText xml:space="preserve"> PAGEREF _Toc497992281 \h </w:instrText>
        </w:r>
        <w:r>
          <w:rPr>
            <w:noProof/>
            <w:webHidden/>
          </w:rPr>
        </w:r>
        <w:r>
          <w:rPr>
            <w:noProof/>
            <w:webHidden/>
          </w:rPr>
          <w:fldChar w:fldCharType="separate"/>
        </w:r>
        <w:r>
          <w:rPr>
            <w:noProof/>
            <w:webHidden/>
          </w:rPr>
          <w:t>18</w:t>
        </w:r>
        <w:r>
          <w:rPr>
            <w:noProof/>
            <w:webHidden/>
          </w:rPr>
          <w:fldChar w:fldCharType="end"/>
        </w:r>
      </w:hyperlink>
    </w:p>
    <w:p w14:paraId="27A8DA9E" w14:textId="0BB29DDD" w:rsidR="006F527A" w:rsidRDefault="006F527A">
      <w:pPr>
        <w:pStyle w:val="TOC3"/>
        <w:rPr>
          <w:rFonts w:asciiTheme="minorHAnsi" w:eastAsiaTheme="minorEastAsia" w:hAnsiTheme="minorHAnsi" w:cstheme="minorBidi"/>
          <w:noProof/>
          <w:szCs w:val="22"/>
          <w:lang w:val="en-GB" w:eastAsia="zh-CN"/>
        </w:rPr>
      </w:pPr>
      <w:hyperlink w:anchor="_Toc497992282" w:history="1">
        <w:r w:rsidRPr="00FF0192">
          <w:rPr>
            <w:rStyle w:val="Hyperlink"/>
            <w:noProof/>
          </w:rPr>
          <w:t>3.4.</w:t>
        </w:r>
        <w:r>
          <w:rPr>
            <w:rFonts w:asciiTheme="minorHAnsi" w:eastAsiaTheme="minorEastAsia" w:hAnsiTheme="minorHAnsi" w:cstheme="minorBidi"/>
            <w:noProof/>
            <w:szCs w:val="22"/>
            <w:lang w:val="en-GB" w:eastAsia="zh-CN"/>
          </w:rPr>
          <w:tab/>
        </w:r>
        <w:r w:rsidRPr="00FF0192">
          <w:rPr>
            <w:rStyle w:val="Hyperlink"/>
            <w:noProof/>
          </w:rPr>
          <w:t>Sustainability of the Programme</w:t>
        </w:r>
        <w:r>
          <w:rPr>
            <w:noProof/>
            <w:webHidden/>
          </w:rPr>
          <w:tab/>
        </w:r>
        <w:r>
          <w:rPr>
            <w:noProof/>
            <w:webHidden/>
          </w:rPr>
          <w:fldChar w:fldCharType="begin"/>
        </w:r>
        <w:r>
          <w:rPr>
            <w:noProof/>
            <w:webHidden/>
          </w:rPr>
          <w:instrText xml:space="preserve"> PAGEREF _Toc497992282 \h </w:instrText>
        </w:r>
        <w:r>
          <w:rPr>
            <w:noProof/>
            <w:webHidden/>
          </w:rPr>
        </w:r>
        <w:r>
          <w:rPr>
            <w:noProof/>
            <w:webHidden/>
          </w:rPr>
          <w:fldChar w:fldCharType="separate"/>
        </w:r>
        <w:r>
          <w:rPr>
            <w:noProof/>
            <w:webHidden/>
          </w:rPr>
          <w:t>22</w:t>
        </w:r>
        <w:r>
          <w:rPr>
            <w:noProof/>
            <w:webHidden/>
          </w:rPr>
          <w:fldChar w:fldCharType="end"/>
        </w:r>
      </w:hyperlink>
    </w:p>
    <w:p w14:paraId="13D7B6C5" w14:textId="2E67AC28"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83" w:history="1">
        <w:r w:rsidRPr="00FF0192">
          <w:rPr>
            <w:rStyle w:val="Hyperlink"/>
            <w:noProof/>
          </w:rPr>
          <w:t>3.4.1.</w:t>
        </w:r>
        <w:r>
          <w:rPr>
            <w:rFonts w:asciiTheme="minorHAnsi" w:eastAsiaTheme="minorEastAsia" w:hAnsiTheme="minorHAnsi" w:cstheme="minorBidi"/>
            <w:noProof/>
            <w:sz w:val="22"/>
            <w:szCs w:val="22"/>
            <w:lang w:val="en-GB" w:eastAsia="zh-CN"/>
          </w:rPr>
          <w:tab/>
        </w:r>
        <w:r w:rsidRPr="00FF0192">
          <w:rPr>
            <w:rStyle w:val="Hyperlink"/>
            <w:noProof/>
          </w:rPr>
          <w:t>Sustainability</w:t>
        </w:r>
        <w:r>
          <w:rPr>
            <w:noProof/>
            <w:webHidden/>
          </w:rPr>
          <w:tab/>
        </w:r>
        <w:r>
          <w:rPr>
            <w:noProof/>
            <w:webHidden/>
          </w:rPr>
          <w:fldChar w:fldCharType="begin"/>
        </w:r>
        <w:r>
          <w:rPr>
            <w:noProof/>
            <w:webHidden/>
          </w:rPr>
          <w:instrText xml:space="preserve"> PAGEREF _Toc497992283 \h </w:instrText>
        </w:r>
        <w:r>
          <w:rPr>
            <w:noProof/>
            <w:webHidden/>
          </w:rPr>
        </w:r>
        <w:r>
          <w:rPr>
            <w:noProof/>
            <w:webHidden/>
          </w:rPr>
          <w:fldChar w:fldCharType="separate"/>
        </w:r>
        <w:r>
          <w:rPr>
            <w:noProof/>
            <w:webHidden/>
          </w:rPr>
          <w:t>22</w:t>
        </w:r>
        <w:r>
          <w:rPr>
            <w:noProof/>
            <w:webHidden/>
          </w:rPr>
          <w:fldChar w:fldCharType="end"/>
        </w:r>
      </w:hyperlink>
    </w:p>
    <w:p w14:paraId="558B4F19" w14:textId="7BAF7936" w:rsidR="006F527A" w:rsidRDefault="006F527A">
      <w:pPr>
        <w:pStyle w:val="TOC3"/>
        <w:rPr>
          <w:rFonts w:asciiTheme="minorHAnsi" w:eastAsiaTheme="minorEastAsia" w:hAnsiTheme="minorHAnsi" w:cstheme="minorBidi"/>
          <w:noProof/>
          <w:szCs w:val="22"/>
          <w:lang w:val="en-GB" w:eastAsia="zh-CN"/>
        </w:rPr>
      </w:pPr>
      <w:hyperlink w:anchor="_Toc497992284" w:history="1">
        <w:r w:rsidRPr="00FF0192">
          <w:rPr>
            <w:rStyle w:val="Hyperlink"/>
            <w:noProof/>
          </w:rPr>
          <w:t>3.5.</w:t>
        </w:r>
        <w:r>
          <w:rPr>
            <w:rFonts w:asciiTheme="minorHAnsi" w:eastAsiaTheme="minorEastAsia" w:hAnsiTheme="minorHAnsi" w:cstheme="minorBidi"/>
            <w:noProof/>
            <w:szCs w:val="22"/>
            <w:lang w:val="en-GB" w:eastAsia="zh-CN"/>
          </w:rPr>
          <w:tab/>
        </w:r>
        <w:r w:rsidRPr="00FF0192">
          <w:rPr>
            <w:rStyle w:val="Hyperlink"/>
            <w:noProof/>
          </w:rPr>
          <w:t>Risk management</w:t>
        </w:r>
        <w:r>
          <w:rPr>
            <w:noProof/>
            <w:webHidden/>
          </w:rPr>
          <w:tab/>
        </w:r>
        <w:r>
          <w:rPr>
            <w:noProof/>
            <w:webHidden/>
          </w:rPr>
          <w:fldChar w:fldCharType="begin"/>
        </w:r>
        <w:r>
          <w:rPr>
            <w:noProof/>
            <w:webHidden/>
          </w:rPr>
          <w:instrText xml:space="preserve"> PAGEREF _Toc497992284 \h </w:instrText>
        </w:r>
        <w:r>
          <w:rPr>
            <w:noProof/>
            <w:webHidden/>
          </w:rPr>
        </w:r>
        <w:r>
          <w:rPr>
            <w:noProof/>
            <w:webHidden/>
          </w:rPr>
          <w:fldChar w:fldCharType="separate"/>
        </w:r>
        <w:r>
          <w:rPr>
            <w:noProof/>
            <w:webHidden/>
          </w:rPr>
          <w:t>23</w:t>
        </w:r>
        <w:r>
          <w:rPr>
            <w:noProof/>
            <w:webHidden/>
          </w:rPr>
          <w:fldChar w:fldCharType="end"/>
        </w:r>
      </w:hyperlink>
    </w:p>
    <w:p w14:paraId="5C666060" w14:textId="469570E4" w:rsidR="006F527A" w:rsidRDefault="006F527A">
      <w:pPr>
        <w:pStyle w:val="TOC3"/>
        <w:rPr>
          <w:rFonts w:asciiTheme="minorHAnsi" w:eastAsiaTheme="minorEastAsia" w:hAnsiTheme="minorHAnsi" w:cstheme="minorBidi"/>
          <w:noProof/>
          <w:szCs w:val="22"/>
          <w:lang w:val="en-GB" w:eastAsia="zh-CN"/>
        </w:rPr>
      </w:pPr>
      <w:hyperlink w:anchor="_Toc497992285" w:history="1">
        <w:r w:rsidRPr="00FF0192">
          <w:rPr>
            <w:rStyle w:val="Hyperlink"/>
            <w:noProof/>
          </w:rPr>
          <w:t>4.</w:t>
        </w:r>
        <w:r>
          <w:rPr>
            <w:rFonts w:asciiTheme="minorHAnsi" w:eastAsiaTheme="minorEastAsia" w:hAnsiTheme="minorHAnsi" w:cstheme="minorBidi"/>
            <w:noProof/>
            <w:szCs w:val="22"/>
            <w:lang w:val="en-GB" w:eastAsia="zh-CN"/>
          </w:rPr>
          <w:tab/>
        </w:r>
        <w:r w:rsidRPr="00FF0192">
          <w:rPr>
            <w:rStyle w:val="Hyperlink"/>
            <w:noProof/>
          </w:rPr>
          <w:t>Implementation Modalities</w:t>
        </w:r>
        <w:r>
          <w:rPr>
            <w:noProof/>
            <w:webHidden/>
          </w:rPr>
          <w:tab/>
        </w:r>
        <w:r>
          <w:rPr>
            <w:noProof/>
            <w:webHidden/>
          </w:rPr>
          <w:fldChar w:fldCharType="begin"/>
        </w:r>
        <w:r>
          <w:rPr>
            <w:noProof/>
            <w:webHidden/>
          </w:rPr>
          <w:instrText xml:space="preserve"> PAGEREF _Toc497992285 \h </w:instrText>
        </w:r>
        <w:r>
          <w:rPr>
            <w:noProof/>
            <w:webHidden/>
          </w:rPr>
        </w:r>
        <w:r>
          <w:rPr>
            <w:noProof/>
            <w:webHidden/>
          </w:rPr>
          <w:fldChar w:fldCharType="separate"/>
        </w:r>
        <w:r>
          <w:rPr>
            <w:noProof/>
            <w:webHidden/>
          </w:rPr>
          <w:t>24</w:t>
        </w:r>
        <w:r>
          <w:rPr>
            <w:noProof/>
            <w:webHidden/>
          </w:rPr>
          <w:fldChar w:fldCharType="end"/>
        </w:r>
      </w:hyperlink>
    </w:p>
    <w:p w14:paraId="5E8C2B19" w14:textId="4E8CBB9E"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86" w:history="1">
        <w:r w:rsidRPr="00FF0192">
          <w:rPr>
            <w:rStyle w:val="Hyperlink"/>
            <w:noProof/>
          </w:rPr>
          <w:t>4.1.1.</w:t>
        </w:r>
        <w:r>
          <w:rPr>
            <w:rFonts w:asciiTheme="minorHAnsi" w:eastAsiaTheme="minorEastAsia" w:hAnsiTheme="minorHAnsi" w:cstheme="minorBidi"/>
            <w:noProof/>
            <w:sz w:val="22"/>
            <w:szCs w:val="22"/>
            <w:lang w:val="en-GB" w:eastAsia="zh-CN"/>
          </w:rPr>
          <w:tab/>
        </w:r>
        <w:r w:rsidRPr="00FF0192">
          <w:rPr>
            <w:rStyle w:val="Hyperlink"/>
            <w:noProof/>
          </w:rPr>
          <w:t>Institutional implementation</w:t>
        </w:r>
        <w:r>
          <w:rPr>
            <w:noProof/>
            <w:webHidden/>
          </w:rPr>
          <w:tab/>
        </w:r>
        <w:r>
          <w:rPr>
            <w:noProof/>
            <w:webHidden/>
          </w:rPr>
          <w:fldChar w:fldCharType="begin"/>
        </w:r>
        <w:r>
          <w:rPr>
            <w:noProof/>
            <w:webHidden/>
          </w:rPr>
          <w:instrText xml:space="preserve"> PAGEREF _Toc497992286 \h </w:instrText>
        </w:r>
        <w:r>
          <w:rPr>
            <w:noProof/>
            <w:webHidden/>
          </w:rPr>
        </w:r>
        <w:r>
          <w:rPr>
            <w:noProof/>
            <w:webHidden/>
          </w:rPr>
          <w:fldChar w:fldCharType="separate"/>
        </w:r>
        <w:r>
          <w:rPr>
            <w:noProof/>
            <w:webHidden/>
          </w:rPr>
          <w:t>24</w:t>
        </w:r>
        <w:r>
          <w:rPr>
            <w:noProof/>
            <w:webHidden/>
          </w:rPr>
          <w:fldChar w:fldCharType="end"/>
        </w:r>
      </w:hyperlink>
    </w:p>
    <w:p w14:paraId="425E5152" w14:textId="7722C37C" w:rsidR="006F527A" w:rsidRDefault="006F527A">
      <w:pPr>
        <w:pStyle w:val="TOC4"/>
        <w:tabs>
          <w:tab w:val="left" w:pos="1440"/>
          <w:tab w:val="right" w:leader="dot" w:pos="9345"/>
        </w:tabs>
        <w:rPr>
          <w:rFonts w:asciiTheme="minorHAnsi" w:eastAsiaTheme="minorEastAsia" w:hAnsiTheme="minorHAnsi" w:cstheme="minorBidi"/>
          <w:noProof/>
          <w:sz w:val="22"/>
          <w:szCs w:val="22"/>
          <w:lang w:val="en-GB" w:eastAsia="zh-CN"/>
        </w:rPr>
      </w:pPr>
      <w:hyperlink w:anchor="_Toc497992287" w:history="1">
        <w:r w:rsidRPr="00FF0192">
          <w:rPr>
            <w:rStyle w:val="Hyperlink"/>
            <w:noProof/>
          </w:rPr>
          <w:t>4.1.1.1.</w:t>
        </w:r>
        <w:r>
          <w:rPr>
            <w:rFonts w:asciiTheme="minorHAnsi" w:eastAsiaTheme="minorEastAsia" w:hAnsiTheme="minorHAnsi" w:cstheme="minorBidi"/>
            <w:noProof/>
            <w:sz w:val="22"/>
            <w:szCs w:val="22"/>
            <w:lang w:val="en-GB" w:eastAsia="zh-CN"/>
          </w:rPr>
          <w:tab/>
        </w:r>
        <w:r w:rsidRPr="00FF0192">
          <w:rPr>
            <w:rStyle w:val="Hyperlink"/>
            <w:noProof/>
          </w:rPr>
          <w:t>Indirect management with UNODC (for Result 1)</w:t>
        </w:r>
        <w:r>
          <w:rPr>
            <w:noProof/>
            <w:webHidden/>
          </w:rPr>
          <w:tab/>
        </w:r>
        <w:r>
          <w:rPr>
            <w:noProof/>
            <w:webHidden/>
          </w:rPr>
          <w:fldChar w:fldCharType="begin"/>
        </w:r>
        <w:r>
          <w:rPr>
            <w:noProof/>
            <w:webHidden/>
          </w:rPr>
          <w:instrText xml:space="preserve"> PAGEREF _Toc497992287 \h </w:instrText>
        </w:r>
        <w:r>
          <w:rPr>
            <w:noProof/>
            <w:webHidden/>
          </w:rPr>
        </w:r>
        <w:r>
          <w:rPr>
            <w:noProof/>
            <w:webHidden/>
          </w:rPr>
          <w:fldChar w:fldCharType="separate"/>
        </w:r>
        <w:r>
          <w:rPr>
            <w:noProof/>
            <w:webHidden/>
          </w:rPr>
          <w:t>24</w:t>
        </w:r>
        <w:r>
          <w:rPr>
            <w:noProof/>
            <w:webHidden/>
          </w:rPr>
          <w:fldChar w:fldCharType="end"/>
        </w:r>
      </w:hyperlink>
    </w:p>
    <w:p w14:paraId="37629E91" w14:textId="5A1DEB47" w:rsidR="006F527A" w:rsidRDefault="006F527A">
      <w:pPr>
        <w:pStyle w:val="TOC4"/>
        <w:tabs>
          <w:tab w:val="left" w:pos="1440"/>
          <w:tab w:val="right" w:leader="dot" w:pos="9345"/>
        </w:tabs>
        <w:rPr>
          <w:rFonts w:asciiTheme="minorHAnsi" w:eastAsiaTheme="minorEastAsia" w:hAnsiTheme="minorHAnsi" w:cstheme="minorBidi"/>
          <w:noProof/>
          <w:sz w:val="22"/>
          <w:szCs w:val="22"/>
          <w:lang w:val="en-GB" w:eastAsia="zh-CN"/>
        </w:rPr>
      </w:pPr>
      <w:hyperlink w:anchor="_Toc497992288" w:history="1">
        <w:r w:rsidRPr="00FF0192">
          <w:rPr>
            <w:rStyle w:val="Hyperlink"/>
            <w:noProof/>
          </w:rPr>
          <w:t>4.1.1.2.</w:t>
        </w:r>
        <w:r>
          <w:rPr>
            <w:rFonts w:asciiTheme="minorHAnsi" w:eastAsiaTheme="minorEastAsia" w:hAnsiTheme="minorHAnsi" w:cstheme="minorBidi"/>
            <w:noProof/>
            <w:sz w:val="22"/>
            <w:szCs w:val="22"/>
            <w:lang w:val="en-GB" w:eastAsia="zh-CN"/>
          </w:rPr>
          <w:tab/>
        </w:r>
        <w:r w:rsidRPr="00FF0192">
          <w:rPr>
            <w:rStyle w:val="Hyperlink"/>
            <w:noProof/>
          </w:rPr>
          <w:t>Indirect management with INTERPOL (for Result 1)</w:t>
        </w:r>
        <w:r>
          <w:rPr>
            <w:noProof/>
            <w:webHidden/>
          </w:rPr>
          <w:tab/>
        </w:r>
        <w:r>
          <w:rPr>
            <w:noProof/>
            <w:webHidden/>
          </w:rPr>
          <w:fldChar w:fldCharType="begin"/>
        </w:r>
        <w:r>
          <w:rPr>
            <w:noProof/>
            <w:webHidden/>
          </w:rPr>
          <w:instrText xml:space="preserve"> PAGEREF _Toc497992288 \h </w:instrText>
        </w:r>
        <w:r>
          <w:rPr>
            <w:noProof/>
            <w:webHidden/>
          </w:rPr>
        </w:r>
        <w:r>
          <w:rPr>
            <w:noProof/>
            <w:webHidden/>
          </w:rPr>
          <w:fldChar w:fldCharType="separate"/>
        </w:r>
        <w:r>
          <w:rPr>
            <w:noProof/>
            <w:webHidden/>
          </w:rPr>
          <w:t>24</w:t>
        </w:r>
        <w:r>
          <w:rPr>
            <w:noProof/>
            <w:webHidden/>
          </w:rPr>
          <w:fldChar w:fldCharType="end"/>
        </w:r>
      </w:hyperlink>
    </w:p>
    <w:p w14:paraId="5D69EA1B" w14:textId="10457878"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89" w:history="1">
        <w:r w:rsidRPr="00FF0192">
          <w:rPr>
            <w:rStyle w:val="Hyperlink"/>
            <w:noProof/>
            <w:lang w:val="en-GB"/>
          </w:rPr>
          <w:t>4.1.2.</w:t>
        </w:r>
        <w:r>
          <w:rPr>
            <w:rFonts w:asciiTheme="minorHAnsi" w:eastAsiaTheme="minorEastAsia" w:hAnsiTheme="minorHAnsi" w:cstheme="minorBidi"/>
            <w:noProof/>
            <w:sz w:val="22"/>
            <w:szCs w:val="22"/>
            <w:lang w:val="en-GB" w:eastAsia="zh-CN"/>
          </w:rPr>
          <w:tab/>
        </w:r>
        <w:r w:rsidRPr="00FF0192">
          <w:rPr>
            <w:rStyle w:val="Hyperlink"/>
            <w:noProof/>
          </w:rPr>
          <w:t>Governance structure of the project</w:t>
        </w:r>
        <w:r>
          <w:rPr>
            <w:noProof/>
            <w:webHidden/>
          </w:rPr>
          <w:tab/>
        </w:r>
        <w:r>
          <w:rPr>
            <w:noProof/>
            <w:webHidden/>
          </w:rPr>
          <w:fldChar w:fldCharType="begin"/>
        </w:r>
        <w:r>
          <w:rPr>
            <w:noProof/>
            <w:webHidden/>
          </w:rPr>
          <w:instrText xml:space="preserve"> PAGEREF _Toc497992289 \h </w:instrText>
        </w:r>
        <w:r>
          <w:rPr>
            <w:noProof/>
            <w:webHidden/>
          </w:rPr>
        </w:r>
        <w:r>
          <w:rPr>
            <w:noProof/>
            <w:webHidden/>
          </w:rPr>
          <w:fldChar w:fldCharType="separate"/>
        </w:r>
        <w:r>
          <w:rPr>
            <w:noProof/>
            <w:webHidden/>
          </w:rPr>
          <w:t>24</w:t>
        </w:r>
        <w:r>
          <w:rPr>
            <w:noProof/>
            <w:webHidden/>
          </w:rPr>
          <w:fldChar w:fldCharType="end"/>
        </w:r>
      </w:hyperlink>
    </w:p>
    <w:p w14:paraId="4346E7F3" w14:textId="7C53651B"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90" w:history="1">
        <w:r w:rsidRPr="00FF0192">
          <w:rPr>
            <w:rStyle w:val="Hyperlink"/>
            <w:noProof/>
          </w:rPr>
          <w:t>4.1.3.</w:t>
        </w:r>
        <w:r>
          <w:rPr>
            <w:rFonts w:asciiTheme="minorHAnsi" w:eastAsiaTheme="minorEastAsia" w:hAnsiTheme="minorHAnsi" w:cstheme="minorBidi"/>
            <w:noProof/>
            <w:sz w:val="22"/>
            <w:szCs w:val="22"/>
            <w:lang w:val="en-GB" w:eastAsia="zh-CN"/>
          </w:rPr>
          <w:tab/>
        </w:r>
        <w:r w:rsidRPr="00FF0192">
          <w:rPr>
            <w:rStyle w:val="Hyperlink"/>
            <w:noProof/>
          </w:rPr>
          <w:t>Staff implementation of the programme</w:t>
        </w:r>
        <w:r>
          <w:rPr>
            <w:noProof/>
            <w:webHidden/>
          </w:rPr>
          <w:tab/>
        </w:r>
        <w:r>
          <w:rPr>
            <w:noProof/>
            <w:webHidden/>
          </w:rPr>
          <w:fldChar w:fldCharType="begin"/>
        </w:r>
        <w:r>
          <w:rPr>
            <w:noProof/>
            <w:webHidden/>
          </w:rPr>
          <w:instrText xml:space="preserve"> PAGEREF _Toc497992290 \h </w:instrText>
        </w:r>
        <w:r>
          <w:rPr>
            <w:noProof/>
            <w:webHidden/>
          </w:rPr>
        </w:r>
        <w:r>
          <w:rPr>
            <w:noProof/>
            <w:webHidden/>
          </w:rPr>
          <w:fldChar w:fldCharType="separate"/>
        </w:r>
        <w:r>
          <w:rPr>
            <w:noProof/>
            <w:webHidden/>
          </w:rPr>
          <w:t>25</w:t>
        </w:r>
        <w:r>
          <w:rPr>
            <w:noProof/>
            <w:webHidden/>
          </w:rPr>
          <w:fldChar w:fldCharType="end"/>
        </w:r>
      </w:hyperlink>
    </w:p>
    <w:p w14:paraId="123D1C76" w14:textId="79A35F3F"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91" w:history="1">
        <w:r w:rsidRPr="00FF0192">
          <w:rPr>
            <w:rStyle w:val="Hyperlink"/>
            <w:noProof/>
          </w:rPr>
          <w:t>4.1.4.</w:t>
        </w:r>
        <w:r>
          <w:rPr>
            <w:rFonts w:asciiTheme="minorHAnsi" w:eastAsiaTheme="minorEastAsia" w:hAnsiTheme="minorHAnsi" w:cstheme="minorBidi"/>
            <w:noProof/>
            <w:sz w:val="22"/>
            <w:szCs w:val="22"/>
            <w:lang w:val="en-GB" w:eastAsia="zh-CN"/>
          </w:rPr>
          <w:tab/>
        </w:r>
        <w:r w:rsidRPr="00FF0192">
          <w:rPr>
            <w:rStyle w:val="Hyperlink"/>
            <w:noProof/>
          </w:rPr>
          <w:t>Monitoring and Evaluation</w:t>
        </w:r>
        <w:r>
          <w:rPr>
            <w:noProof/>
            <w:webHidden/>
          </w:rPr>
          <w:tab/>
        </w:r>
        <w:r>
          <w:rPr>
            <w:noProof/>
            <w:webHidden/>
          </w:rPr>
          <w:fldChar w:fldCharType="begin"/>
        </w:r>
        <w:r>
          <w:rPr>
            <w:noProof/>
            <w:webHidden/>
          </w:rPr>
          <w:instrText xml:space="preserve"> PAGEREF _Toc497992291 \h </w:instrText>
        </w:r>
        <w:r>
          <w:rPr>
            <w:noProof/>
            <w:webHidden/>
          </w:rPr>
        </w:r>
        <w:r>
          <w:rPr>
            <w:noProof/>
            <w:webHidden/>
          </w:rPr>
          <w:fldChar w:fldCharType="separate"/>
        </w:r>
        <w:r>
          <w:rPr>
            <w:noProof/>
            <w:webHidden/>
          </w:rPr>
          <w:t>26</w:t>
        </w:r>
        <w:r>
          <w:rPr>
            <w:noProof/>
            <w:webHidden/>
          </w:rPr>
          <w:fldChar w:fldCharType="end"/>
        </w:r>
      </w:hyperlink>
    </w:p>
    <w:p w14:paraId="4D79A3C6" w14:textId="0477A700"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92" w:history="1">
        <w:r w:rsidRPr="00FF0192">
          <w:rPr>
            <w:rStyle w:val="Hyperlink"/>
            <w:noProof/>
          </w:rPr>
          <w:t>4.1.5.</w:t>
        </w:r>
        <w:r>
          <w:rPr>
            <w:rFonts w:asciiTheme="minorHAnsi" w:eastAsiaTheme="minorEastAsia" w:hAnsiTheme="minorHAnsi" w:cstheme="minorBidi"/>
            <w:noProof/>
            <w:sz w:val="22"/>
            <w:szCs w:val="22"/>
            <w:lang w:val="en-GB" w:eastAsia="zh-CN"/>
          </w:rPr>
          <w:tab/>
        </w:r>
        <w:r w:rsidRPr="00FF0192">
          <w:rPr>
            <w:rStyle w:val="Hyperlink"/>
            <w:noProof/>
          </w:rPr>
          <w:t>EU Visibility</w:t>
        </w:r>
        <w:r>
          <w:rPr>
            <w:noProof/>
            <w:webHidden/>
          </w:rPr>
          <w:tab/>
        </w:r>
        <w:r>
          <w:rPr>
            <w:noProof/>
            <w:webHidden/>
          </w:rPr>
          <w:fldChar w:fldCharType="begin"/>
        </w:r>
        <w:r>
          <w:rPr>
            <w:noProof/>
            <w:webHidden/>
          </w:rPr>
          <w:instrText xml:space="preserve"> PAGEREF _Toc497992292 \h </w:instrText>
        </w:r>
        <w:r>
          <w:rPr>
            <w:noProof/>
            <w:webHidden/>
          </w:rPr>
        </w:r>
        <w:r>
          <w:rPr>
            <w:noProof/>
            <w:webHidden/>
          </w:rPr>
          <w:fldChar w:fldCharType="separate"/>
        </w:r>
        <w:r>
          <w:rPr>
            <w:noProof/>
            <w:webHidden/>
          </w:rPr>
          <w:t>27</w:t>
        </w:r>
        <w:r>
          <w:rPr>
            <w:noProof/>
            <w:webHidden/>
          </w:rPr>
          <w:fldChar w:fldCharType="end"/>
        </w:r>
      </w:hyperlink>
    </w:p>
    <w:p w14:paraId="4E8CB2A7" w14:textId="574100D7" w:rsidR="006F527A" w:rsidRDefault="006F527A">
      <w:pPr>
        <w:pStyle w:val="TOC3"/>
        <w:rPr>
          <w:rFonts w:asciiTheme="minorHAnsi" w:eastAsiaTheme="minorEastAsia" w:hAnsiTheme="minorHAnsi" w:cstheme="minorBidi"/>
          <w:noProof/>
          <w:szCs w:val="22"/>
          <w:lang w:val="en-GB" w:eastAsia="zh-CN"/>
        </w:rPr>
      </w:pPr>
      <w:hyperlink w:anchor="_Toc497992293" w:history="1">
        <w:r w:rsidRPr="00FF0192">
          <w:rPr>
            <w:rStyle w:val="Hyperlink"/>
            <w:rFonts w:asciiTheme="majorBidi" w:hAnsiTheme="majorBidi" w:cstheme="majorBidi"/>
            <w:noProof/>
          </w:rPr>
          <w:t>5.</w:t>
        </w:r>
        <w:r>
          <w:rPr>
            <w:rFonts w:asciiTheme="minorHAnsi" w:eastAsiaTheme="minorEastAsia" w:hAnsiTheme="minorHAnsi" w:cstheme="minorBidi"/>
            <w:noProof/>
            <w:szCs w:val="22"/>
            <w:lang w:val="en-GB" w:eastAsia="zh-CN"/>
          </w:rPr>
          <w:tab/>
        </w:r>
        <w:r w:rsidRPr="00FF0192">
          <w:rPr>
            <w:rStyle w:val="Hyperlink"/>
            <w:rFonts w:asciiTheme="majorBidi" w:hAnsiTheme="majorBidi" w:cstheme="majorBidi"/>
            <w:noProof/>
          </w:rPr>
          <w:t>Budget, amount requested from the Contracting Authority and other expected sources of funding</w:t>
        </w:r>
        <w:r>
          <w:rPr>
            <w:noProof/>
            <w:webHidden/>
          </w:rPr>
          <w:tab/>
        </w:r>
        <w:r>
          <w:rPr>
            <w:noProof/>
            <w:webHidden/>
          </w:rPr>
          <w:fldChar w:fldCharType="begin"/>
        </w:r>
        <w:r>
          <w:rPr>
            <w:noProof/>
            <w:webHidden/>
          </w:rPr>
          <w:instrText xml:space="preserve"> PAGEREF _Toc497992293 \h </w:instrText>
        </w:r>
        <w:r>
          <w:rPr>
            <w:noProof/>
            <w:webHidden/>
          </w:rPr>
        </w:r>
        <w:r>
          <w:rPr>
            <w:noProof/>
            <w:webHidden/>
          </w:rPr>
          <w:fldChar w:fldCharType="separate"/>
        </w:r>
        <w:r>
          <w:rPr>
            <w:noProof/>
            <w:webHidden/>
          </w:rPr>
          <w:t>27</w:t>
        </w:r>
        <w:r>
          <w:rPr>
            <w:noProof/>
            <w:webHidden/>
          </w:rPr>
          <w:fldChar w:fldCharType="end"/>
        </w:r>
      </w:hyperlink>
    </w:p>
    <w:p w14:paraId="06AE94B3" w14:textId="18F69D01" w:rsidR="006F527A" w:rsidRDefault="006F527A">
      <w:pPr>
        <w:pStyle w:val="TOC3"/>
        <w:rPr>
          <w:rFonts w:asciiTheme="minorHAnsi" w:eastAsiaTheme="minorEastAsia" w:hAnsiTheme="minorHAnsi" w:cstheme="minorBidi"/>
          <w:noProof/>
          <w:szCs w:val="22"/>
          <w:lang w:val="en-GB" w:eastAsia="zh-CN"/>
        </w:rPr>
      </w:pPr>
      <w:hyperlink w:anchor="_Toc497992294" w:history="1">
        <w:r w:rsidRPr="00FF0192">
          <w:rPr>
            <w:rStyle w:val="Hyperlink"/>
            <w:noProof/>
          </w:rPr>
          <w:t>6.</w:t>
        </w:r>
        <w:r>
          <w:rPr>
            <w:rFonts w:asciiTheme="minorHAnsi" w:eastAsiaTheme="minorEastAsia" w:hAnsiTheme="minorHAnsi" w:cstheme="minorBidi"/>
            <w:noProof/>
            <w:szCs w:val="22"/>
            <w:lang w:val="en-GB" w:eastAsia="zh-CN"/>
          </w:rPr>
          <w:tab/>
        </w:r>
        <w:r w:rsidRPr="00FF0192">
          <w:rPr>
            <w:rStyle w:val="Hyperlink"/>
            <w:noProof/>
          </w:rPr>
          <w:t>Annex: Logical Framework</w:t>
        </w:r>
        <w:r>
          <w:rPr>
            <w:noProof/>
            <w:webHidden/>
          </w:rPr>
          <w:tab/>
        </w:r>
        <w:r>
          <w:rPr>
            <w:noProof/>
            <w:webHidden/>
          </w:rPr>
          <w:fldChar w:fldCharType="begin"/>
        </w:r>
        <w:r>
          <w:rPr>
            <w:noProof/>
            <w:webHidden/>
          </w:rPr>
          <w:instrText xml:space="preserve"> PAGEREF _Toc497992294 \h </w:instrText>
        </w:r>
        <w:r>
          <w:rPr>
            <w:noProof/>
            <w:webHidden/>
          </w:rPr>
        </w:r>
        <w:r>
          <w:rPr>
            <w:noProof/>
            <w:webHidden/>
          </w:rPr>
          <w:fldChar w:fldCharType="separate"/>
        </w:r>
        <w:r>
          <w:rPr>
            <w:noProof/>
            <w:webHidden/>
          </w:rPr>
          <w:t>29</w:t>
        </w:r>
        <w:r>
          <w:rPr>
            <w:noProof/>
            <w:webHidden/>
          </w:rPr>
          <w:fldChar w:fldCharType="end"/>
        </w:r>
      </w:hyperlink>
    </w:p>
    <w:p w14:paraId="728B5D4F" w14:textId="11D08B14" w:rsidR="006F527A" w:rsidRDefault="006F527A">
      <w:pPr>
        <w:pStyle w:val="TOC4"/>
        <w:tabs>
          <w:tab w:val="left" w:pos="1200"/>
          <w:tab w:val="right" w:leader="dot" w:pos="9345"/>
        </w:tabs>
        <w:rPr>
          <w:rFonts w:asciiTheme="minorHAnsi" w:eastAsiaTheme="minorEastAsia" w:hAnsiTheme="minorHAnsi" w:cstheme="minorBidi"/>
          <w:noProof/>
          <w:sz w:val="22"/>
          <w:szCs w:val="22"/>
          <w:lang w:val="en-GB" w:eastAsia="zh-CN"/>
        </w:rPr>
      </w:pPr>
      <w:hyperlink w:anchor="_Toc497992295" w:history="1">
        <w:r w:rsidRPr="00FF0192">
          <w:rPr>
            <w:rStyle w:val="Hyperlink"/>
            <w:noProof/>
          </w:rPr>
          <w:t>6.1.1.</w:t>
        </w:r>
        <w:r>
          <w:rPr>
            <w:rFonts w:asciiTheme="minorHAnsi" w:eastAsiaTheme="minorEastAsia" w:hAnsiTheme="minorHAnsi" w:cstheme="minorBidi"/>
            <w:noProof/>
            <w:sz w:val="22"/>
            <w:szCs w:val="22"/>
            <w:lang w:val="en-GB" w:eastAsia="zh-CN"/>
          </w:rPr>
          <w:tab/>
        </w:r>
        <w:r w:rsidRPr="00FF0192">
          <w:rPr>
            <w:rStyle w:val="Hyperlink"/>
            <w:noProof/>
          </w:rPr>
          <w:t>Specific Objective 1: Logical Framework</w:t>
        </w:r>
        <w:r>
          <w:rPr>
            <w:noProof/>
            <w:webHidden/>
          </w:rPr>
          <w:tab/>
        </w:r>
        <w:r>
          <w:rPr>
            <w:noProof/>
            <w:webHidden/>
          </w:rPr>
          <w:fldChar w:fldCharType="begin"/>
        </w:r>
        <w:r>
          <w:rPr>
            <w:noProof/>
            <w:webHidden/>
          </w:rPr>
          <w:instrText xml:space="preserve"> PAGEREF _Toc497992295 \h </w:instrText>
        </w:r>
        <w:r>
          <w:rPr>
            <w:noProof/>
            <w:webHidden/>
          </w:rPr>
        </w:r>
        <w:r>
          <w:rPr>
            <w:noProof/>
            <w:webHidden/>
          </w:rPr>
          <w:fldChar w:fldCharType="separate"/>
        </w:r>
        <w:r>
          <w:rPr>
            <w:noProof/>
            <w:webHidden/>
          </w:rPr>
          <w:t>29</w:t>
        </w:r>
        <w:r>
          <w:rPr>
            <w:noProof/>
            <w:webHidden/>
          </w:rPr>
          <w:fldChar w:fldCharType="end"/>
        </w:r>
      </w:hyperlink>
    </w:p>
    <w:p w14:paraId="67878812" w14:textId="1C9585F9" w:rsidR="006F527A" w:rsidRDefault="006F527A">
      <w:pPr>
        <w:pStyle w:val="TOC3"/>
        <w:rPr>
          <w:rFonts w:asciiTheme="minorHAnsi" w:eastAsiaTheme="minorEastAsia" w:hAnsiTheme="minorHAnsi" w:cstheme="minorBidi"/>
          <w:noProof/>
          <w:szCs w:val="22"/>
          <w:lang w:val="en-GB" w:eastAsia="zh-CN"/>
        </w:rPr>
      </w:pPr>
      <w:hyperlink w:anchor="_Toc497992296" w:history="1">
        <w:r w:rsidRPr="00FF0192">
          <w:rPr>
            <w:rStyle w:val="Hyperlink"/>
            <w:noProof/>
          </w:rPr>
          <w:t>6.2.</w:t>
        </w:r>
        <w:r>
          <w:rPr>
            <w:rFonts w:asciiTheme="minorHAnsi" w:eastAsiaTheme="minorEastAsia" w:hAnsiTheme="minorHAnsi" w:cstheme="minorBidi"/>
            <w:noProof/>
            <w:szCs w:val="22"/>
            <w:lang w:val="en-GB" w:eastAsia="zh-CN"/>
          </w:rPr>
          <w:tab/>
        </w:r>
        <w:r w:rsidRPr="00FF0192">
          <w:rPr>
            <w:rStyle w:val="Hyperlink"/>
            <w:noProof/>
          </w:rPr>
          <w:t>ANNEX: Detailed Budget</w:t>
        </w:r>
        <w:r>
          <w:rPr>
            <w:noProof/>
            <w:webHidden/>
          </w:rPr>
          <w:tab/>
        </w:r>
        <w:r>
          <w:rPr>
            <w:noProof/>
            <w:webHidden/>
          </w:rPr>
          <w:fldChar w:fldCharType="begin"/>
        </w:r>
        <w:r>
          <w:rPr>
            <w:noProof/>
            <w:webHidden/>
          </w:rPr>
          <w:instrText xml:space="preserve"> PAGEREF _Toc497992296 \h </w:instrText>
        </w:r>
        <w:r>
          <w:rPr>
            <w:noProof/>
            <w:webHidden/>
          </w:rPr>
        </w:r>
        <w:r>
          <w:rPr>
            <w:noProof/>
            <w:webHidden/>
          </w:rPr>
          <w:fldChar w:fldCharType="separate"/>
        </w:r>
        <w:r>
          <w:rPr>
            <w:noProof/>
            <w:webHidden/>
          </w:rPr>
          <w:t>33</w:t>
        </w:r>
        <w:r>
          <w:rPr>
            <w:noProof/>
            <w:webHidden/>
          </w:rPr>
          <w:fldChar w:fldCharType="end"/>
        </w:r>
      </w:hyperlink>
    </w:p>
    <w:p w14:paraId="7189D3A7" w14:textId="7D1E7439" w:rsidR="003055D4" w:rsidRPr="006854F1" w:rsidRDefault="00382E40" w:rsidP="006F0E70">
      <w:pPr>
        <w:pStyle w:val="Heading1"/>
        <w:rPr>
          <w:rFonts w:ascii="Times New Roman" w:hAnsi="Times New Roman"/>
        </w:rPr>
        <w:sectPr w:rsidR="003055D4" w:rsidRPr="006854F1" w:rsidSect="003D3521">
          <w:footerReference w:type="default" r:id="rId10"/>
          <w:footerReference w:type="first" r:id="rId11"/>
          <w:type w:val="continuous"/>
          <w:pgSz w:w="11907" w:h="16840" w:code="9"/>
          <w:pgMar w:top="899" w:right="1134" w:bottom="1134" w:left="1418" w:header="720" w:footer="397" w:gutter="0"/>
          <w:cols w:space="720"/>
          <w:titlePg/>
        </w:sectPr>
      </w:pPr>
      <w:r>
        <w:rPr>
          <w:rFonts w:ascii="Times New Roman" w:hAnsi="Times New Roman"/>
          <w:b w:val="0"/>
          <w:bCs/>
          <w:snapToGrid/>
          <w:spacing w:val="0"/>
          <w:kern w:val="0"/>
          <w:sz w:val="24"/>
          <w:szCs w:val="24"/>
          <w:lang w:val="en-US" w:eastAsia="en-GB"/>
        </w:rPr>
        <w:fldChar w:fldCharType="end"/>
      </w:r>
    </w:p>
    <w:p w14:paraId="5C80AFDB" w14:textId="2B73B032" w:rsidR="000A12CC" w:rsidRDefault="000A12CC" w:rsidP="0057618C">
      <w:pPr>
        <w:pStyle w:val="Heading3"/>
        <w:numPr>
          <w:ilvl w:val="0"/>
          <w:numId w:val="28"/>
        </w:numPr>
      </w:pPr>
      <w:bookmarkStart w:id="2" w:name="_Toc497992272"/>
      <w:bookmarkEnd w:id="0"/>
      <w:bookmarkEnd w:id="1"/>
      <w:r>
        <w:lastRenderedPageBreak/>
        <w:t>Summary</w:t>
      </w:r>
      <w:bookmarkEnd w:id="2"/>
      <w:r>
        <w:t xml:space="preserve"> </w:t>
      </w:r>
    </w:p>
    <w:p w14:paraId="103B4B27" w14:textId="77777777" w:rsidR="000A12CC" w:rsidRPr="00CB6CE6" w:rsidRDefault="000A12CC" w:rsidP="000A12CC">
      <w:pPr>
        <w:rPr>
          <w:sz w:val="22"/>
          <w:szCs w:val="22"/>
        </w:rPr>
      </w:pPr>
    </w:p>
    <w:p w14:paraId="33ED4186" w14:textId="5AC9475C" w:rsidR="002B272B" w:rsidRPr="002B272B" w:rsidRDefault="002B272B" w:rsidP="00235702">
      <w:pPr>
        <w:jc w:val="both"/>
        <w:rPr>
          <w:sz w:val="22"/>
          <w:szCs w:val="22"/>
        </w:rPr>
      </w:pPr>
      <w:r w:rsidRPr="002B272B">
        <w:rPr>
          <w:sz w:val="22"/>
          <w:szCs w:val="22"/>
        </w:rPr>
        <w:t>Wildlife</w:t>
      </w:r>
      <w:r>
        <w:rPr>
          <w:sz w:val="22"/>
          <w:szCs w:val="22"/>
        </w:rPr>
        <w:t xml:space="preserve"> and forest </w:t>
      </w:r>
      <w:r w:rsidRPr="002B272B">
        <w:rPr>
          <w:sz w:val="22"/>
          <w:szCs w:val="22"/>
        </w:rPr>
        <w:t>crime</w:t>
      </w:r>
      <w:r>
        <w:rPr>
          <w:sz w:val="22"/>
          <w:szCs w:val="22"/>
        </w:rPr>
        <w:t xml:space="preserve"> (WLFC)</w:t>
      </w:r>
      <w:r w:rsidRPr="002B272B">
        <w:rPr>
          <w:sz w:val="22"/>
          <w:szCs w:val="22"/>
        </w:rPr>
        <w:t xml:space="preserve"> has become a serious threat to the security, political stability, economy, natural resources and cultural heritage of many countries and regions. Criminal activities threaten the survival of some of the world’s most charismatic species, including elephants, rhinos and tigers, as well as many lesser-known species, such as pa</w:t>
      </w:r>
      <w:r>
        <w:rPr>
          <w:sz w:val="22"/>
          <w:szCs w:val="22"/>
        </w:rPr>
        <w:t>ngolin</w:t>
      </w:r>
      <w:r w:rsidR="00235702">
        <w:rPr>
          <w:sz w:val="22"/>
          <w:szCs w:val="22"/>
        </w:rPr>
        <w:t xml:space="preserve"> and</w:t>
      </w:r>
      <w:r>
        <w:rPr>
          <w:sz w:val="22"/>
          <w:szCs w:val="22"/>
        </w:rPr>
        <w:t xml:space="preserve"> Madagascan rosewood, to name a few</w:t>
      </w:r>
      <w:r w:rsidRPr="002B272B">
        <w:rPr>
          <w:sz w:val="22"/>
          <w:szCs w:val="22"/>
        </w:rPr>
        <w:t>. Wildlife poaching and trafficking</w:t>
      </w:r>
      <w:r w:rsidR="00235702">
        <w:rPr>
          <w:sz w:val="22"/>
          <w:szCs w:val="22"/>
        </w:rPr>
        <w:t xml:space="preserve"> and</w:t>
      </w:r>
      <w:r>
        <w:rPr>
          <w:sz w:val="22"/>
          <w:szCs w:val="22"/>
        </w:rPr>
        <w:t xml:space="preserve"> illicit timber trafficking</w:t>
      </w:r>
      <w:r w:rsidRPr="002B272B">
        <w:rPr>
          <w:sz w:val="22"/>
          <w:szCs w:val="22"/>
        </w:rPr>
        <w:t xml:space="preserve"> can destroy the natural resources on which national economies and livelihoods depend, and undermine efforts to eliminate poverty and develop sustainable economic opportunities for rural communities. The increasing involvement of organised criminal networks, and at times rebel militia, exacerbated by widespread corruption and regional insecurity, conspire to undermine the application of the rule of law. </w:t>
      </w:r>
    </w:p>
    <w:p w14:paraId="2FF78407" w14:textId="77777777" w:rsidR="002B272B" w:rsidRPr="002B272B" w:rsidRDefault="002B272B" w:rsidP="002B272B">
      <w:pPr>
        <w:jc w:val="both"/>
        <w:rPr>
          <w:sz w:val="22"/>
          <w:szCs w:val="22"/>
        </w:rPr>
      </w:pPr>
    </w:p>
    <w:p w14:paraId="4590CBEC" w14:textId="09E6701E" w:rsidR="002B272B" w:rsidRPr="002B272B" w:rsidRDefault="00235702" w:rsidP="002B272B">
      <w:pPr>
        <w:jc w:val="both"/>
        <w:rPr>
          <w:sz w:val="22"/>
          <w:szCs w:val="22"/>
        </w:rPr>
      </w:pPr>
      <w:r w:rsidRPr="00235702">
        <w:rPr>
          <w:sz w:val="22"/>
          <w:szCs w:val="22"/>
        </w:rPr>
        <w:t xml:space="preserve">The International Consortium on Combating Wildlife Crime </w:t>
      </w:r>
      <w:r>
        <w:rPr>
          <w:sz w:val="22"/>
          <w:szCs w:val="22"/>
        </w:rPr>
        <w:t>(</w:t>
      </w:r>
      <w:r w:rsidR="002B272B" w:rsidRPr="002B272B">
        <w:rPr>
          <w:sz w:val="22"/>
          <w:szCs w:val="22"/>
        </w:rPr>
        <w:t>ICCWC</w:t>
      </w:r>
      <w:r>
        <w:rPr>
          <w:sz w:val="22"/>
          <w:szCs w:val="22"/>
        </w:rPr>
        <w:t>)</w:t>
      </w:r>
      <w:r w:rsidR="002B272B" w:rsidRPr="002B272B">
        <w:rPr>
          <w:sz w:val="22"/>
          <w:szCs w:val="22"/>
        </w:rPr>
        <w:t xml:space="preserve"> is a collaborative initiative by the Convention on International Trade in Endangered Species of Wild Fauna and Flora (CITES), INTERPOL, the United Nations Office on Drugs and Crime (UNODC), the World Bank and the World Customs Organization (WCO). It was formed in 2010 to provide coordinated support to national and regional law enforcement agencies to combat wildlife crime. In recognition of the increasingly difficult and complex situations these authorities face, ICCWC works to build and reinforce long-term capacity among authorities responsible for wildlife law enforcement, by providing them with the tools and services they need.  </w:t>
      </w:r>
    </w:p>
    <w:p w14:paraId="5EEBEC3B" w14:textId="77777777" w:rsidR="002B272B" w:rsidRPr="002B272B" w:rsidRDefault="002B272B" w:rsidP="002B272B">
      <w:pPr>
        <w:jc w:val="both"/>
        <w:rPr>
          <w:sz w:val="22"/>
          <w:szCs w:val="22"/>
        </w:rPr>
      </w:pPr>
    </w:p>
    <w:p w14:paraId="1CB6CC35" w14:textId="0FF79AAD" w:rsidR="002B272B" w:rsidRDefault="002B272B" w:rsidP="002B272B">
      <w:pPr>
        <w:jc w:val="both"/>
        <w:rPr>
          <w:sz w:val="22"/>
          <w:szCs w:val="22"/>
        </w:rPr>
      </w:pPr>
      <w:r w:rsidRPr="002B272B">
        <w:rPr>
          <w:sz w:val="22"/>
          <w:szCs w:val="22"/>
        </w:rPr>
        <w:t>By collaborating and aligning their efforts the five ICCWC organisations offer a comprehensive approach along the entire wildlife crime supply chain, drawing on a unique combined pool of in-house technical expertise as well as extensive expert networks.  This allows the five organisations’ combined experience, technical capacity, secure communication channels, databases and field networks to be effec</w:t>
      </w:r>
      <w:r>
        <w:rPr>
          <w:sz w:val="22"/>
          <w:szCs w:val="22"/>
        </w:rPr>
        <w:t>tively drawn together to maximiz</w:t>
      </w:r>
      <w:r w:rsidRPr="002B272B">
        <w:rPr>
          <w:sz w:val="22"/>
          <w:szCs w:val="22"/>
        </w:rPr>
        <w:t>e impact on the ground.</w:t>
      </w:r>
    </w:p>
    <w:p w14:paraId="1D491FA1" w14:textId="77777777" w:rsidR="00CB7A0D" w:rsidRDefault="00CB7A0D" w:rsidP="002B272B">
      <w:pPr>
        <w:jc w:val="both"/>
        <w:rPr>
          <w:sz w:val="22"/>
          <w:szCs w:val="22"/>
        </w:rPr>
      </w:pPr>
    </w:p>
    <w:p w14:paraId="42DBD54D" w14:textId="4B98CABD" w:rsidR="00EA3356" w:rsidRDefault="00CB7A0D" w:rsidP="00EA3356">
      <w:r>
        <w:t>There is strong recognition of the need for increased international collaboration and coordination to combat illicit trafficking in wildlife, and of the important role of ICCWC. This is reflected in several global and regional declarations and statements, as well as by the governing bodies of ICCWC partner organizations.</w:t>
      </w:r>
      <w:r w:rsidR="00EA3356" w:rsidRPr="00EA3356">
        <w:t xml:space="preserve"> </w:t>
      </w:r>
      <w:r w:rsidR="00EA3356">
        <w:t xml:space="preserve">Recently, the 71st session of the United Nations General Assembly in September 2017, adopted a </w:t>
      </w:r>
      <w:r w:rsidR="00EA3356" w:rsidRPr="00EA3356">
        <w:rPr>
          <w:i/>
          <w:iCs/>
        </w:rPr>
        <w:t>Resolution on Tackling illicit trafficking in wildlife</w:t>
      </w:r>
      <w:r w:rsidR="00EA3356">
        <w:t>, which reinforces the focus on key areas in the fight against</w:t>
      </w:r>
    </w:p>
    <w:p w14:paraId="194F2B1F" w14:textId="489E2EEB" w:rsidR="00CB7A0D" w:rsidRDefault="00EA3356" w:rsidP="00EA3356">
      <w:pPr>
        <w:rPr>
          <w:sz w:val="22"/>
          <w:szCs w:val="22"/>
        </w:rPr>
      </w:pPr>
      <w:r>
        <w:t xml:space="preserve">illicit trafficking in wildlife, including enhanced national legislation, supporting sustainable livelihoods, stronger law enforcement, countering corruption, deploying information technologies and undertaking well targeted demand reduction efforts. The Resolution places strong emphasis on the role of CITES, the importance of implementing the Decisions and Resolutions adopted at </w:t>
      </w:r>
      <w:r w:rsidRPr="00EA3356">
        <w:t>the 17th meeting of the Conference of the Parties to CITES</w:t>
      </w:r>
      <w:r>
        <w:t xml:space="preserve"> (CoP17)</w:t>
      </w:r>
      <w:r w:rsidRPr="00EA3356">
        <w:t>, held in Johannesburg, South Africa in September 2016</w:t>
      </w:r>
      <w:r>
        <w:t>, and highlights the importance of the work of ICCWC.</w:t>
      </w:r>
    </w:p>
    <w:p w14:paraId="175879D0" w14:textId="77777777" w:rsidR="00FB45EF" w:rsidRDefault="00FB45EF" w:rsidP="00FB45EF">
      <w:pPr>
        <w:jc w:val="both"/>
        <w:rPr>
          <w:sz w:val="22"/>
          <w:szCs w:val="22"/>
        </w:rPr>
      </w:pPr>
    </w:p>
    <w:p w14:paraId="28F5959F" w14:textId="1663D3BF" w:rsidR="00FB45EF" w:rsidRPr="00FB45EF" w:rsidRDefault="00FB45EF" w:rsidP="00FB45EF">
      <w:pPr>
        <w:jc w:val="both"/>
        <w:rPr>
          <w:sz w:val="22"/>
          <w:szCs w:val="22"/>
        </w:rPr>
      </w:pPr>
      <w:r w:rsidRPr="00FB45EF">
        <w:rPr>
          <w:sz w:val="22"/>
          <w:szCs w:val="22"/>
        </w:rPr>
        <w:t>The five partner organisations created the ICCWC Strategic Programme 2016-2020</w:t>
      </w:r>
      <w:r>
        <w:rPr>
          <w:sz w:val="22"/>
          <w:szCs w:val="22"/>
        </w:rPr>
        <w:t xml:space="preserve"> (with further extension)</w:t>
      </w:r>
      <w:r w:rsidRPr="00FB45EF">
        <w:rPr>
          <w:sz w:val="22"/>
          <w:szCs w:val="22"/>
        </w:rPr>
        <w:t xml:space="preserve"> to bring together relevant work to tackle </w:t>
      </w:r>
      <w:r>
        <w:rPr>
          <w:sz w:val="22"/>
          <w:szCs w:val="22"/>
        </w:rPr>
        <w:t xml:space="preserve">WLFC by </w:t>
      </w:r>
      <w:r w:rsidRPr="00FB45EF">
        <w:rPr>
          <w:sz w:val="22"/>
          <w:szCs w:val="22"/>
        </w:rPr>
        <w:t>strengthen</w:t>
      </w:r>
      <w:r>
        <w:rPr>
          <w:sz w:val="22"/>
          <w:szCs w:val="22"/>
        </w:rPr>
        <w:t>ing</w:t>
      </w:r>
      <w:r w:rsidRPr="00FB45EF">
        <w:rPr>
          <w:sz w:val="22"/>
          <w:szCs w:val="22"/>
        </w:rPr>
        <w:t xml:space="preserve"> criminal justice systems and provid</w:t>
      </w:r>
      <w:r>
        <w:rPr>
          <w:sz w:val="22"/>
          <w:szCs w:val="22"/>
        </w:rPr>
        <w:t xml:space="preserve">ing </w:t>
      </w:r>
      <w:r w:rsidRPr="00FB45EF">
        <w:rPr>
          <w:sz w:val="22"/>
          <w:szCs w:val="22"/>
        </w:rPr>
        <w:t xml:space="preserve">coordinated support at national, regional and international level to combat </w:t>
      </w:r>
      <w:r>
        <w:rPr>
          <w:sz w:val="22"/>
          <w:szCs w:val="22"/>
        </w:rPr>
        <w:t>the</w:t>
      </w:r>
      <w:r w:rsidR="00D164A2">
        <w:rPr>
          <w:sz w:val="22"/>
          <w:szCs w:val="22"/>
        </w:rPr>
        <w:t>se</w:t>
      </w:r>
      <w:r>
        <w:rPr>
          <w:sz w:val="22"/>
          <w:szCs w:val="22"/>
        </w:rPr>
        <w:t xml:space="preserve"> crime</w:t>
      </w:r>
      <w:r w:rsidR="00D164A2">
        <w:rPr>
          <w:sz w:val="22"/>
          <w:szCs w:val="22"/>
        </w:rPr>
        <w:t>s</w:t>
      </w:r>
      <w:r>
        <w:rPr>
          <w:sz w:val="22"/>
          <w:szCs w:val="22"/>
        </w:rPr>
        <w:t xml:space="preserve">. </w:t>
      </w:r>
    </w:p>
    <w:p w14:paraId="300A6072" w14:textId="77777777" w:rsidR="002B272B" w:rsidRDefault="002B272B" w:rsidP="000A12CC">
      <w:pPr>
        <w:jc w:val="both"/>
        <w:rPr>
          <w:sz w:val="22"/>
          <w:szCs w:val="22"/>
        </w:rPr>
      </w:pPr>
    </w:p>
    <w:p w14:paraId="3D11C47B" w14:textId="3D3F66C6" w:rsidR="00FB45EF" w:rsidRPr="00FB45EF" w:rsidRDefault="00FB45EF" w:rsidP="00FB45EF">
      <w:pPr>
        <w:jc w:val="both"/>
        <w:rPr>
          <w:sz w:val="22"/>
          <w:szCs w:val="22"/>
          <w:lang w:val="en-GB"/>
        </w:rPr>
      </w:pPr>
      <w:r>
        <w:rPr>
          <w:sz w:val="22"/>
          <w:szCs w:val="22"/>
        </w:rPr>
        <w:t>This project forms</w:t>
      </w:r>
      <w:r w:rsidR="0023353B">
        <w:rPr>
          <w:sz w:val="22"/>
          <w:szCs w:val="22"/>
        </w:rPr>
        <w:t xml:space="preserve"> a</w:t>
      </w:r>
      <w:r>
        <w:rPr>
          <w:sz w:val="22"/>
          <w:szCs w:val="22"/>
        </w:rPr>
        <w:t xml:space="preserve"> part of the EU Action “</w:t>
      </w:r>
      <w:r w:rsidRPr="00FB45EF">
        <w:rPr>
          <w:sz w:val="22"/>
          <w:szCs w:val="22"/>
        </w:rPr>
        <w:t>Reinforcing security by combating wildlife and forest crime</w:t>
      </w:r>
      <w:r>
        <w:rPr>
          <w:sz w:val="22"/>
          <w:szCs w:val="22"/>
        </w:rPr>
        <w:t>”, which is a global programme covering a number of high priority strategic countries in Africa, Asia and Latin America affected by WLFC.</w:t>
      </w:r>
    </w:p>
    <w:p w14:paraId="324C71DA" w14:textId="76B1164D" w:rsidR="00FB45EF" w:rsidRPr="00FB45EF" w:rsidRDefault="00FB45EF" w:rsidP="00FB45EF">
      <w:pPr>
        <w:jc w:val="both"/>
        <w:rPr>
          <w:sz w:val="22"/>
          <w:szCs w:val="22"/>
          <w:lang w:val="en-GB"/>
        </w:rPr>
      </w:pPr>
    </w:p>
    <w:p w14:paraId="2E70E302" w14:textId="77777777" w:rsidR="00FB45EF" w:rsidRPr="00FB45EF" w:rsidRDefault="00FB45EF" w:rsidP="00FB45EF">
      <w:pPr>
        <w:pStyle w:val="Default"/>
        <w:jc w:val="both"/>
        <w:rPr>
          <w:sz w:val="22"/>
          <w:szCs w:val="22"/>
        </w:rPr>
      </w:pPr>
      <w:r w:rsidRPr="00FB45EF">
        <w:rPr>
          <w:sz w:val="22"/>
          <w:szCs w:val="22"/>
        </w:rPr>
        <w:t xml:space="preserve">The </w:t>
      </w:r>
      <w:r w:rsidRPr="00FB45EF">
        <w:rPr>
          <w:b/>
          <w:bCs/>
          <w:sz w:val="22"/>
          <w:szCs w:val="22"/>
        </w:rPr>
        <w:t>overall objective</w:t>
      </w:r>
      <w:r w:rsidRPr="00FB45EF">
        <w:rPr>
          <w:bCs/>
          <w:sz w:val="22"/>
          <w:szCs w:val="22"/>
        </w:rPr>
        <w:t xml:space="preserve"> of the project is </w:t>
      </w:r>
      <w:r w:rsidRPr="00FB45EF">
        <w:rPr>
          <w:sz w:val="22"/>
          <w:szCs w:val="22"/>
        </w:rPr>
        <w:t>to reinforce security in targeted countries, protect biodiversity in key ecosystems and improve livelihoods of local communities, where they are impacted by wildlife trafficking.</w:t>
      </w:r>
    </w:p>
    <w:p w14:paraId="3BC18849" w14:textId="77777777" w:rsidR="00FB45EF" w:rsidRPr="00FB45EF" w:rsidRDefault="00FB45EF" w:rsidP="00FB45EF">
      <w:pPr>
        <w:pStyle w:val="Default"/>
        <w:jc w:val="both"/>
        <w:rPr>
          <w:sz w:val="22"/>
          <w:szCs w:val="22"/>
        </w:rPr>
      </w:pPr>
    </w:p>
    <w:p w14:paraId="0A963A14" w14:textId="16DC88BB" w:rsidR="00FB45EF" w:rsidRPr="00FB45EF" w:rsidRDefault="00FB45EF" w:rsidP="00CE255A">
      <w:pPr>
        <w:pStyle w:val="Default"/>
        <w:jc w:val="both"/>
        <w:rPr>
          <w:sz w:val="22"/>
          <w:szCs w:val="22"/>
        </w:rPr>
      </w:pPr>
      <w:r w:rsidRPr="00FB45EF">
        <w:rPr>
          <w:sz w:val="22"/>
          <w:szCs w:val="22"/>
        </w:rPr>
        <w:lastRenderedPageBreak/>
        <w:t xml:space="preserve">The </w:t>
      </w:r>
      <w:r w:rsidRPr="00FB45EF">
        <w:rPr>
          <w:b/>
          <w:sz w:val="22"/>
          <w:szCs w:val="22"/>
        </w:rPr>
        <w:t>specific objective</w:t>
      </w:r>
      <w:r w:rsidRPr="00FB45EF">
        <w:rPr>
          <w:sz w:val="22"/>
          <w:szCs w:val="22"/>
        </w:rPr>
        <w:t xml:space="preserve"> </w:t>
      </w:r>
      <w:r w:rsidR="00CE255A">
        <w:rPr>
          <w:sz w:val="22"/>
          <w:szCs w:val="22"/>
        </w:rPr>
        <w:t xml:space="preserve">of the project </w:t>
      </w:r>
      <w:r w:rsidRPr="00FB45EF">
        <w:rPr>
          <w:sz w:val="22"/>
          <w:szCs w:val="22"/>
        </w:rPr>
        <w:t xml:space="preserve">is to reduce wildlife and forest crime in and between </w:t>
      </w:r>
      <w:r>
        <w:rPr>
          <w:sz w:val="22"/>
          <w:szCs w:val="22"/>
        </w:rPr>
        <w:t>a series of strategic countries</w:t>
      </w:r>
      <w:r w:rsidR="00CE255A">
        <w:rPr>
          <w:sz w:val="22"/>
          <w:szCs w:val="22"/>
        </w:rPr>
        <w:t xml:space="preserve"> </w:t>
      </w:r>
      <w:r w:rsidR="00CE255A" w:rsidRPr="00FB45EF">
        <w:rPr>
          <w:sz w:val="22"/>
          <w:szCs w:val="22"/>
        </w:rPr>
        <w:t>by building the</w:t>
      </w:r>
      <w:r w:rsidR="00CE255A">
        <w:rPr>
          <w:sz w:val="22"/>
          <w:szCs w:val="22"/>
        </w:rPr>
        <w:t>ir</w:t>
      </w:r>
      <w:r w:rsidR="00CE255A" w:rsidRPr="00FB45EF">
        <w:rPr>
          <w:sz w:val="22"/>
          <w:szCs w:val="22"/>
        </w:rPr>
        <w:t xml:space="preserve"> capacity and establishing </w:t>
      </w:r>
      <w:r w:rsidR="00CE255A">
        <w:rPr>
          <w:sz w:val="22"/>
          <w:szCs w:val="22"/>
        </w:rPr>
        <w:t xml:space="preserve">effective partnerships between all relevant </w:t>
      </w:r>
      <w:r w:rsidR="00CE255A" w:rsidRPr="00FB45EF">
        <w:rPr>
          <w:sz w:val="22"/>
          <w:szCs w:val="22"/>
        </w:rPr>
        <w:t>stakeholders.</w:t>
      </w:r>
    </w:p>
    <w:p w14:paraId="02B173F3" w14:textId="77777777" w:rsidR="00FB45EF" w:rsidRPr="00FB45EF" w:rsidRDefault="00FB45EF" w:rsidP="00FB45EF">
      <w:pPr>
        <w:jc w:val="both"/>
        <w:rPr>
          <w:sz w:val="22"/>
          <w:szCs w:val="22"/>
          <w:lang w:val="en-GB"/>
        </w:rPr>
      </w:pPr>
    </w:p>
    <w:p w14:paraId="5B3BB1BD" w14:textId="0EBF0554" w:rsidR="00FB45EF" w:rsidRDefault="00D164A2" w:rsidP="00FB45EF">
      <w:pPr>
        <w:jc w:val="both"/>
        <w:rPr>
          <w:sz w:val="22"/>
          <w:szCs w:val="22"/>
        </w:rPr>
      </w:pPr>
      <w:r>
        <w:rPr>
          <w:sz w:val="22"/>
          <w:szCs w:val="22"/>
        </w:rPr>
        <w:t xml:space="preserve">The </w:t>
      </w:r>
      <w:r w:rsidR="0023353B">
        <w:rPr>
          <w:sz w:val="22"/>
          <w:szCs w:val="22"/>
        </w:rPr>
        <w:t>ICCWC</w:t>
      </w:r>
      <w:r w:rsidR="00FB45EF">
        <w:rPr>
          <w:sz w:val="22"/>
          <w:szCs w:val="22"/>
        </w:rPr>
        <w:t xml:space="preserve"> proposal addresses </w:t>
      </w:r>
      <w:r w:rsidR="00FB45EF" w:rsidRPr="000B2B32">
        <w:rPr>
          <w:sz w:val="22"/>
          <w:szCs w:val="22"/>
        </w:rPr>
        <w:t>Result 1</w:t>
      </w:r>
      <w:r w:rsidR="00FB45EF">
        <w:rPr>
          <w:sz w:val="22"/>
          <w:szCs w:val="22"/>
        </w:rPr>
        <w:t xml:space="preserve"> of the Action: </w:t>
      </w:r>
    </w:p>
    <w:p w14:paraId="3C83CE41" w14:textId="77777777" w:rsidR="00FB45EF" w:rsidRPr="00D231F8" w:rsidRDefault="00FB45EF" w:rsidP="00FB45EF">
      <w:pPr>
        <w:jc w:val="both"/>
        <w:rPr>
          <w:rFonts w:asciiTheme="majorBidi" w:hAnsiTheme="majorBidi" w:cstheme="majorBidi"/>
          <w:sz w:val="22"/>
          <w:szCs w:val="22"/>
        </w:rPr>
      </w:pPr>
    </w:p>
    <w:p w14:paraId="6E83810D" w14:textId="6347CF59" w:rsidR="00FB45EF" w:rsidRPr="00D231F8" w:rsidRDefault="00FB45EF" w:rsidP="00A33871">
      <w:pPr>
        <w:pStyle w:val="ListParagraph"/>
        <w:numPr>
          <w:ilvl w:val="0"/>
          <w:numId w:val="33"/>
        </w:numPr>
        <w:jc w:val="both"/>
        <w:rPr>
          <w:rFonts w:asciiTheme="majorBidi" w:hAnsiTheme="majorBidi" w:cstheme="majorBidi"/>
          <w:b/>
          <w:bCs/>
          <w:lang w:val="en-GB"/>
        </w:rPr>
      </w:pPr>
      <w:r w:rsidRPr="00D231F8">
        <w:rPr>
          <w:rFonts w:asciiTheme="majorBidi" w:hAnsiTheme="majorBidi" w:cstheme="majorBidi"/>
          <w:b/>
          <w:bCs/>
        </w:rPr>
        <w:t>Wildlife and forest law enforcement in targeted countries and international coordination improved</w:t>
      </w:r>
      <w:r w:rsidRPr="00D231F8">
        <w:rPr>
          <w:rFonts w:asciiTheme="majorBidi" w:hAnsiTheme="majorBidi" w:cstheme="majorBidi"/>
        </w:rPr>
        <w:t xml:space="preserve">. </w:t>
      </w:r>
    </w:p>
    <w:p w14:paraId="12AEB821" w14:textId="35EEE35E" w:rsidR="000A12CC" w:rsidRPr="000B2B32" w:rsidRDefault="000B2B32" w:rsidP="000B2B32">
      <w:pPr>
        <w:jc w:val="both"/>
        <w:rPr>
          <w:sz w:val="22"/>
          <w:szCs w:val="22"/>
        </w:rPr>
      </w:pPr>
      <w:r w:rsidRPr="000B2B32">
        <w:rPr>
          <w:sz w:val="22"/>
          <w:szCs w:val="22"/>
        </w:rPr>
        <w:t>The project builds on previous and ongoing initiatives implemented by ICCWC in Africa, Asia and Latin America with the backing of the European Commission and other donors, where ICCWC has supported capacity building on preventive, investigative, and prosecutorial measures against WLFC and developed a number of relevant tools. The project targets ICCWC priority activities for support in selected countries in line with ICCWC Strategic Programme for 2016-2020.</w:t>
      </w:r>
    </w:p>
    <w:p w14:paraId="5F828DF0" w14:textId="77777777" w:rsidR="000B2B32" w:rsidRDefault="000B2B32" w:rsidP="000A12CC">
      <w:pPr>
        <w:jc w:val="both"/>
        <w:rPr>
          <w:sz w:val="22"/>
          <w:szCs w:val="22"/>
        </w:rPr>
      </w:pPr>
    </w:p>
    <w:p w14:paraId="4DBEDA9A" w14:textId="76C3742D" w:rsidR="000A12CC" w:rsidRPr="00CB6CE6" w:rsidRDefault="000A12CC" w:rsidP="00D164A2">
      <w:pPr>
        <w:jc w:val="both"/>
        <w:rPr>
          <w:sz w:val="22"/>
          <w:szCs w:val="22"/>
        </w:rPr>
      </w:pPr>
      <w:r w:rsidRPr="00CB6CE6">
        <w:rPr>
          <w:sz w:val="22"/>
          <w:szCs w:val="22"/>
        </w:rPr>
        <w:t>The budget outline is set at €</w:t>
      </w:r>
      <w:r w:rsidR="000B2B32">
        <w:rPr>
          <w:sz w:val="22"/>
          <w:szCs w:val="22"/>
        </w:rPr>
        <w:t>13,500,000</w:t>
      </w:r>
      <w:r w:rsidRPr="00CB6CE6">
        <w:rPr>
          <w:sz w:val="22"/>
          <w:szCs w:val="22"/>
        </w:rPr>
        <w:t xml:space="preserve"> for the </w:t>
      </w:r>
      <w:r w:rsidR="00D04131">
        <w:rPr>
          <w:sz w:val="22"/>
          <w:szCs w:val="22"/>
        </w:rPr>
        <w:t>48</w:t>
      </w:r>
      <w:r w:rsidRPr="00CB6CE6">
        <w:rPr>
          <w:sz w:val="22"/>
          <w:szCs w:val="22"/>
        </w:rPr>
        <w:t xml:space="preserve"> month</w:t>
      </w:r>
      <w:r w:rsidR="000B2B32">
        <w:rPr>
          <w:sz w:val="22"/>
          <w:szCs w:val="22"/>
        </w:rPr>
        <w:t>s’</w:t>
      </w:r>
      <w:r w:rsidRPr="00CB6CE6">
        <w:rPr>
          <w:sz w:val="22"/>
          <w:szCs w:val="22"/>
        </w:rPr>
        <w:t xml:space="preserve"> implementation period, availed by the European Union </w:t>
      </w:r>
      <w:r w:rsidR="00D164A2">
        <w:rPr>
          <w:sz w:val="22"/>
          <w:szCs w:val="22"/>
        </w:rPr>
        <w:t>and</w:t>
      </w:r>
      <w:r w:rsidRPr="00CB6CE6">
        <w:rPr>
          <w:sz w:val="22"/>
          <w:szCs w:val="22"/>
        </w:rPr>
        <w:t xml:space="preserve"> </w:t>
      </w:r>
      <w:r w:rsidR="00E96645" w:rsidRPr="00E96645">
        <w:rPr>
          <w:sz w:val="22"/>
          <w:szCs w:val="22"/>
        </w:rPr>
        <w:t xml:space="preserve">financed under </w:t>
      </w:r>
      <w:r w:rsidR="00E96645">
        <w:rPr>
          <w:sz w:val="22"/>
          <w:szCs w:val="22"/>
        </w:rPr>
        <w:t xml:space="preserve">the </w:t>
      </w:r>
      <w:r w:rsidR="00E96645" w:rsidRPr="00E96645">
        <w:rPr>
          <w:sz w:val="22"/>
          <w:szCs w:val="22"/>
        </w:rPr>
        <w:t>Development Cooperation Instrument</w:t>
      </w:r>
      <w:r w:rsidR="00E96645">
        <w:rPr>
          <w:sz w:val="22"/>
          <w:szCs w:val="22"/>
        </w:rPr>
        <w:t xml:space="preserve"> in the sector of e</w:t>
      </w:r>
      <w:r w:rsidR="00E96645" w:rsidRPr="00E96645">
        <w:rPr>
          <w:sz w:val="22"/>
          <w:szCs w:val="22"/>
        </w:rPr>
        <w:t>nvironment and climate change</w:t>
      </w:r>
      <w:r w:rsidRPr="00CB6CE6">
        <w:rPr>
          <w:sz w:val="22"/>
          <w:szCs w:val="22"/>
        </w:rPr>
        <w:t>.</w:t>
      </w:r>
    </w:p>
    <w:p w14:paraId="7DAC693D" w14:textId="77777777" w:rsidR="00CB6CE6" w:rsidRPr="00CB6CE6" w:rsidRDefault="00CB6CE6" w:rsidP="000A12CC">
      <w:pPr>
        <w:jc w:val="both"/>
        <w:rPr>
          <w:sz w:val="22"/>
          <w:szCs w:val="22"/>
        </w:rPr>
      </w:pPr>
    </w:p>
    <w:p w14:paraId="5A4E51E7" w14:textId="4C07B29B" w:rsidR="00CB6CE6" w:rsidRPr="00CB6CE6" w:rsidRDefault="00CB6CE6" w:rsidP="00A72E78">
      <w:pPr>
        <w:jc w:val="both"/>
        <w:rPr>
          <w:sz w:val="22"/>
          <w:szCs w:val="22"/>
        </w:rPr>
      </w:pPr>
      <w:r w:rsidRPr="00CB6CE6">
        <w:rPr>
          <w:sz w:val="22"/>
          <w:szCs w:val="22"/>
        </w:rPr>
        <w:t xml:space="preserve">The </w:t>
      </w:r>
      <w:r w:rsidR="00D04131">
        <w:rPr>
          <w:sz w:val="22"/>
          <w:szCs w:val="22"/>
        </w:rPr>
        <w:t>project</w:t>
      </w:r>
      <w:r w:rsidRPr="00CB6CE6">
        <w:rPr>
          <w:sz w:val="22"/>
          <w:szCs w:val="22"/>
        </w:rPr>
        <w:t xml:space="preserve"> will be implemented under the provisions applicable to Delegation Agreements in accordance with the</w:t>
      </w:r>
      <w:r w:rsidR="00E96645">
        <w:rPr>
          <w:sz w:val="22"/>
          <w:szCs w:val="22"/>
        </w:rPr>
        <w:t xml:space="preserve"> European</w:t>
      </w:r>
      <w:r w:rsidRPr="00CB6CE6">
        <w:rPr>
          <w:sz w:val="22"/>
          <w:szCs w:val="22"/>
        </w:rPr>
        <w:t xml:space="preserve"> Commission under PAGoDA 2. UNODC</w:t>
      </w:r>
      <w:r w:rsidR="00AA5E3A">
        <w:rPr>
          <w:sz w:val="22"/>
          <w:szCs w:val="22"/>
        </w:rPr>
        <w:t xml:space="preserve"> and INTERPOL</w:t>
      </w:r>
      <w:r w:rsidRPr="00CB6CE6">
        <w:rPr>
          <w:sz w:val="22"/>
          <w:szCs w:val="22"/>
        </w:rPr>
        <w:t xml:space="preserve"> will have the overall coordination responsibility to ensure coordination </w:t>
      </w:r>
      <w:r w:rsidR="00AA5E3A">
        <w:rPr>
          <w:sz w:val="22"/>
          <w:szCs w:val="22"/>
        </w:rPr>
        <w:t xml:space="preserve">and implementation of activities by all 5 ICCWC partner organizations. The </w:t>
      </w:r>
      <w:r w:rsidR="00A72E78">
        <w:rPr>
          <w:sz w:val="22"/>
          <w:szCs w:val="22"/>
        </w:rPr>
        <w:t xml:space="preserve">project </w:t>
      </w:r>
      <w:r w:rsidR="00AA5E3A">
        <w:rPr>
          <w:sz w:val="22"/>
          <w:szCs w:val="22"/>
        </w:rPr>
        <w:t>will be co-financed by ICCWC</w:t>
      </w:r>
      <w:r w:rsidR="00720133">
        <w:rPr>
          <w:sz w:val="22"/>
          <w:szCs w:val="22"/>
        </w:rPr>
        <w:t xml:space="preserve"> (third party)</w:t>
      </w:r>
      <w:r w:rsidR="00AA5E3A">
        <w:rPr>
          <w:sz w:val="22"/>
          <w:szCs w:val="22"/>
        </w:rPr>
        <w:t xml:space="preserve"> for an indicative amount of </w:t>
      </w:r>
      <w:r w:rsidR="002D0CA4" w:rsidRPr="00CB6CE6">
        <w:rPr>
          <w:sz w:val="22"/>
          <w:szCs w:val="22"/>
        </w:rPr>
        <w:t>€</w:t>
      </w:r>
      <w:r w:rsidR="00720133">
        <w:rPr>
          <w:sz w:val="22"/>
          <w:szCs w:val="22"/>
        </w:rPr>
        <w:t>2</w:t>
      </w:r>
      <w:r w:rsidR="002D0CA4">
        <w:rPr>
          <w:sz w:val="22"/>
          <w:szCs w:val="22"/>
        </w:rPr>
        <w:t>,</w:t>
      </w:r>
      <w:r w:rsidR="00720133">
        <w:rPr>
          <w:sz w:val="22"/>
          <w:szCs w:val="22"/>
        </w:rPr>
        <w:t>0</w:t>
      </w:r>
      <w:r w:rsidR="002D0CA4">
        <w:rPr>
          <w:sz w:val="22"/>
          <w:szCs w:val="22"/>
        </w:rPr>
        <w:t>00,000</w:t>
      </w:r>
      <w:r w:rsidR="00456325">
        <w:rPr>
          <w:sz w:val="22"/>
          <w:szCs w:val="22"/>
        </w:rPr>
        <w:t xml:space="preserve"> (tbc)</w:t>
      </w:r>
      <w:r w:rsidR="002D0CA4">
        <w:rPr>
          <w:sz w:val="22"/>
          <w:szCs w:val="22"/>
        </w:rPr>
        <w:t>.</w:t>
      </w:r>
    </w:p>
    <w:p w14:paraId="76CC1176" w14:textId="5022525C" w:rsidR="00D20349" w:rsidRPr="006854F1" w:rsidRDefault="001D6B98" w:rsidP="0057618C">
      <w:pPr>
        <w:pStyle w:val="Heading3"/>
        <w:numPr>
          <w:ilvl w:val="0"/>
          <w:numId w:val="28"/>
        </w:numPr>
      </w:pPr>
      <w:bookmarkStart w:id="3" w:name="_Toc497992273"/>
      <w:r>
        <w:t xml:space="preserve">Project </w:t>
      </w:r>
      <w:r w:rsidR="008E3A79">
        <w:t>Rationale</w:t>
      </w:r>
      <w:bookmarkEnd w:id="3"/>
    </w:p>
    <w:p w14:paraId="33894B4A" w14:textId="24CE25A0" w:rsidR="001B5683" w:rsidRPr="006854F1" w:rsidRDefault="001B5683" w:rsidP="00503D41">
      <w:pPr>
        <w:pStyle w:val="Heading3"/>
      </w:pPr>
      <w:bookmarkStart w:id="4" w:name="_Toc497992274"/>
      <w:r w:rsidRPr="006854F1">
        <w:t>Background</w:t>
      </w:r>
      <w:bookmarkEnd w:id="4"/>
    </w:p>
    <w:p w14:paraId="138643EB" w14:textId="77777777" w:rsidR="008868B1" w:rsidRPr="006854F1" w:rsidRDefault="008868B1" w:rsidP="008868B1">
      <w:pPr>
        <w:rPr>
          <w:lang w:eastAsia="en-US"/>
        </w:rPr>
      </w:pPr>
    </w:p>
    <w:p w14:paraId="1AF5BC79" w14:textId="786543EA" w:rsidR="006F0E70" w:rsidRPr="006F0E70" w:rsidRDefault="006F0E70" w:rsidP="00D164A2">
      <w:pPr>
        <w:jc w:val="both"/>
        <w:rPr>
          <w:sz w:val="22"/>
          <w:szCs w:val="22"/>
        </w:rPr>
      </w:pPr>
      <w:r w:rsidRPr="006F0E70">
        <w:rPr>
          <w:sz w:val="22"/>
          <w:szCs w:val="22"/>
        </w:rPr>
        <w:t>Wildlife and forest crime has become a serious threat to the security, political stability, economy, natural resources and cultural heritage of many countries and regions. Criminal activities threaten the survival of some of the world’s most charismatic species, including elephants, rhinos and tigers, as well as many lesser-known species, such as pangolin</w:t>
      </w:r>
      <w:r w:rsidR="00D164A2">
        <w:rPr>
          <w:sz w:val="22"/>
          <w:szCs w:val="22"/>
        </w:rPr>
        <w:t xml:space="preserve"> and</w:t>
      </w:r>
      <w:r w:rsidRPr="006F0E70">
        <w:rPr>
          <w:sz w:val="22"/>
          <w:szCs w:val="22"/>
        </w:rPr>
        <w:t xml:space="preserve"> Madagas</w:t>
      </w:r>
      <w:r>
        <w:rPr>
          <w:sz w:val="22"/>
          <w:szCs w:val="22"/>
        </w:rPr>
        <w:t>can rosewood, to name a few</w:t>
      </w:r>
      <w:r w:rsidRPr="006F0E70">
        <w:rPr>
          <w:sz w:val="22"/>
          <w:szCs w:val="22"/>
        </w:rPr>
        <w:t>. Wildlife poaching and trafficking can destroy the natural resources on which national economies and livelihoods depend, and undermine efforts to eliminate poverty and develop sustainable economic opportunities for rural communities. The increasing involvement of organised criminal networks, and at times rebel militia, exacerbated by widespread corruption and regional insecurity, conspire to undermine the application of the rule of law.</w:t>
      </w:r>
    </w:p>
    <w:p w14:paraId="604C2973" w14:textId="77777777" w:rsidR="006F0E70" w:rsidRPr="006F0E70" w:rsidRDefault="006F0E70" w:rsidP="006F0E70">
      <w:pPr>
        <w:jc w:val="both"/>
        <w:rPr>
          <w:sz w:val="22"/>
          <w:szCs w:val="22"/>
        </w:rPr>
      </w:pPr>
      <w:r w:rsidRPr="006F0E70">
        <w:rPr>
          <w:sz w:val="22"/>
          <w:szCs w:val="22"/>
        </w:rPr>
        <w:t xml:space="preserve"> </w:t>
      </w:r>
    </w:p>
    <w:p w14:paraId="64DF0328" w14:textId="3CA20199" w:rsidR="006F0E70" w:rsidRDefault="006F0E70" w:rsidP="00B979B4">
      <w:pPr>
        <w:rPr>
          <w:sz w:val="22"/>
          <w:szCs w:val="22"/>
        </w:rPr>
      </w:pPr>
      <w:r w:rsidRPr="006F0E70">
        <w:rPr>
          <w:sz w:val="22"/>
          <w:szCs w:val="22"/>
        </w:rPr>
        <w:t xml:space="preserve">Wildlife populations have declined by 58% since 1970. </w:t>
      </w:r>
      <w:r w:rsidR="004D1308" w:rsidRPr="004D1308">
        <w:rPr>
          <w:sz w:val="22"/>
          <w:szCs w:val="22"/>
        </w:rPr>
        <w:t xml:space="preserve">In 2016, 37 African elephant range States are thought to hold 415,428 elephants, with an additional 117,127 to 135,384 elephants in areas not systematically surveyed. This is estimated to represent a decline of some 111,000 elephants over ten years. Poaching losses are still being reported across the continent. </w:t>
      </w:r>
      <w:r w:rsidR="004D1308">
        <w:rPr>
          <w:sz w:val="22"/>
          <w:szCs w:val="22"/>
        </w:rPr>
        <w:t xml:space="preserve"> T</w:t>
      </w:r>
      <w:r w:rsidRPr="006F0E70">
        <w:rPr>
          <w:sz w:val="22"/>
          <w:szCs w:val="22"/>
        </w:rPr>
        <w:t>he UNODC’s World Wildlife Crime Report</w:t>
      </w:r>
      <w:r w:rsidR="00D164A2">
        <w:rPr>
          <w:sz w:val="22"/>
          <w:szCs w:val="22"/>
        </w:rPr>
        <w:t>, a</w:t>
      </w:r>
      <w:r w:rsidRPr="006F0E70">
        <w:rPr>
          <w:sz w:val="22"/>
          <w:szCs w:val="22"/>
        </w:rPr>
        <w:t>n estimate</w:t>
      </w:r>
      <w:r w:rsidR="004D1308">
        <w:rPr>
          <w:sz w:val="22"/>
          <w:szCs w:val="22"/>
        </w:rPr>
        <w:t xml:space="preserve"> that</w:t>
      </w:r>
      <w:r w:rsidRPr="006F0E70">
        <w:rPr>
          <w:sz w:val="22"/>
          <w:szCs w:val="22"/>
        </w:rPr>
        <w:t xml:space="preserve"> 35,000 are slaughtered each year for their ivory</w:t>
      </w:r>
      <w:r w:rsidR="00D164A2">
        <w:rPr>
          <w:sz w:val="22"/>
          <w:szCs w:val="22"/>
        </w:rPr>
        <w:t>. T</w:t>
      </w:r>
      <w:r w:rsidRPr="006F0E70">
        <w:rPr>
          <w:sz w:val="22"/>
          <w:szCs w:val="22"/>
        </w:rPr>
        <w:t xml:space="preserve">he IUCN’s latest African Elephant Status Report , based on official data from countries and CITES, shows that African elephant populations plummeted by at least 30% between 2007 and 2014.  Habitat loss also poses a serious, long-term threat. Leopards face a growing threat, with their conservation status having declined to “vulnerable” in the 2016 IUCN Red List of Threatened Species.  The leopard is now extinct in 23 of its original 85 range countries in Africa and Asia.  All eight species of pangolins could face extinction as the world’s most trafficked mammal.  </w:t>
      </w:r>
      <w:r w:rsidR="00B979B4" w:rsidRPr="00B979B4">
        <w:rPr>
          <w:sz w:val="22"/>
          <w:szCs w:val="22"/>
        </w:rPr>
        <w:t xml:space="preserve">As a result of strong conservation measures across range States, most notably in South Africa, there were over a period of several decades significant increases in the populations of the white and black rhinoceros. These measures are however being undermined by ongoing rhinoceros poaching and illicit rhinoceros horn trafficking. </w:t>
      </w:r>
      <w:r w:rsidRPr="006F0E70">
        <w:rPr>
          <w:sz w:val="22"/>
          <w:szCs w:val="22"/>
        </w:rPr>
        <w:t xml:space="preserve">The number of black rhino, a critically endangered species, has fallen from 100,000 in 1960 to just 5,000 in 2016.  </w:t>
      </w:r>
      <w:r w:rsidR="004D1308">
        <w:t xml:space="preserve">Statistics released by the </w:t>
      </w:r>
      <w:r w:rsidR="004D1308" w:rsidRPr="004D1308">
        <w:rPr>
          <w:sz w:val="22"/>
          <w:szCs w:val="22"/>
        </w:rPr>
        <w:t>African Rhino Specialist Group (AfRSG) of the International Union for Conservation</w:t>
      </w:r>
      <w:r w:rsidR="004D1308">
        <w:rPr>
          <w:sz w:val="22"/>
          <w:szCs w:val="22"/>
        </w:rPr>
        <w:t xml:space="preserve"> </w:t>
      </w:r>
      <w:r w:rsidR="004D1308" w:rsidRPr="004D1308">
        <w:rPr>
          <w:sz w:val="22"/>
          <w:szCs w:val="22"/>
        </w:rPr>
        <w:t>of Nature's (IUCN) Species Survival Commission</w:t>
      </w:r>
      <w:r w:rsidR="004D1308">
        <w:rPr>
          <w:sz w:val="22"/>
          <w:szCs w:val="22"/>
        </w:rPr>
        <w:t xml:space="preserve"> in 2016</w:t>
      </w:r>
      <w:r w:rsidR="004D1308" w:rsidRPr="004D1308">
        <w:rPr>
          <w:sz w:val="22"/>
          <w:szCs w:val="22"/>
        </w:rPr>
        <w:t xml:space="preserve">, </w:t>
      </w:r>
      <w:r w:rsidR="004D1308">
        <w:rPr>
          <w:sz w:val="22"/>
          <w:szCs w:val="22"/>
        </w:rPr>
        <w:t xml:space="preserve">shows that </w:t>
      </w:r>
      <w:r w:rsidR="004D1308" w:rsidRPr="004D1308">
        <w:rPr>
          <w:sz w:val="22"/>
          <w:szCs w:val="22"/>
        </w:rPr>
        <w:t>the number of African rhinoceroses killed by poachers</w:t>
      </w:r>
      <w:r w:rsidR="004D1308">
        <w:rPr>
          <w:sz w:val="22"/>
          <w:szCs w:val="22"/>
        </w:rPr>
        <w:t xml:space="preserve"> </w:t>
      </w:r>
      <w:r w:rsidR="004D1308" w:rsidRPr="004D1308">
        <w:rPr>
          <w:sz w:val="22"/>
          <w:szCs w:val="22"/>
        </w:rPr>
        <w:t>has increased for the sixth year in a row, with at least 1,3</w:t>
      </w:r>
      <w:r w:rsidR="004D1308">
        <w:rPr>
          <w:sz w:val="22"/>
          <w:szCs w:val="22"/>
        </w:rPr>
        <w:t>42</w:t>
      </w:r>
      <w:r w:rsidR="004D1308" w:rsidRPr="004D1308">
        <w:rPr>
          <w:sz w:val="22"/>
          <w:szCs w:val="22"/>
        </w:rPr>
        <w:t xml:space="preserve"> rhinoceroses killed by poachers across Africa</w:t>
      </w:r>
      <w:r w:rsidR="004D1308">
        <w:rPr>
          <w:sz w:val="22"/>
          <w:szCs w:val="22"/>
        </w:rPr>
        <w:t xml:space="preserve"> </w:t>
      </w:r>
      <w:r w:rsidR="004D1308" w:rsidRPr="004D1308">
        <w:rPr>
          <w:sz w:val="22"/>
          <w:szCs w:val="22"/>
        </w:rPr>
        <w:t>in 2015.</w:t>
      </w:r>
    </w:p>
    <w:p w14:paraId="52B8E96D" w14:textId="77777777" w:rsidR="007875AE" w:rsidRDefault="007875AE" w:rsidP="00B979B4">
      <w:pPr>
        <w:rPr>
          <w:sz w:val="22"/>
          <w:szCs w:val="22"/>
        </w:rPr>
      </w:pPr>
    </w:p>
    <w:p w14:paraId="1ADFCBAC" w14:textId="6CE56CD5" w:rsidR="007875AE" w:rsidRDefault="007875AE" w:rsidP="007875AE">
      <w:pPr>
        <w:rPr>
          <w:sz w:val="22"/>
          <w:szCs w:val="22"/>
        </w:rPr>
      </w:pPr>
      <w:r w:rsidRPr="00CB7A0D">
        <w:rPr>
          <w:sz w:val="22"/>
          <w:szCs w:val="22"/>
        </w:rPr>
        <w:t>Decisive steps to combat illegal trade in wildlife</w:t>
      </w:r>
      <w:r>
        <w:rPr>
          <w:sz w:val="22"/>
          <w:szCs w:val="22"/>
        </w:rPr>
        <w:t xml:space="preserve"> were agreed in the Decisions and Resolutions adopted CITES member States at CoP17. The implementation of these </w:t>
      </w:r>
      <w:r w:rsidRPr="009F488B">
        <w:rPr>
          <w:sz w:val="22"/>
          <w:szCs w:val="22"/>
        </w:rPr>
        <w:t>Decisions and Resolutions</w:t>
      </w:r>
      <w:r>
        <w:rPr>
          <w:sz w:val="22"/>
          <w:szCs w:val="22"/>
        </w:rPr>
        <w:t xml:space="preserve">, a number of which directed to ICCWC and pursued under the </w:t>
      </w:r>
      <w:r w:rsidRPr="009F488B">
        <w:rPr>
          <w:sz w:val="22"/>
          <w:szCs w:val="22"/>
        </w:rPr>
        <w:t>ICCWC Strategic Programme 2016-2020</w:t>
      </w:r>
      <w:r>
        <w:rPr>
          <w:sz w:val="22"/>
          <w:szCs w:val="22"/>
        </w:rPr>
        <w:t xml:space="preserve">, </w:t>
      </w:r>
      <w:r w:rsidRPr="009F488B">
        <w:rPr>
          <w:sz w:val="22"/>
          <w:szCs w:val="22"/>
        </w:rPr>
        <w:t>could contribute</w:t>
      </w:r>
      <w:r>
        <w:rPr>
          <w:sz w:val="22"/>
          <w:szCs w:val="22"/>
        </w:rPr>
        <w:t xml:space="preserve"> </w:t>
      </w:r>
      <w:r w:rsidRPr="009F488B">
        <w:rPr>
          <w:sz w:val="22"/>
          <w:szCs w:val="22"/>
        </w:rPr>
        <w:t>significantly to the fight against poaching and illegal trade.</w:t>
      </w:r>
    </w:p>
    <w:p w14:paraId="61A174BE" w14:textId="68DAAAB6" w:rsidR="00EC6DC7" w:rsidRDefault="00EC6DC7" w:rsidP="006F0E70">
      <w:pPr>
        <w:jc w:val="both"/>
        <w:rPr>
          <w:sz w:val="22"/>
          <w:szCs w:val="22"/>
        </w:rPr>
      </w:pPr>
    </w:p>
    <w:p w14:paraId="15133AC5" w14:textId="388D0903" w:rsidR="00EA3356" w:rsidRDefault="00EC6DC7" w:rsidP="007875AE">
      <w:pPr>
        <w:jc w:val="both"/>
        <w:rPr>
          <w:sz w:val="22"/>
          <w:szCs w:val="22"/>
        </w:rPr>
      </w:pPr>
      <w:r w:rsidRPr="00EC6DC7">
        <w:rPr>
          <w:sz w:val="22"/>
          <w:szCs w:val="22"/>
        </w:rPr>
        <w:t xml:space="preserve">Multiple points of failure in national criminal justice responses to </w:t>
      </w:r>
      <w:r w:rsidR="006F4ADE">
        <w:rPr>
          <w:sz w:val="22"/>
          <w:szCs w:val="22"/>
        </w:rPr>
        <w:t xml:space="preserve">WLFC </w:t>
      </w:r>
      <w:r w:rsidRPr="00EC6DC7">
        <w:rPr>
          <w:sz w:val="22"/>
          <w:szCs w:val="22"/>
        </w:rPr>
        <w:t xml:space="preserve">need to be addressed with urgency. The importance of a sound evidence base for the formulation of capacity building initiatives and policy responses is recognized by </w:t>
      </w:r>
      <w:r>
        <w:rPr>
          <w:sz w:val="22"/>
          <w:szCs w:val="22"/>
        </w:rPr>
        <w:t>ICCWC</w:t>
      </w:r>
      <w:r w:rsidRPr="00EC6DC7">
        <w:rPr>
          <w:sz w:val="22"/>
          <w:szCs w:val="22"/>
        </w:rPr>
        <w:t xml:space="preserve"> as the first step in the process to disrupt and dismantle criminal syndicates involved in perpetrating these cri</w:t>
      </w:r>
      <w:r>
        <w:rPr>
          <w:sz w:val="22"/>
          <w:szCs w:val="22"/>
        </w:rPr>
        <w:t>mes. In coordination with ICCWC</w:t>
      </w:r>
      <w:r w:rsidRPr="00EC6DC7">
        <w:rPr>
          <w:sz w:val="22"/>
          <w:szCs w:val="22"/>
        </w:rPr>
        <w:t>, UNODC has assisted a number of member states to review their criminal justice and preventive response to wildlife and forest crime through utilizing the Wildlife and Forest Crime Analytic Toolkit. This analysis has resulted in detailed reports and evidence based recommendations for action which now require urgent attention.</w:t>
      </w:r>
    </w:p>
    <w:p w14:paraId="27D3EACD" w14:textId="77777777" w:rsidR="00EC6DC7" w:rsidRDefault="00EC6DC7" w:rsidP="006F0E70">
      <w:pPr>
        <w:jc w:val="both"/>
        <w:rPr>
          <w:sz w:val="22"/>
          <w:szCs w:val="22"/>
        </w:rPr>
      </w:pPr>
    </w:p>
    <w:p w14:paraId="4D24EC9C" w14:textId="159F85A5" w:rsidR="00B12460" w:rsidRPr="00B12460" w:rsidRDefault="00B12460" w:rsidP="006F4ADE">
      <w:pPr>
        <w:jc w:val="both"/>
        <w:rPr>
          <w:sz w:val="22"/>
          <w:szCs w:val="22"/>
        </w:rPr>
      </w:pPr>
      <w:r w:rsidRPr="00B12460">
        <w:rPr>
          <w:sz w:val="22"/>
          <w:szCs w:val="22"/>
        </w:rPr>
        <w:t xml:space="preserve">Some of the main problem areas faced in efforts to investigate and successfully prosecute </w:t>
      </w:r>
      <w:r w:rsidR="006F4ADE">
        <w:rPr>
          <w:sz w:val="22"/>
          <w:szCs w:val="22"/>
        </w:rPr>
        <w:t>WLFC</w:t>
      </w:r>
      <w:r w:rsidRPr="00B12460">
        <w:rPr>
          <w:sz w:val="22"/>
          <w:szCs w:val="22"/>
        </w:rPr>
        <w:t xml:space="preserve"> activities relate to:</w:t>
      </w:r>
    </w:p>
    <w:p w14:paraId="1C95E9ED" w14:textId="77777777" w:rsidR="00B12460" w:rsidRDefault="00B12460" w:rsidP="00B12460">
      <w:pPr>
        <w:pStyle w:val="ListParagraph"/>
        <w:spacing w:after="160" w:line="259" w:lineRule="auto"/>
        <w:ind w:left="1080"/>
        <w:rPr>
          <w:rFonts w:asciiTheme="majorBidi" w:hAnsiTheme="majorBidi" w:cstheme="majorBidi"/>
        </w:rPr>
      </w:pPr>
    </w:p>
    <w:p w14:paraId="7C34F1AE" w14:textId="77777777" w:rsidR="003A2DF8" w:rsidRPr="003A2DF8" w:rsidRDefault="003A2DF8" w:rsidP="003A2DF8">
      <w:pPr>
        <w:pStyle w:val="ListParagraph"/>
        <w:numPr>
          <w:ilvl w:val="0"/>
          <w:numId w:val="34"/>
        </w:numPr>
        <w:rPr>
          <w:rFonts w:asciiTheme="majorBidi" w:hAnsiTheme="majorBidi" w:cstheme="majorBidi"/>
        </w:rPr>
      </w:pPr>
      <w:r w:rsidRPr="003A2DF8">
        <w:rPr>
          <w:rFonts w:asciiTheme="majorBidi" w:hAnsiTheme="majorBidi" w:cstheme="majorBidi"/>
        </w:rPr>
        <w:t xml:space="preserve">Lack of information and poor understanding of the problem </w:t>
      </w:r>
    </w:p>
    <w:p w14:paraId="3E3BE6FD"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Lack of appropriate legislation for wildlife crime offences </w:t>
      </w:r>
    </w:p>
    <w:p w14:paraId="1B19531A"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Absence of strategic, tactical or operational focus due to wildlife crime not being viewed as a priority crime </w:t>
      </w:r>
    </w:p>
    <w:p w14:paraId="4D43EEA8"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Porous borders and weak, often ineffective, border controls </w:t>
      </w:r>
    </w:p>
    <w:p w14:paraId="42277800"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Poor inter-agency working - a reluctance to cooperate and share information between agencies </w:t>
      </w:r>
    </w:p>
    <w:p w14:paraId="7F337116" w14:textId="403FAC52"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Difficulties</w:t>
      </w:r>
      <w:r w:rsidR="003A2DF8">
        <w:rPr>
          <w:rFonts w:asciiTheme="majorBidi" w:hAnsiTheme="majorBidi" w:cstheme="majorBidi"/>
        </w:rPr>
        <w:t xml:space="preserve"> and practical challenges</w:t>
      </w:r>
      <w:r w:rsidRPr="00F85F0F">
        <w:rPr>
          <w:rFonts w:asciiTheme="majorBidi" w:hAnsiTheme="majorBidi" w:cstheme="majorBidi"/>
        </w:rPr>
        <w:t xml:space="preserve"> in cooperating and sharing information with NGOs and other relevant civil society organizations </w:t>
      </w:r>
    </w:p>
    <w:p w14:paraId="73865811"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Inadequate systems for information gathering, intelligence development, analysis and use, together with a lack of effective cooperation at local/national/regional/international levels in information/intelligence exchange</w:t>
      </w:r>
    </w:p>
    <w:p w14:paraId="03ED86C8"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Lack of basic equipment for police, border control, customs and other officials involved in combating wildlife and forest crime </w:t>
      </w:r>
    </w:p>
    <w:p w14:paraId="4A584AD9"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Lack of trained staff with the expertise and skills in specialist investigation techniques, such as controlled delivery </w:t>
      </w:r>
    </w:p>
    <w:p w14:paraId="383C3668"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Poor crime scene investigation capacity</w:t>
      </w:r>
    </w:p>
    <w:p w14:paraId="790009DF" w14:textId="610DC905" w:rsidR="00B12460" w:rsidRPr="00F85F0F" w:rsidRDefault="00B12460" w:rsidP="003A2DF8">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Poor capacity in </w:t>
      </w:r>
      <w:r w:rsidR="003A2DF8">
        <w:rPr>
          <w:rFonts w:asciiTheme="majorBidi" w:hAnsiTheme="majorBidi" w:cstheme="majorBidi"/>
        </w:rPr>
        <w:t xml:space="preserve">the use of </w:t>
      </w:r>
      <w:r w:rsidRPr="00F85F0F">
        <w:rPr>
          <w:rFonts w:asciiTheme="majorBidi" w:hAnsiTheme="majorBidi" w:cstheme="majorBidi"/>
        </w:rPr>
        <w:t>forensic</w:t>
      </w:r>
      <w:r w:rsidR="003A2DF8">
        <w:rPr>
          <w:rFonts w:asciiTheme="majorBidi" w:hAnsiTheme="majorBidi" w:cstheme="majorBidi"/>
        </w:rPr>
        <w:t xml:space="preserve"> applications</w:t>
      </w:r>
      <w:r w:rsidRPr="00F85F0F">
        <w:rPr>
          <w:rFonts w:asciiTheme="majorBidi" w:hAnsiTheme="majorBidi" w:cstheme="majorBidi"/>
        </w:rPr>
        <w:t xml:space="preserve"> </w:t>
      </w:r>
    </w:p>
    <w:p w14:paraId="1187A4E7"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Lack of specialist expertise to undertake money laundering investigations and to seize and confiscate criminal assets </w:t>
      </w:r>
    </w:p>
    <w:p w14:paraId="1BCDF32F" w14:textId="68E5BF9F" w:rsidR="00B12460" w:rsidRPr="00F85F0F" w:rsidRDefault="00B12460" w:rsidP="003A2DF8">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 xml:space="preserve">The significant role which corruption can play in facilitating activities conducted in violation of </w:t>
      </w:r>
      <w:r w:rsidR="003A2DF8">
        <w:rPr>
          <w:rFonts w:asciiTheme="majorBidi" w:hAnsiTheme="majorBidi" w:cstheme="majorBidi"/>
        </w:rPr>
        <w:t>CITES</w:t>
      </w:r>
      <w:r w:rsidRPr="00F85F0F">
        <w:rPr>
          <w:rFonts w:asciiTheme="majorBidi" w:hAnsiTheme="majorBidi" w:cstheme="majorBidi"/>
        </w:rPr>
        <w:t xml:space="preserve"> at all points of the trade chain, in source, transit and market countries </w:t>
      </w:r>
    </w:p>
    <w:p w14:paraId="46F70D91" w14:textId="77777777" w:rsidR="00B12460" w:rsidRPr="00F85F0F" w:rsidRDefault="00B12460" w:rsidP="00A33871">
      <w:pPr>
        <w:pStyle w:val="ListParagraph"/>
        <w:numPr>
          <w:ilvl w:val="0"/>
          <w:numId w:val="34"/>
        </w:numPr>
        <w:spacing w:after="160" w:line="259" w:lineRule="auto"/>
        <w:rPr>
          <w:rFonts w:asciiTheme="majorBidi" w:hAnsiTheme="majorBidi" w:cstheme="majorBidi"/>
        </w:rPr>
      </w:pPr>
      <w:r w:rsidRPr="00F85F0F">
        <w:rPr>
          <w:rFonts w:asciiTheme="majorBidi" w:hAnsiTheme="majorBidi" w:cstheme="majorBidi"/>
        </w:rPr>
        <w:t>Too much emphasis on the low-level actors committing the physical crime rather than the organizers and facilitators of wildlife crime.</w:t>
      </w:r>
    </w:p>
    <w:p w14:paraId="6AF38AEE" w14:textId="77777777" w:rsidR="00EC6DC7" w:rsidRPr="00EC6DC7" w:rsidRDefault="00EC6DC7" w:rsidP="00EC6DC7">
      <w:pPr>
        <w:jc w:val="both"/>
        <w:rPr>
          <w:sz w:val="22"/>
          <w:szCs w:val="22"/>
        </w:rPr>
      </w:pPr>
    </w:p>
    <w:p w14:paraId="50C864CF" w14:textId="113864CE" w:rsidR="001B5683" w:rsidRPr="006854F1" w:rsidRDefault="006F0E70" w:rsidP="00356210">
      <w:pPr>
        <w:jc w:val="both"/>
        <w:rPr>
          <w:sz w:val="22"/>
          <w:szCs w:val="22"/>
        </w:rPr>
      </w:pPr>
      <w:r w:rsidRPr="006F0E70">
        <w:rPr>
          <w:sz w:val="22"/>
          <w:szCs w:val="22"/>
        </w:rPr>
        <w:t xml:space="preserve">The five ICCWC organizations offer a comprehensive approach to tackling the threats to </w:t>
      </w:r>
      <w:r w:rsidR="00356210">
        <w:rPr>
          <w:sz w:val="22"/>
          <w:szCs w:val="22"/>
        </w:rPr>
        <w:t xml:space="preserve">WLFC </w:t>
      </w:r>
      <w:r w:rsidRPr="006F0E70">
        <w:rPr>
          <w:sz w:val="22"/>
          <w:szCs w:val="22"/>
        </w:rPr>
        <w:t xml:space="preserve">along the entire wildlife crime supply chain, drawing on a unique combined pool of in-house technical expertise as well as extensive expert networks.  By collaborating and aligning their efforts the five organizations effectively draw together technical capacity, secure communication channels, databases and field networks to </w:t>
      </w:r>
      <w:r w:rsidR="0061727E" w:rsidRPr="006F0E70">
        <w:rPr>
          <w:sz w:val="22"/>
          <w:szCs w:val="22"/>
        </w:rPr>
        <w:t>maximize</w:t>
      </w:r>
      <w:r w:rsidRPr="006F0E70">
        <w:rPr>
          <w:sz w:val="22"/>
          <w:szCs w:val="22"/>
        </w:rPr>
        <w:t xml:space="preserve"> impact on the ground.</w:t>
      </w:r>
    </w:p>
    <w:p w14:paraId="32D04ACB" w14:textId="0F6F79DE" w:rsidR="001B5683" w:rsidRPr="006854F1" w:rsidRDefault="006F0E70" w:rsidP="00503D41">
      <w:pPr>
        <w:pStyle w:val="Heading3"/>
      </w:pPr>
      <w:bookmarkStart w:id="5" w:name="_Toc497992275"/>
      <w:r>
        <w:t>Strategic</w:t>
      </w:r>
      <w:r w:rsidR="001B5683" w:rsidRPr="006854F1">
        <w:t xml:space="preserve"> Context</w:t>
      </w:r>
      <w:bookmarkEnd w:id="5"/>
      <w:r w:rsidR="001B5683" w:rsidRPr="006854F1">
        <w:t xml:space="preserve"> </w:t>
      </w:r>
    </w:p>
    <w:p w14:paraId="4C663649" w14:textId="1B4992EC" w:rsidR="0061727E" w:rsidRPr="0061727E" w:rsidRDefault="0061727E" w:rsidP="0061727E">
      <w:pPr>
        <w:jc w:val="both"/>
        <w:rPr>
          <w:sz w:val="22"/>
          <w:szCs w:val="22"/>
        </w:rPr>
      </w:pPr>
      <w:r w:rsidRPr="0061727E">
        <w:rPr>
          <w:sz w:val="22"/>
          <w:szCs w:val="22"/>
        </w:rPr>
        <w:t xml:space="preserve">The contribution which ICCWC can make to tackle this serious and urgent global problem has been recognized in numerous international fora, both global and regional. These include references to ICCWC made at the highest political level in the </w:t>
      </w:r>
      <w:r>
        <w:rPr>
          <w:sz w:val="22"/>
          <w:szCs w:val="22"/>
        </w:rPr>
        <w:t xml:space="preserve">2015 and 2017 </w:t>
      </w:r>
      <w:r w:rsidRPr="0061727E">
        <w:rPr>
          <w:sz w:val="22"/>
          <w:szCs w:val="22"/>
        </w:rPr>
        <w:t>UN General Assembly Resolution</w:t>
      </w:r>
      <w:r>
        <w:rPr>
          <w:sz w:val="22"/>
          <w:szCs w:val="22"/>
        </w:rPr>
        <w:t>s</w:t>
      </w:r>
      <w:r w:rsidRPr="0061727E">
        <w:rPr>
          <w:sz w:val="22"/>
          <w:szCs w:val="22"/>
        </w:rPr>
        <w:t xml:space="preserve"> on Tackling Illicit Trafficking of Wildlife and in the UN Economic and Social Council, as well as in the London Conference Declaration, the Kasane Conference Statement, and the Hanoi Statement. Several national and regional action plans, for instance the EU Action Plan against Wildlife Trafficking also stress the important role of ICCWC and make positive statements about future financial support for its work. </w:t>
      </w:r>
    </w:p>
    <w:p w14:paraId="083D76C0" w14:textId="77777777" w:rsidR="0061727E" w:rsidRPr="0061727E" w:rsidRDefault="0061727E" w:rsidP="0061727E">
      <w:pPr>
        <w:jc w:val="both"/>
        <w:rPr>
          <w:sz w:val="22"/>
          <w:szCs w:val="22"/>
        </w:rPr>
      </w:pPr>
    </w:p>
    <w:p w14:paraId="748018FE" w14:textId="000562D0" w:rsidR="003A2DF8" w:rsidRDefault="0061727E" w:rsidP="003A2DF8">
      <w:pPr>
        <w:rPr>
          <w:sz w:val="22"/>
          <w:szCs w:val="22"/>
        </w:rPr>
      </w:pPr>
      <w:r w:rsidRPr="0061727E">
        <w:rPr>
          <w:sz w:val="22"/>
          <w:szCs w:val="22"/>
        </w:rPr>
        <w:t xml:space="preserve">A high level of political attention on finding effective solutions to tackle the illegal wildlife trade has been maintained through both UN meetings such as the 17th meeting of the Conference of the Parties to CITES (COP17, Johannesburg, 24 September–5 October 2016), as well as through the 3rd High Level Conference on the Illegal Wildlife Trade (Hanoi, 16-18 November 2016). </w:t>
      </w:r>
      <w:r w:rsidR="003A2DF8">
        <w:rPr>
          <w:sz w:val="22"/>
          <w:szCs w:val="22"/>
        </w:rPr>
        <w:t>A</w:t>
      </w:r>
      <w:r w:rsidR="003A2DF8" w:rsidRPr="003A2DF8">
        <w:rPr>
          <w:sz w:val="22"/>
          <w:szCs w:val="22"/>
        </w:rPr>
        <w:t xml:space="preserve"> document containing examples of such</w:t>
      </w:r>
      <w:r w:rsidR="003A2DF8">
        <w:rPr>
          <w:sz w:val="22"/>
          <w:szCs w:val="22"/>
        </w:rPr>
        <w:t xml:space="preserve"> </w:t>
      </w:r>
      <w:r w:rsidR="003A2DF8" w:rsidRPr="003A2DF8">
        <w:rPr>
          <w:sz w:val="22"/>
          <w:szCs w:val="22"/>
        </w:rPr>
        <w:t xml:space="preserve">declarations and statements made since the launch of ICCWC, </w:t>
      </w:r>
      <w:r w:rsidR="003A2DF8">
        <w:rPr>
          <w:sz w:val="22"/>
          <w:szCs w:val="22"/>
        </w:rPr>
        <w:t xml:space="preserve">can be found in </w:t>
      </w:r>
      <w:r w:rsidR="003A2DF8" w:rsidRPr="003A2DF8">
        <w:rPr>
          <w:sz w:val="22"/>
          <w:szCs w:val="22"/>
        </w:rPr>
        <w:t>Annex 3 to</w:t>
      </w:r>
      <w:r w:rsidR="003A2DF8">
        <w:rPr>
          <w:sz w:val="22"/>
          <w:szCs w:val="22"/>
        </w:rPr>
        <w:t xml:space="preserve"> document CoP17 Doc. 14.2, available at the following URL: </w:t>
      </w:r>
      <w:hyperlink r:id="rId12" w:history="1">
        <w:r w:rsidR="003A2DF8" w:rsidRPr="000933EF">
          <w:rPr>
            <w:rStyle w:val="Hyperlink"/>
            <w:sz w:val="22"/>
            <w:szCs w:val="22"/>
          </w:rPr>
          <w:t>https://cites.org/sites/default/files/eng/cop/17/WorkingDocs/E-CoP17-14-02.pdf</w:t>
        </w:r>
      </w:hyperlink>
    </w:p>
    <w:p w14:paraId="69AC73A4" w14:textId="77777777" w:rsidR="003A2DF8" w:rsidRDefault="003A2DF8" w:rsidP="003A2DF8">
      <w:pPr>
        <w:rPr>
          <w:sz w:val="22"/>
          <w:szCs w:val="22"/>
        </w:rPr>
      </w:pPr>
    </w:p>
    <w:p w14:paraId="63722275" w14:textId="50F52BCD" w:rsidR="001B5683" w:rsidRDefault="0061727E" w:rsidP="003A2DF8">
      <w:pPr>
        <w:rPr>
          <w:sz w:val="22"/>
          <w:szCs w:val="22"/>
        </w:rPr>
      </w:pPr>
      <w:r w:rsidRPr="0061727E">
        <w:rPr>
          <w:sz w:val="22"/>
          <w:szCs w:val="22"/>
        </w:rPr>
        <w:t>Both the political statements and the formally agreed Decisions and Recommendations reinforce the need for practical action. With its political independence and the global reach of its five partner organisations, ICCWC is uniquely placed to deliver sustained action on the ground.</w:t>
      </w:r>
    </w:p>
    <w:p w14:paraId="5FCA13BF" w14:textId="037D0DCB" w:rsidR="00E43783" w:rsidRDefault="00E43783" w:rsidP="0061727E">
      <w:pPr>
        <w:jc w:val="both"/>
        <w:rPr>
          <w:sz w:val="22"/>
          <w:szCs w:val="22"/>
        </w:rPr>
      </w:pPr>
    </w:p>
    <w:p w14:paraId="2E1125BF" w14:textId="689E26AB" w:rsidR="00E43783" w:rsidRPr="00E43783" w:rsidRDefault="00E43783" w:rsidP="00304D65">
      <w:pPr>
        <w:jc w:val="both"/>
        <w:rPr>
          <w:sz w:val="22"/>
          <w:szCs w:val="22"/>
        </w:rPr>
      </w:pPr>
      <w:r w:rsidRPr="00E43783">
        <w:rPr>
          <w:sz w:val="22"/>
          <w:szCs w:val="22"/>
        </w:rPr>
        <w:t xml:space="preserve">At </w:t>
      </w:r>
      <w:r w:rsidR="008805F3">
        <w:rPr>
          <w:sz w:val="22"/>
          <w:szCs w:val="22"/>
        </w:rPr>
        <w:t>CITES Conference of the Parties (</w:t>
      </w:r>
      <w:r w:rsidRPr="00E43783">
        <w:rPr>
          <w:sz w:val="22"/>
          <w:szCs w:val="22"/>
        </w:rPr>
        <w:t>CoP17</w:t>
      </w:r>
      <w:r w:rsidR="008805F3">
        <w:rPr>
          <w:sz w:val="22"/>
          <w:szCs w:val="22"/>
        </w:rPr>
        <w:t>)</w:t>
      </w:r>
      <w:r>
        <w:rPr>
          <w:sz w:val="22"/>
          <w:szCs w:val="22"/>
        </w:rPr>
        <w:t xml:space="preserve"> in 2016</w:t>
      </w:r>
      <w:r w:rsidRPr="00E43783">
        <w:rPr>
          <w:sz w:val="22"/>
          <w:szCs w:val="22"/>
        </w:rPr>
        <w:t xml:space="preserve">, the CITES Secretariat provided an update on the work conducted to date by the </w:t>
      </w:r>
      <w:r w:rsidR="008805F3" w:rsidRPr="00E43783">
        <w:rPr>
          <w:sz w:val="22"/>
          <w:szCs w:val="22"/>
        </w:rPr>
        <w:t>Consortium and</w:t>
      </w:r>
      <w:r w:rsidRPr="00E43783">
        <w:rPr>
          <w:sz w:val="22"/>
          <w:szCs w:val="22"/>
        </w:rPr>
        <w:t xml:space="preserve"> on ICCWC’s Strategic Programme 2016-2020. A substantial number of Decisions and Resolutions were agreed at this CoP which specifically mandate ICCWC’s work. Decision 17.52</w:t>
      </w:r>
      <w:r w:rsidR="00304D65">
        <w:rPr>
          <w:sz w:val="22"/>
          <w:szCs w:val="22"/>
        </w:rPr>
        <w:t>, paragraph</w:t>
      </w:r>
      <w:r w:rsidRPr="00E43783">
        <w:rPr>
          <w:sz w:val="22"/>
          <w:szCs w:val="22"/>
        </w:rPr>
        <w:t xml:space="preserve"> c)</w:t>
      </w:r>
      <w:r w:rsidR="00304D65">
        <w:rPr>
          <w:sz w:val="22"/>
          <w:szCs w:val="22"/>
        </w:rPr>
        <w:t>,</w:t>
      </w:r>
      <w:r w:rsidRPr="00E43783">
        <w:rPr>
          <w:sz w:val="22"/>
          <w:szCs w:val="22"/>
        </w:rPr>
        <w:t xml:space="preserve"> encourages </w:t>
      </w:r>
      <w:r w:rsidR="00304D65">
        <w:rPr>
          <w:sz w:val="22"/>
          <w:szCs w:val="22"/>
        </w:rPr>
        <w:t>CITES member States</w:t>
      </w:r>
      <w:r w:rsidRPr="00E43783">
        <w:rPr>
          <w:sz w:val="22"/>
          <w:szCs w:val="22"/>
        </w:rPr>
        <w:t xml:space="preserve"> to ‘provide funding support to ICCWC for the implementation of its Strategic Programme 2016-2020, to ensure that it continues to take a leading role in providing coordinated global support to the law-enforcement community’.  </w:t>
      </w:r>
    </w:p>
    <w:p w14:paraId="62E1E32E" w14:textId="77777777" w:rsidR="00E43783" w:rsidRPr="00E43783" w:rsidRDefault="00E43783" w:rsidP="00E43783">
      <w:pPr>
        <w:jc w:val="both"/>
        <w:rPr>
          <w:sz w:val="22"/>
          <w:szCs w:val="22"/>
        </w:rPr>
      </w:pPr>
    </w:p>
    <w:p w14:paraId="6F86E94E" w14:textId="665A3E3D" w:rsidR="00E43783" w:rsidRPr="0061727E" w:rsidRDefault="00304D65" w:rsidP="00EC6DC7">
      <w:pPr>
        <w:jc w:val="both"/>
        <w:rPr>
          <w:sz w:val="22"/>
          <w:szCs w:val="22"/>
        </w:rPr>
      </w:pPr>
      <w:r>
        <w:rPr>
          <w:sz w:val="22"/>
          <w:szCs w:val="22"/>
        </w:rPr>
        <w:t>I</w:t>
      </w:r>
      <w:r w:rsidR="00E43783" w:rsidRPr="00E43783">
        <w:rPr>
          <w:sz w:val="22"/>
          <w:szCs w:val="22"/>
        </w:rPr>
        <w:t xml:space="preserve">CCWC’s work is guided by the strategic plans and work programmes of the five organizations and focuses on key areas where ICCWC </w:t>
      </w:r>
      <w:r w:rsidR="00EC6DC7">
        <w:rPr>
          <w:sz w:val="22"/>
          <w:szCs w:val="22"/>
        </w:rPr>
        <w:t>can</w:t>
      </w:r>
      <w:r w:rsidR="00E43783" w:rsidRPr="00E43783">
        <w:rPr>
          <w:sz w:val="22"/>
          <w:szCs w:val="22"/>
        </w:rPr>
        <w:t xml:space="preserve"> contribute to effectively combatting </w:t>
      </w:r>
      <w:r w:rsidR="00FC5960">
        <w:rPr>
          <w:sz w:val="22"/>
          <w:szCs w:val="22"/>
        </w:rPr>
        <w:t>WLFC.</w:t>
      </w:r>
    </w:p>
    <w:p w14:paraId="2CA0CB55" w14:textId="31544896" w:rsidR="001B5683" w:rsidRPr="006854F1" w:rsidRDefault="001B5683" w:rsidP="00503D41">
      <w:pPr>
        <w:pStyle w:val="Heading3"/>
      </w:pPr>
      <w:bookmarkStart w:id="6" w:name="_Toc497992276"/>
      <w:r w:rsidRPr="006854F1">
        <w:t>Policy Context</w:t>
      </w:r>
      <w:bookmarkEnd w:id="6"/>
      <w:r w:rsidRPr="006854F1">
        <w:t xml:space="preserve"> </w:t>
      </w:r>
    </w:p>
    <w:p w14:paraId="6FC02019" w14:textId="0335C4C0" w:rsidR="001B5683" w:rsidRPr="006854F1" w:rsidRDefault="001B5683" w:rsidP="006F0E70">
      <w:pPr>
        <w:jc w:val="both"/>
        <w:rPr>
          <w:sz w:val="22"/>
          <w:szCs w:val="22"/>
        </w:rPr>
      </w:pPr>
      <w:r w:rsidRPr="006854F1">
        <w:rPr>
          <w:sz w:val="22"/>
          <w:szCs w:val="22"/>
        </w:rPr>
        <w:t>The European Commission launc</w:t>
      </w:r>
      <w:r w:rsidR="00BD6958">
        <w:rPr>
          <w:sz w:val="22"/>
          <w:szCs w:val="22"/>
        </w:rPr>
        <w:t>hed in 2015 the study ‘</w:t>
      </w:r>
      <w:r w:rsidRPr="006854F1">
        <w:rPr>
          <w:sz w:val="22"/>
          <w:szCs w:val="22"/>
        </w:rPr>
        <w:t xml:space="preserve">Larger Than Elephants: Inputs for an EU Strategic Approach to </w:t>
      </w:r>
      <w:r w:rsidR="00BD6958">
        <w:rPr>
          <w:sz w:val="22"/>
          <w:szCs w:val="22"/>
        </w:rPr>
        <w:t>Wildlife Conservation in Africa’</w:t>
      </w:r>
      <w:r w:rsidRPr="006854F1">
        <w:rPr>
          <w:sz w:val="22"/>
          <w:szCs w:val="22"/>
        </w:rPr>
        <w:t>, as part of the flagship EU Biodiversity for Life</w:t>
      </w:r>
      <w:r w:rsidR="000F4E7A">
        <w:rPr>
          <w:sz w:val="22"/>
          <w:szCs w:val="22"/>
        </w:rPr>
        <w:t xml:space="preserve"> Initiative</w:t>
      </w:r>
      <w:r w:rsidRPr="006854F1">
        <w:rPr>
          <w:sz w:val="22"/>
          <w:szCs w:val="22"/>
        </w:rPr>
        <w:t xml:space="preserve"> (B4Life) which promotes </w:t>
      </w:r>
      <w:r w:rsidR="00BD6958">
        <w:rPr>
          <w:sz w:val="22"/>
          <w:szCs w:val="22"/>
        </w:rPr>
        <w:t xml:space="preserve">the </w:t>
      </w:r>
      <w:r w:rsidRPr="006854F1">
        <w:rPr>
          <w:sz w:val="22"/>
          <w:szCs w:val="22"/>
        </w:rPr>
        <w:t xml:space="preserve">coherence and coordination of EU actions </w:t>
      </w:r>
      <w:r w:rsidR="00BD6958">
        <w:rPr>
          <w:sz w:val="22"/>
          <w:szCs w:val="22"/>
        </w:rPr>
        <w:t>in this area</w:t>
      </w:r>
      <w:r w:rsidRPr="006854F1">
        <w:rPr>
          <w:sz w:val="22"/>
          <w:szCs w:val="22"/>
        </w:rPr>
        <w:t>. The dominant theme of the strategy is the conservation of ‘Key Landscapes for Conservation’</w:t>
      </w:r>
      <w:r w:rsidR="00BD6958">
        <w:rPr>
          <w:sz w:val="22"/>
          <w:szCs w:val="22"/>
        </w:rPr>
        <w:t xml:space="preserve"> (KLCs)</w:t>
      </w:r>
      <w:r w:rsidRPr="006854F1">
        <w:rPr>
          <w:sz w:val="22"/>
          <w:szCs w:val="22"/>
        </w:rPr>
        <w:t xml:space="preserve">, a large proportion of which are TFCAs, with a focus on providing </w:t>
      </w:r>
      <w:r w:rsidRPr="00BD6958">
        <w:rPr>
          <w:i/>
          <w:sz w:val="22"/>
          <w:szCs w:val="22"/>
        </w:rPr>
        <w:t>in situ</w:t>
      </w:r>
      <w:r w:rsidRPr="006854F1">
        <w:rPr>
          <w:sz w:val="22"/>
          <w:szCs w:val="22"/>
        </w:rPr>
        <w:t xml:space="preserve"> support at the site level through the provision of ‘necessary inputs (training, equipment etc.)’.</w:t>
      </w:r>
    </w:p>
    <w:p w14:paraId="389C51DF" w14:textId="77777777" w:rsidR="001B5683" w:rsidRPr="006854F1" w:rsidRDefault="001B5683" w:rsidP="001B5683">
      <w:pPr>
        <w:jc w:val="both"/>
        <w:rPr>
          <w:sz w:val="22"/>
          <w:szCs w:val="22"/>
        </w:rPr>
      </w:pPr>
    </w:p>
    <w:p w14:paraId="3CE76226" w14:textId="6D73B411" w:rsidR="00A72E78" w:rsidRPr="006854F1" w:rsidRDefault="001B5683" w:rsidP="00A72E78">
      <w:pPr>
        <w:jc w:val="both"/>
        <w:rPr>
          <w:sz w:val="22"/>
          <w:szCs w:val="22"/>
        </w:rPr>
      </w:pPr>
      <w:r w:rsidRPr="006854F1">
        <w:rPr>
          <w:sz w:val="22"/>
          <w:szCs w:val="22"/>
        </w:rPr>
        <w:t xml:space="preserve">In addition, </w:t>
      </w:r>
      <w:r w:rsidR="000F4E7A">
        <w:rPr>
          <w:sz w:val="22"/>
          <w:szCs w:val="22"/>
        </w:rPr>
        <w:t>the EU Action Plan A</w:t>
      </w:r>
      <w:r w:rsidRPr="006854F1">
        <w:rPr>
          <w:sz w:val="22"/>
          <w:szCs w:val="22"/>
        </w:rPr>
        <w:t xml:space="preserve">gainst Wildlife Trafficking adopted in February 2016, spells out priority activities to halt the impact of wildlife crime on ecosystems and on economies affected by the increase in wildlife crime. The priority areas being addressed by the Action Plan are i) preventing wildlife trafficking and addressing its root causes; ii) implementing and enforcing existing rules and combating organised wildlife crime more effectively; and iii) strengthening the global partnership of source, consumer and transit countries against wildlife trafficking. </w:t>
      </w:r>
      <w:r w:rsidR="00A72E78">
        <w:rPr>
          <w:sz w:val="22"/>
          <w:szCs w:val="22"/>
        </w:rPr>
        <w:t xml:space="preserve">The project will also contribute directly to the FLEGT initiative. </w:t>
      </w:r>
    </w:p>
    <w:p w14:paraId="242F37C3" w14:textId="77777777" w:rsidR="001B5683" w:rsidRPr="006854F1" w:rsidRDefault="001B5683" w:rsidP="001B5683">
      <w:pPr>
        <w:jc w:val="both"/>
        <w:rPr>
          <w:sz w:val="22"/>
          <w:szCs w:val="22"/>
        </w:rPr>
      </w:pPr>
    </w:p>
    <w:p w14:paraId="507A874E" w14:textId="78310AB9" w:rsidR="002C64DE" w:rsidRDefault="0014772F" w:rsidP="0014772F">
      <w:pPr>
        <w:jc w:val="both"/>
        <w:rPr>
          <w:sz w:val="22"/>
          <w:szCs w:val="22"/>
        </w:rPr>
      </w:pPr>
      <w:r>
        <w:rPr>
          <w:sz w:val="22"/>
          <w:szCs w:val="22"/>
        </w:rPr>
        <w:t>Further, t</w:t>
      </w:r>
      <w:r w:rsidR="002C64DE">
        <w:rPr>
          <w:sz w:val="22"/>
          <w:szCs w:val="22"/>
        </w:rPr>
        <w:t>he project</w:t>
      </w:r>
      <w:r w:rsidR="00FC5960">
        <w:rPr>
          <w:sz w:val="22"/>
          <w:szCs w:val="22"/>
        </w:rPr>
        <w:t xml:space="preserve"> directly</w:t>
      </w:r>
      <w:r w:rsidR="002C64DE">
        <w:rPr>
          <w:sz w:val="22"/>
          <w:szCs w:val="22"/>
        </w:rPr>
        <w:t xml:space="preserve"> </w:t>
      </w:r>
      <w:r w:rsidR="00C72EE3">
        <w:rPr>
          <w:sz w:val="22"/>
          <w:szCs w:val="22"/>
        </w:rPr>
        <w:t xml:space="preserve">contributes </w:t>
      </w:r>
      <w:r w:rsidR="002C64DE">
        <w:rPr>
          <w:sz w:val="22"/>
          <w:szCs w:val="22"/>
        </w:rPr>
        <w:t>to the Sustainable Development Goal</w:t>
      </w:r>
      <w:r w:rsidR="00FC5960">
        <w:rPr>
          <w:sz w:val="22"/>
          <w:szCs w:val="22"/>
        </w:rPr>
        <w:t>s</w:t>
      </w:r>
      <w:r w:rsidR="002C64DE" w:rsidRPr="002C64DE">
        <w:rPr>
          <w:sz w:val="22"/>
          <w:szCs w:val="22"/>
        </w:rPr>
        <w:t xml:space="preserve"> (SDG)</w:t>
      </w:r>
      <w:r w:rsidR="002C64DE" w:rsidRPr="002C64DE">
        <w:t xml:space="preserve"> </w:t>
      </w:r>
      <w:r w:rsidR="001A577A">
        <w:t xml:space="preserve">14, </w:t>
      </w:r>
      <w:r w:rsidR="002C64DE" w:rsidRPr="002C64DE">
        <w:rPr>
          <w:sz w:val="22"/>
          <w:szCs w:val="22"/>
        </w:rPr>
        <w:t>15</w:t>
      </w:r>
      <w:r w:rsidR="001A577A">
        <w:rPr>
          <w:sz w:val="22"/>
          <w:szCs w:val="22"/>
        </w:rPr>
        <w:t>,</w:t>
      </w:r>
      <w:r w:rsidR="00FC5960">
        <w:rPr>
          <w:sz w:val="22"/>
          <w:szCs w:val="22"/>
        </w:rPr>
        <w:t xml:space="preserve"> 16</w:t>
      </w:r>
      <w:r w:rsidR="002C64DE">
        <w:rPr>
          <w:sz w:val="22"/>
          <w:szCs w:val="22"/>
        </w:rPr>
        <w:t>,</w:t>
      </w:r>
      <w:r w:rsidR="00E64F3F">
        <w:rPr>
          <w:sz w:val="22"/>
          <w:szCs w:val="22"/>
        </w:rPr>
        <w:t xml:space="preserve"> and 8. Of particular relevance</w:t>
      </w:r>
      <w:r w:rsidR="001A577A">
        <w:rPr>
          <w:sz w:val="22"/>
          <w:szCs w:val="22"/>
        </w:rPr>
        <w:t xml:space="preserve"> is</w:t>
      </w:r>
      <w:r w:rsidR="00FC5960">
        <w:rPr>
          <w:sz w:val="22"/>
          <w:szCs w:val="22"/>
        </w:rPr>
        <w:t xml:space="preserve"> SDG</w:t>
      </w:r>
      <w:r w:rsidR="00EB6D81">
        <w:rPr>
          <w:sz w:val="22"/>
          <w:szCs w:val="22"/>
        </w:rPr>
        <w:t xml:space="preserve"> </w:t>
      </w:r>
      <w:r w:rsidR="00FC5960">
        <w:rPr>
          <w:sz w:val="22"/>
          <w:szCs w:val="22"/>
        </w:rPr>
        <w:t>T</w:t>
      </w:r>
      <w:r w:rsidR="002C64DE" w:rsidRPr="002C64DE">
        <w:rPr>
          <w:sz w:val="22"/>
          <w:szCs w:val="22"/>
        </w:rPr>
        <w:t>arget 15.5</w:t>
      </w:r>
      <w:r w:rsidR="00FC5960">
        <w:rPr>
          <w:sz w:val="22"/>
          <w:szCs w:val="22"/>
        </w:rPr>
        <w:t xml:space="preserve"> </w:t>
      </w:r>
      <w:r w:rsidR="001A577A">
        <w:rPr>
          <w:sz w:val="22"/>
          <w:szCs w:val="22"/>
        </w:rPr>
        <w:t xml:space="preserve">set </w:t>
      </w:r>
      <w:r w:rsidR="00C72EE3">
        <w:rPr>
          <w:sz w:val="22"/>
          <w:szCs w:val="22"/>
        </w:rPr>
        <w:t>“</w:t>
      </w:r>
      <w:r w:rsidR="002C64DE" w:rsidRPr="002C64DE">
        <w:rPr>
          <w:sz w:val="22"/>
          <w:szCs w:val="22"/>
        </w:rPr>
        <w:t>to take urgent and significant action to reduce the degradation of natural habitats</w:t>
      </w:r>
      <w:r w:rsidR="00C72EE3">
        <w:rPr>
          <w:sz w:val="22"/>
          <w:szCs w:val="22"/>
        </w:rPr>
        <w:t>,</w:t>
      </w:r>
      <w:r w:rsidR="002C64DE" w:rsidRPr="002C64DE">
        <w:rPr>
          <w:sz w:val="22"/>
          <w:szCs w:val="22"/>
        </w:rPr>
        <w:t xml:space="preserve"> halt the loss of biodiversity and, by 2020, protect and prevent the extinction of threatened species</w:t>
      </w:r>
      <w:r w:rsidR="00C72EE3">
        <w:rPr>
          <w:sz w:val="22"/>
          <w:szCs w:val="22"/>
        </w:rPr>
        <w:t>”, and T</w:t>
      </w:r>
      <w:r w:rsidR="00FC5960">
        <w:rPr>
          <w:sz w:val="22"/>
          <w:szCs w:val="22"/>
        </w:rPr>
        <w:t>arget 15.7 to</w:t>
      </w:r>
      <w:r w:rsidR="002C64DE" w:rsidRPr="002C64DE">
        <w:rPr>
          <w:sz w:val="22"/>
          <w:szCs w:val="22"/>
        </w:rPr>
        <w:t xml:space="preserve"> </w:t>
      </w:r>
      <w:r w:rsidR="00C72EE3">
        <w:rPr>
          <w:sz w:val="22"/>
          <w:szCs w:val="22"/>
        </w:rPr>
        <w:t>“</w:t>
      </w:r>
      <w:r w:rsidR="002C64DE" w:rsidRPr="002C64DE">
        <w:rPr>
          <w:sz w:val="22"/>
          <w:szCs w:val="22"/>
        </w:rPr>
        <w:t>take urgent action to end poaching and trafficking of protected species of flora and fauna and address both demand and supply of illegal wildlife products</w:t>
      </w:r>
      <w:r w:rsidR="00C72EE3">
        <w:rPr>
          <w:sz w:val="22"/>
          <w:szCs w:val="22"/>
        </w:rPr>
        <w:t>”</w:t>
      </w:r>
      <w:r w:rsidR="002C64DE" w:rsidRPr="002C64DE">
        <w:rPr>
          <w:sz w:val="22"/>
          <w:szCs w:val="22"/>
        </w:rPr>
        <w:t>.</w:t>
      </w:r>
      <w:r w:rsidR="00FC5960">
        <w:rPr>
          <w:sz w:val="22"/>
          <w:szCs w:val="22"/>
        </w:rPr>
        <w:t xml:space="preserve"> </w:t>
      </w:r>
    </w:p>
    <w:p w14:paraId="1BB129FB" w14:textId="11FF1264" w:rsidR="008E3A79" w:rsidRDefault="008E3A79" w:rsidP="001B5683">
      <w:pPr>
        <w:jc w:val="both"/>
        <w:rPr>
          <w:sz w:val="22"/>
          <w:szCs w:val="22"/>
        </w:rPr>
      </w:pPr>
    </w:p>
    <w:p w14:paraId="06B3297C" w14:textId="02C2D191" w:rsidR="00EB6D81" w:rsidRPr="006854F1" w:rsidRDefault="00EB6D81" w:rsidP="00EB6D81">
      <w:pPr>
        <w:pStyle w:val="Heading3"/>
      </w:pPr>
      <w:bookmarkStart w:id="7" w:name="_Toc497992277"/>
      <w:r>
        <w:t>Stakeholder Analysis</w:t>
      </w:r>
      <w:bookmarkEnd w:id="7"/>
    </w:p>
    <w:p w14:paraId="017136E3" w14:textId="4FFAA422" w:rsidR="00EB6D81" w:rsidRDefault="00EB6D81" w:rsidP="001B5683">
      <w:pPr>
        <w:jc w:val="both"/>
        <w:rPr>
          <w:sz w:val="22"/>
          <w:szCs w:val="22"/>
        </w:rPr>
      </w:pPr>
    </w:p>
    <w:p w14:paraId="7E19A138" w14:textId="74129836" w:rsidR="00B12460" w:rsidRPr="00B12460" w:rsidRDefault="00B12460" w:rsidP="006E5B06">
      <w:pPr>
        <w:jc w:val="both"/>
        <w:rPr>
          <w:sz w:val="22"/>
          <w:szCs w:val="22"/>
        </w:rPr>
      </w:pPr>
      <w:r w:rsidRPr="00B12460">
        <w:rPr>
          <w:sz w:val="22"/>
          <w:szCs w:val="22"/>
        </w:rPr>
        <w:t xml:space="preserve">The countries identified for support under the ICCWC Strategic Programme require a significant increase in support to respond to the challenges </w:t>
      </w:r>
      <w:r w:rsidR="00BC049B">
        <w:rPr>
          <w:sz w:val="22"/>
          <w:szCs w:val="22"/>
        </w:rPr>
        <w:t>posed by</w:t>
      </w:r>
      <w:r w:rsidRPr="00B12460">
        <w:rPr>
          <w:sz w:val="22"/>
          <w:szCs w:val="22"/>
        </w:rPr>
        <w:t xml:space="preserve"> wildlife crime. A number of countries contend with factors such as poverty, lack of economic opportunities, inadequate legal </w:t>
      </w:r>
      <w:r w:rsidR="006E5B06">
        <w:rPr>
          <w:sz w:val="22"/>
          <w:szCs w:val="22"/>
        </w:rPr>
        <w:t>frameworks</w:t>
      </w:r>
      <w:r w:rsidRPr="00B12460">
        <w:rPr>
          <w:sz w:val="22"/>
          <w:szCs w:val="22"/>
        </w:rPr>
        <w:t xml:space="preserve">, limited state capacities and lack of cooperation between law enforcement agencies. All of these factors contribute to an environment where wildlife crime can flourish. </w:t>
      </w:r>
    </w:p>
    <w:p w14:paraId="384ACD8A" w14:textId="77777777" w:rsidR="00B12460" w:rsidRPr="00B12460" w:rsidRDefault="00B12460" w:rsidP="00B12460">
      <w:pPr>
        <w:jc w:val="both"/>
        <w:rPr>
          <w:sz w:val="22"/>
          <w:szCs w:val="22"/>
        </w:rPr>
      </w:pPr>
    </w:p>
    <w:p w14:paraId="6AF7750C" w14:textId="072166E7" w:rsidR="001E4076" w:rsidRDefault="00356210" w:rsidP="000E40AB">
      <w:pPr>
        <w:jc w:val="both"/>
        <w:rPr>
          <w:sz w:val="22"/>
          <w:szCs w:val="22"/>
        </w:rPr>
      </w:pPr>
      <w:r w:rsidRPr="00356210">
        <w:rPr>
          <w:sz w:val="22"/>
          <w:szCs w:val="22"/>
        </w:rPr>
        <w:t>Several regions which include source, transit or</w:t>
      </w:r>
      <w:r w:rsidR="000E40AB">
        <w:rPr>
          <w:sz w:val="22"/>
          <w:szCs w:val="22"/>
        </w:rPr>
        <w:t xml:space="preserve"> destination countries</w:t>
      </w:r>
      <w:r w:rsidR="00BC049B">
        <w:rPr>
          <w:sz w:val="22"/>
          <w:szCs w:val="22"/>
        </w:rPr>
        <w:t>, were</w:t>
      </w:r>
      <w:r w:rsidR="000E40AB">
        <w:rPr>
          <w:sz w:val="22"/>
          <w:szCs w:val="22"/>
        </w:rPr>
        <w:t xml:space="preserve"> identified by</w:t>
      </w:r>
      <w:r w:rsidRPr="00356210">
        <w:rPr>
          <w:sz w:val="22"/>
          <w:szCs w:val="22"/>
        </w:rPr>
        <w:t xml:space="preserve"> </w:t>
      </w:r>
      <w:r w:rsidR="00163931" w:rsidRPr="00356210">
        <w:rPr>
          <w:sz w:val="22"/>
          <w:szCs w:val="22"/>
        </w:rPr>
        <w:t>ICCWC partners as high priority countries in need of assistance to tackle W</w:t>
      </w:r>
      <w:r w:rsidR="000E40AB">
        <w:rPr>
          <w:sz w:val="22"/>
          <w:szCs w:val="22"/>
        </w:rPr>
        <w:t>LFC throughout the supply chain.</w:t>
      </w:r>
      <w:r w:rsidR="00BC049B">
        <w:rPr>
          <w:sz w:val="22"/>
          <w:szCs w:val="22"/>
        </w:rPr>
        <w:t xml:space="preserve"> These countries can be found in Annex </w:t>
      </w:r>
      <w:r w:rsidR="00BC049B" w:rsidRPr="00BC049B">
        <w:rPr>
          <w:sz w:val="22"/>
          <w:szCs w:val="22"/>
          <w:highlight w:val="yellow"/>
        </w:rPr>
        <w:t>X</w:t>
      </w:r>
      <w:r w:rsidR="00BC049B">
        <w:rPr>
          <w:sz w:val="22"/>
          <w:szCs w:val="22"/>
        </w:rPr>
        <w:t xml:space="preserve"> to this document.</w:t>
      </w:r>
    </w:p>
    <w:p w14:paraId="62F5119F" w14:textId="77777777" w:rsidR="00163931" w:rsidRDefault="00163931" w:rsidP="00C3685C">
      <w:pPr>
        <w:jc w:val="both"/>
        <w:rPr>
          <w:sz w:val="22"/>
          <w:szCs w:val="22"/>
        </w:rPr>
      </w:pPr>
    </w:p>
    <w:p w14:paraId="4AA93D07" w14:textId="19FB90F7" w:rsidR="001E4076" w:rsidRDefault="001E4076" w:rsidP="00C3685C">
      <w:pPr>
        <w:jc w:val="both"/>
        <w:rPr>
          <w:sz w:val="22"/>
          <w:szCs w:val="22"/>
        </w:rPr>
      </w:pPr>
      <w:r>
        <w:rPr>
          <w:sz w:val="22"/>
          <w:szCs w:val="22"/>
        </w:rPr>
        <w:t>The countries for support will be aligned with the selected EU target countries</w:t>
      </w:r>
      <w:r w:rsidR="0004769B">
        <w:rPr>
          <w:sz w:val="22"/>
          <w:szCs w:val="22"/>
        </w:rPr>
        <w:t xml:space="preserve"> eligible for support</w:t>
      </w:r>
      <w:r w:rsidR="00C3685C">
        <w:rPr>
          <w:sz w:val="22"/>
          <w:szCs w:val="22"/>
        </w:rPr>
        <w:t>:</w:t>
      </w:r>
    </w:p>
    <w:p w14:paraId="50AFF0EF" w14:textId="77777777" w:rsidR="0004769B" w:rsidRDefault="0004769B" w:rsidP="0004769B">
      <w:pPr>
        <w:rPr>
          <w:sz w:val="22"/>
          <w:szCs w:val="22"/>
          <w:lang w:val="en-GB"/>
        </w:rPr>
      </w:pPr>
    </w:p>
    <w:p w14:paraId="32F97ACF" w14:textId="10DB85FD" w:rsidR="0004769B" w:rsidRPr="0004769B" w:rsidRDefault="0004769B" w:rsidP="00A33871">
      <w:pPr>
        <w:pStyle w:val="ListParagraph"/>
        <w:numPr>
          <w:ilvl w:val="1"/>
          <w:numId w:val="35"/>
        </w:numPr>
        <w:spacing w:after="0" w:line="240" w:lineRule="auto"/>
        <w:contextualSpacing w:val="0"/>
        <w:rPr>
          <w:rFonts w:asciiTheme="majorBidi" w:hAnsiTheme="majorBidi" w:cstheme="majorBidi"/>
        </w:rPr>
      </w:pPr>
      <w:r w:rsidRPr="0004769B">
        <w:rPr>
          <w:rFonts w:asciiTheme="majorBidi" w:hAnsiTheme="majorBidi" w:cstheme="majorBidi"/>
        </w:rPr>
        <w:t>Central Africa: Cameroon, Democratic Republic of Congo, Gabon, Central African Republic</w:t>
      </w:r>
    </w:p>
    <w:p w14:paraId="27E92833" w14:textId="77777777" w:rsidR="0004769B" w:rsidRPr="0004769B" w:rsidRDefault="0004769B" w:rsidP="00A33871">
      <w:pPr>
        <w:pStyle w:val="ListParagraph"/>
        <w:numPr>
          <w:ilvl w:val="1"/>
          <w:numId w:val="35"/>
        </w:numPr>
        <w:spacing w:after="0" w:line="240" w:lineRule="auto"/>
        <w:contextualSpacing w:val="0"/>
        <w:rPr>
          <w:rFonts w:asciiTheme="majorBidi" w:hAnsiTheme="majorBidi" w:cstheme="majorBidi"/>
        </w:rPr>
      </w:pPr>
      <w:r w:rsidRPr="0004769B">
        <w:rPr>
          <w:rFonts w:asciiTheme="majorBidi" w:hAnsiTheme="majorBidi" w:cstheme="majorBidi"/>
        </w:rPr>
        <w:t>East Africa and Indian Ocean: Kenya, Madagascar, South Sudan, Tanzania, Uganda</w:t>
      </w:r>
    </w:p>
    <w:p w14:paraId="36B7ED91" w14:textId="77777777" w:rsidR="0004769B" w:rsidRPr="0004769B" w:rsidRDefault="0004769B" w:rsidP="00A33871">
      <w:pPr>
        <w:pStyle w:val="ListParagraph"/>
        <w:numPr>
          <w:ilvl w:val="1"/>
          <w:numId w:val="35"/>
        </w:numPr>
        <w:spacing w:after="0" w:line="240" w:lineRule="auto"/>
        <w:contextualSpacing w:val="0"/>
        <w:rPr>
          <w:rFonts w:asciiTheme="majorBidi" w:hAnsiTheme="majorBidi" w:cstheme="majorBidi"/>
        </w:rPr>
      </w:pPr>
      <w:r w:rsidRPr="0004769B">
        <w:rPr>
          <w:rFonts w:asciiTheme="majorBidi" w:hAnsiTheme="majorBidi" w:cstheme="majorBidi"/>
        </w:rPr>
        <w:t>Asia: Cambodia, China, Indonesia, Laos, Malaysia, Myanmar, Thailand, Vietnam</w:t>
      </w:r>
    </w:p>
    <w:p w14:paraId="31610F80" w14:textId="4921A0A0" w:rsidR="00C3685C" w:rsidRPr="008624FD" w:rsidRDefault="0004769B" w:rsidP="00A33871">
      <w:pPr>
        <w:pStyle w:val="ListParagraph"/>
        <w:numPr>
          <w:ilvl w:val="1"/>
          <w:numId w:val="35"/>
        </w:numPr>
        <w:spacing w:after="0" w:line="240" w:lineRule="auto"/>
        <w:contextualSpacing w:val="0"/>
        <w:rPr>
          <w:rFonts w:asciiTheme="majorBidi" w:hAnsiTheme="majorBidi" w:cstheme="majorBidi"/>
          <w:lang w:val="es-ES"/>
        </w:rPr>
      </w:pPr>
      <w:r w:rsidRPr="008624FD">
        <w:rPr>
          <w:rFonts w:asciiTheme="majorBidi" w:hAnsiTheme="majorBidi" w:cstheme="majorBidi"/>
          <w:lang w:val="es-ES"/>
        </w:rPr>
        <w:t>Latin America: Bolivia, Colombia, Ecuador, Peru</w:t>
      </w:r>
    </w:p>
    <w:p w14:paraId="2728B6DC" w14:textId="77777777" w:rsidR="00C07864" w:rsidRPr="008624FD" w:rsidRDefault="00C07864" w:rsidP="00C07864">
      <w:pPr>
        <w:jc w:val="both"/>
        <w:rPr>
          <w:sz w:val="22"/>
          <w:szCs w:val="22"/>
          <w:lang w:val="es-ES"/>
        </w:rPr>
      </w:pPr>
    </w:p>
    <w:p w14:paraId="2C842ADC" w14:textId="64E610C1" w:rsidR="001E4076" w:rsidRDefault="00C07864" w:rsidP="000C3A9E">
      <w:pPr>
        <w:jc w:val="both"/>
        <w:rPr>
          <w:sz w:val="22"/>
          <w:szCs w:val="22"/>
          <w:lang w:val="en-GB"/>
        </w:rPr>
      </w:pPr>
      <w:r w:rsidRPr="00C07864">
        <w:rPr>
          <w:sz w:val="22"/>
          <w:szCs w:val="22"/>
          <w:lang w:val="en-GB"/>
        </w:rPr>
        <w:t xml:space="preserve">NOTE: </w:t>
      </w:r>
      <w:r>
        <w:rPr>
          <w:sz w:val="22"/>
          <w:szCs w:val="22"/>
          <w:lang w:val="en-GB"/>
        </w:rPr>
        <w:t>EU notes that the</w:t>
      </w:r>
      <w:r w:rsidRPr="00C07864">
        <w:rPr>
          <w:sz w:val="22"/>
          <w:szCs w:val="22"/>
          <w:lang w:val="en-GB"/>
        </w:rPr>
        <w:t xml:space="preserve"> list is indicative. </w:t>
      </w:r>
      <w:r>
        <w:rPr>
          <w:sz w:val="22"/>
          <w:szCs w:val="22"/>
          <w:lang w:val="en-GB"/>
        </w:rPr>
        <w:t>“</w:t>
      </w:r>
      <w:r w:rsidRPr="00C07864">
        <w:rPr>
          <w:sz w:val="22"/>
          <w:szCs w:val="22"/>
          <w:lang w:val="en-GB"/>
        </w:rPr>
        <w:t>Not every country will turn out to justify dedicated actions while other countries may be added in the course of project implementation.</w:t>
      </w:r>
      <w:r>
        <w:rPr>
          <w:sz w:val="22"/>
          <w:szCs w:val="22"/>
          <w:lang w:val="en-GB"/>
        </w:rPr>
        <w:t>”</w:t>
      </w:r>
      <w:r w:rsidR="00163931">
        <w:rPr>
          <w:sz w:val="22"/>
          <w:szCs w:val="22"/>
          <w:lang w:val="en-GB"/>
        </w:rPr>
        <w:t xml:space="preserve"> ICCWC will discuss and agree with the EU implementation of the programme in any other priority countries not listed above prior to implementation of any activities </w:t>
      </w:r>
      <w:r w:rsidR="000C3A9E">
        <w:rPr>
          <w:sz w:val="22"/>
          <w:szCs w:val="22"/>
          <w:lang w:val="en-GB"/>
        </w:rPr>
        <w:t>in these</w:t>
      </w:r>
      <w:r w:rsidR="00163931">
        <w:rPr>
          <w:sz w:val="22"/>
          <w:szCs w:val="22"/>
          <w:lang w:val="en-GB"/>
        </w:rPr>
        <w:t xml:space="preserve"> countries.  </w:t>
      </w:r>
    </w:p>
    <w:p w14:paraId="691DA516" w14:textId="1A8A8498" w:rsidR="000E40AB" w:rsidRDefault="000E40AB" w:rsidP="000C3A9E">
      <w:pPr>
        <w:jc w:val="both"/>
        <w:rPr>
          <w:sz w:val="22"/>
          <w:szCs w:val="22"/>
          <w:lang w:val="en-GB"/>
        </w:rPr>
      </w:pPr>
    </w:p>
    <w:p w14:paraId="4F0D76F0" w14:textId="0BF88C4A" w:rsidR="000E40AB" w:rsidRPr="00C07864" w:rsidRDefault="000E40AB" w:rsidP="00C664C8">
      <w:pPr>
        <w:jc w:val="both"/>
        <w:rPr>
          <w:sz w:val="22"/>
          <w:szCs w:val="22"/>
        </w:rPr>
      </w:pPr>
      <w:r>
        <w:rPr>
          <w:sz w:val="22"/>
          <w:szCs w:val="22"/>
          <w:lang w:val="en-GB"/>
        </w:rPr>
        <w:t>Given some flexibility on the EU part in terms of the listed countries, ICCWC partners will provide addition justification for the countries not in the list, which can be justified for support given the severity of WLFC in</w:t>
      </w:r>
      <w:r w:rsidR="00C664C8">
        <w:rPr>
          <w:sz w:val="22"/>
          <w:szCs w:val="22"/>
          <w:lang w:val="en-GB"/>
        </w:rPr>
        <w:t xml:space="preserve"> respective</w:t>
      </w:r>
      <w:r>
        <w:rPr>
          <w:sz w:val="22"/>
          <w:szCs w:val="22"/>
          <w:lang w:val="en-GB"/>
        </w:rPr>
        <w:t xml:space="preserve"> countries</w:t>
      </w:r>
      <w:r w:rsidR="00C664C8">
        <w:rPr>
          <w:sz w:val="22"/>
          <w:szCs w:val="22"/>
          <w:lang w:val="en-GB"/>
        </w:rPr>
        <w:t>.</w:t>
      </w:r>
      <w:r>
        <w:rPr>
          <w:sz w:val="22"/>
          <w:szCs w:val="22"/>
          <w:lang w:val="en-GB"/>
        </w:rPr>
        <w:t xml:space="preserve"> </w:t>
      </w:r>
    </w:p>
    <w:p w14:paraId="13AFF159" w14:textId="77777777" w:rsidR="001E4076" w:rsidRPr="00C07864" w:rsidRDefault="001E4076" w:rsidP="001E4076">
      <w:pPr>
        <w:jc w:val="both"/>
        <w:rPr>
          <w:sz w:val="22"/>
          <w:szCs w:val="22"/>
          <w:lang w:val="en-GB"/>
        </w:rPr>
      </w:pPr>
    </w:p>
    <w:p w14:paraId="44A54E8E" w14:textId="48663299" w:rsidR="00356210" w:rsidRPr="00356210" w:rsidRDefault="00356210" w:rsidP="001E4076">
      <w:pPr>
        <w:jc w:val="both"/>
        <w:rPr>
          <w:sz w:val="22"/>
          <w:szCs w:val="22"/>
        </w:rPr>
      </w:pPr>
      <w:r w:rsidRPr="00356210">
        <w:rPr>
          <w:sz w:val="22"/>
          <w:szCs w:val="22"/>
        </w:rPr>
        <w:t>The beneficiaries of ICCWC’s interventions will include:</w:t>
      </w:r>
    </w:p>
    <w:p w14:paraId="14C37E3F" w14:textId="77777777" w:rsidR="00356210" w:rsidRPr="00356210" w:rsidRDefault="00356210" w:rsidP="00A33871">
      <w:pPr>
        <w:pStyle w:val="ListParagraph"/>
        <w:numPr>
          <w:ilvl w:val="1"/>
          <w:numId w:val="35"/>
        </w:numPr>
        <w:spacing w:after="0" w:line="240" w:lineRule="auto"/>
        <w:contextualSpacing w:val="0"/>
        <w:rPr>
          <w:rFonts w:asciiTheme="majorBidi" w:hAnsiTheme="majorBidi" w:cstheme="majorBidi"/>
        </w:rPr>
      </w:pPr>
      <w:r w:rsidRPr="00356210">
        <w:rPr>
          <w:rFonts w:asciiTheme="majorBidi" w:hAnsiTheme="majorBidi" w:cstheme="majorBidi"/>
        </w:rPr>
        <w:t>enforcement agencies, including police, customs, border liaison officers, rangers, forestry/wildlife officials, anti-poaching units, anti-corruption authorities, financial investigation units</w:t>
      </w:r>
    </w:p>
    <w:p w14:paraId="2ACEF681" w14:textId="77777777" w:rsidR="00356210" w:rsidRPr="00356210" w:rsidRDefault="00356210" w:rsidP="00A33871">
      <w:pPr>
        <w:pStyle w:val="ListParagraph"/>
        <w:numPr>
          <w:ilvl w:val="1"/>
          <w:numId w:val="35"/>
        </w:numPr>
        <w:spacing w:after="0" w:line="240" w:lineRule="auto"/>
        <w:contextualSpacing w:val="0"/>
        <w:rPr>
          <w:rFonts w:asciiTheme="majorBidi" w:hAnsiTheme="majorBidi" w:cstheme="majorBidi"/>
        </w:rPr>
      </w:pPr>
      <w:r w:rsidRPr="00356210">
        <w:rPr>
          <w:rFonts w:asciiTheme="majorBidi" w:hAnsiTheme="majorBidi" w:cstheme="majorBidi"/>
        </w:rPr>
        <w:t>criminal justice system actors: prosecutors, judiciary, legislators</w:t>
      </w:r>
    </w:p>
    <w:p w14:paraId="60D36E81" w14:textId="77777777" w:rsidR="00356210" w:rsidRPr="00356210" w:rsidRDefault="00356210" w:rsidP="00A33871">
      <w:pPr>
        <w:pStyle w:val="ListParagraph"/>
        <w:numPr>
          <w:ilvl w:val="1"/>
          <w:numId w:val="35"/>
        </w:numPr>
        <w:spacing w:after="0" w:line="240" w:lineRule="auto"/>
        <w:contextualSpacing w:val="0"/>
        <w:rPr>
          <w:rFonts w:asciiTheme="majorBidi" w:hAnsiTheme="majorBidi" w:cstheme="majorBidi"/>
        </w:rPr>
      </w:pPr>
      <w:r w:rsidRPr="00356210">
        <w:rPr>
          <w:rFonts w:asciiTheme="majorBidi" w:hAnsiTheme="majorBidi" w:cstheme="majorBidi"/>
        </w:rPr>
        <w:t>national wildlife and environmental authorities and decision makers responsible for overseeing protected area conservation and management action</w:t>
      </w:r>
    </w:p>
    <w:p w14:paraId="2A433B2F" w14:textId="0BE88770" w:rsidR="00356210" w:rsidRPr="00356210" w:rsidRDefault="00356210" w:rsidP="00A33871">
      <w:pPr>
        <w:pStyle w:val="ListParagraph"/>
        <w:numPr>
          <w:ilvl w:val="1"/>
          <w:numId w:val="35"/>
        </w:numPr>
        <w:spacing w:after="0" w:line="240" w:lineRule="auto"/>
        <w:contextualSpacing w:val="0"/>
        <w:rPr>
          <w:rFonts w:asciiTheme="majorBidi" w:hAnsiTheme="majorBidi" w:cstheme="majorBidi"/>
        </w:rPr>
      </w:pPr>
      <w:r w:rsidRPr="00356210">
        <w:rPr>
          <w:rFonts w:asciiTheme="majorBidi" w:hAnsiTheme="majorBidi" w:cstheme="majorBidi"/>
        </w:rPr>
        <w:t xml:space="preserve">sub-regional and regional institutions and decision makers responsible for coordinating and facilitating national-level conservation action and for </w:t>
      </w:r>
      <w:r w:rsidR="0004769B" w:rsidRPr="00356210">
        <w:rPr>
          <w:rFonts w:asciiTheme="majorBidi" w:hAnsiTheme="majorBidi" w:cstheme="majorBidi"/>
        </w:rPr>
        <w:t>harmonizing</w:t>
      </w:r>
      <w:r w:rsidRPr="00356210">
        <w:rPr>
          <w:rFonts w:asciiTheme="majorBidi" w:hAnsiTheme="majorBidi" w:cstheme="majorBidi"/>
        </w:rPr>
        <w:t xml:space="preserve"> management approaches across the sub-regions</w:t>
      </w:r>
    </w:p>
    <w:p w14:paraId="70423843" w14:textId="77777777" w:rsidR="00356210" w:rsidRPr="00356210" w:rsidRDefault="00356210" w:rsidP="00A33871">
      <w:pPr>
        <w:pStyle w:val="ListParagraph"/>
        <w:numPr>
          <w:ilvl w:val="1"/>
          <w:numId w:val="35"/>
        </w:numPr>
        <w:spacing w:after="0" w:line="240" w:lineRule="auto"/>
        <w:rPr>
          <w:rFonts w:asciiTheme="majorBidi" w:hAnsiTheme="majorBidi" w:cstheme="majorBidi"/>
        </w:rPr>
      </w:pPr>
      <w:r w:rsidRPr="00356210">
        <w:rPr>
          <w:rFonts w:asciiTheme="majorBidi" w:hAnsiTheme="majorBidi" w:cstheme="majorBidi"/>
        </w:rPr>
        <w:t>rural communities;</w:t>
      </w:r>
    </w:p>
    <w:p w14:paraId="37755967" w14:textId="77777777" w:rsidR="00356210" w:rsidRPr="00356210" w:rsidRDefault="00356210" w:rsidP="00A33871">
      <w:pPr>
        <w:pStyle w:val="ListParagraph"/>
        <w:numPr>
          <w:ilvl w:val="1"/>
          <w:numId w:val="35"/>
        </w:numPr>
        <w:spacing w:after="0" w:line="240" w:lineRule="auto"/>
        <w:rPr>
          <w:rFonts w:asciiTheme="majorBidi" w:hAnsiTheme="majorBidi" w:cstheme="majorBidi"/>
        </w:rPr>
      </w:pPr>
      <w:r w:rsidRPr="00356210">
        <w:rPr>
          <w:rFonts w:asciiTheme="majorBidi" w:hAnsiTheme="majorBidi" w:cstheme="majorBidi"/>
        </w:rPr>
        <w:t>consumer groups and policy makers; and,</w:t>
      </w:r>
    </w:p>
    <w:p w14:paraId="2BF39006" w14:textId="54EE0EEF" w:rsidR="00356210" w:rsidRPr="00356210" w:rsidRDefault="00356210" w:rsidP="00A33871">
      <w:pPr>
        <w:pStyle w:val="ListParagraph"/>
        <w:numPr>
          <w:ilvl w:val="1"/>
          <w:numId w:val="35"/>
        </w:numPr>
        <w:spacing w:after="0" w:line="240" w:lineRule="auto"/>
        <w:contextualSpacing w:val="0"/>
        <w:rPr>
          <w:rFonts w:asciiTheme="majorBidi" w:hAnsiTheme="majorBidi" w:cstheme="majorBidi"/>
        </w:rPr>
      </w:pPr>
      <w:r w:rsidRPr="00356210">
        <w:rPr>
          <w:rFonts w:asciiTheme="majorBidi" w:hAnsiTheme="majorBidi" w:cstheme="majorBidi"/>
        </w:rPr>
        <w:t>non-</w:t>
      </w:r>
      <w:r w:rsidR="00040500">
        <w:rPr>
          <w:rFonts w:asciiTheme="majorBidi" w:hAnsiTheme="majorBidi" w:cstheme="majorBidi"/>
        </w:rPr>
        <w:t>g</w:t>
      </w:r>
      <w:r w:rsidRPr="00356210">
        <w:rPr>
          <w:rFonts w:asciiTheme="majorBidi" w:hAnsiTheme="majorBidi" w:cstheme="majorBidi"/>
        </w:rPr>
        <w:t xml:space="preserve">overnmental </w:t>
      </w:r>
      <w:r w:rsidR="00040500">
        <w:rPr>
          <w:rFonts w:asciiTheme="majorBidi" w:hAnsiTheme="majorBidi" w:cstheme="majorBidi"/>
        </w:rPr>
        <w:t>o</w:t>
      </w:r>
      <w:r w:rsidRPr="00356210">
        <w:rPr>
          <w:rFonts w:asciiTheme="majorBidi" w:hAnsiTheme="majorBidi" w:cstheme="majorBidi"/>
        </w:rPr>
        <w:t>rganisations (NGOs).</w:t>
      </w:r>
    </w:p>
    <w:p w14:paraId="39E8F439" w14:textId="77777777" w:rsidR="00356210" w:rsidRPr="00591462" w:rsidRDefault="00356210" w:rsidP="00356210">
      <w:pPr>
        <w:pStyle w:val="ListParagraph"/>
        <w:ind w:left="1080"/>
        <w:contextualSpacing w:val="0"/>
      </w:pPr>
    </w:p>
    <w:p w14:paraId="38EDF178" w14:textId="66D4CC44" w:rsidR="00356210" w:rsidRDefault="00356210" w:rsidP="00E04A5F">
      <w:pPr>
        <w:jc w:val="both"/>
        <w:rPr>
          <w:sz w:val="22"/>
          <w:szCs w:val="22"/>
        </w:rPr>
      </w:pPr>
      <w:r w:rsidRPr="00356210">
        <w:rPr>
          <w:sz w:val="22"/>
          <w:szCs w:val="22"/>
        </w:rPr>
        <w:t xml:space="preserve">Substantial benefits will result in terms of strengthening capacity to prevent and combat </w:t>
      </w:r>
      <w:r w:rsidR="00042F50">
        <w:rPr>
          <w:sz w:val="22"/>
          <w:szCs w:val="22"/>
        </w:rPr>
        <w:t>WLFC</w:t>
      </w:r>
      <w:r w:rsidR="006F4ADE">
        <w:rPr>
          <w:sz w:val="22"/>
          <w:szCs w:val="22"/>
        </w:rPr>
        <w:t>.</w:t>
      </w:r>
      <w:r w:rsidRPr="00356210">
        <w:rPr>
          <w:sz w:val="22"/>
          <w:szCs w:val="22"/>
        </w:rPr>
        <w:t xml:space="preserve"> In addition, the activities delivered under this </w:t>
      </w:r>
      <w:r w:rsidR="00E04A5F">
        <w:rPr>
          <w:sz w:val="22"/>
          <w:szCs w:val="22"/>
        </w:rPr>
        <w:t>project</w:t>
      </w:r>
      <w:r w:rsidRPr="00356210">
        <w:rPr>
          <w:sz w:val="22"/>
          <w:szCs w:val="22"/>
        </w:rPr>
        <w:t xml:space="preserve"> will result in the development of the essential skills, competencies and overall capacity to counter other forms of serious and organized crime, and improved understanding of and ability to tackle corruption.</w:t>
      </w:r>
    </w:p>
    <w:p w14:paraId="2AFB2CB1" w14:textId="77777777" w:rsidR="006F4ADE" w:rsidRDefault="006F4ADE" w:rsidP="006F4ADE">
      <w:pPr>
        <w:rPr>
          <w:sz w:val="22"/>
          <w:szCs w:val="22"/>
        </w:rPr>
      </w:pPr>
    </w:p>
    <w:p w14:paraId="705A09C3" w14:textId="47F5030B" w:rsidR="006F4ADE" w:rsidRDefault="006F4ADE" w:rsidP="00D300A0">
      <w:pPr>
        <w:jc w:val="both"/>
        <w:rPr>
          <w:sz w:val="22"/>
          <w:szCs w:val="22"/>
        </w:rPr>
      </w:pPr>
      <w:r w:rsidRPr="006F4ADE">
        <w:rPr>
          <w:sz w:val="22"/>
          <w:szCs w:val="22"/>
        </w:rPr>
        <w:t xml:space="preserve">The wider beneficiaries of this project are the entire populations </w:t>
      </w:r>
      <w:r w:rsidR="00D300A0">
        <w:rPr>
          <w:sz w:val="22"/>
          <w:szCs w:val="22"/>
        </w:rPr>
        <w:t>in</w:t>
      </w:r>
      <w:r w:rsidRPr="006F4ADE">
        <w:rPr>
          <w:sz w:val="22"/>
          <w:szCs w:val="22"/>
        </w:rPr>
        <w:t xml:space="preserve"> </w:t>
      </w:r>
      <w:r>
        <w:rPr>
          <w:sz w:val="22"/>
          <w:szCs w:val="22"/>
        </w:rPr>
        <w:t>countries of support</w:t>
      </w:r>
      <w:r w:rsidRPr="006F4ADE">
        <w:rPr>
          <w:sz w:val="22"/>
          <w:szCs w:val="22"/>
        </w:rPr>
        <w:t xml:space="preserve">, however the initiative will have a special focus on enhancing law enforcement structures. If </w:t>
      </w:r>
      <w:r w:rsidR="000E40AB">
        <w:rPr>
          <w:sz w:val="22"/>
          <w:szCs w:val="22"/>
        </w:rPr>
        <w:t xml:space="preserve">WLFC </w:t>
      </w:r>
      <w:r w:rsidRPr="006F4ADE">
        <w:rPr>
          <w:sz w:val="22"/>
          <w:szCs w:val="22"/>
        </w:rPr>
        <w:t xml:space="preserve">is not investigated or not successfully prosecuted due to insufficient evidence, criminals will continue to engage in poaching and wildlife trafficking. </w:t>
      </w:r>
      <w:r w:rsidR="00D300A0">
        <w:rPr>
          <w:sz w:val="22"/>
          <w:szCs w:val="22"/>
        </w:rPr>
        <w:t xml:space="preserve">This </w:t>
      </w:r>
      <w:r w:rsidR="00D300A0" w:rsidRPr="00D300A0">
        <w:rPr>
          <w:sz w:val="22"/>
          <w:szCs w:val="22"/>
        </w:rPr>
        <w:t>pose a threat to health and safety, security, good governance and the sustainable development of States</w:t>
      </w:r>
      <w:r w:rsidR="00D300A0">
        <w:rPr>
          <w:sz w:val="22"/>
          <w:szCs w:val="22"/>
        </w:rPr>
        <w:t>. It</w:t>
      </w:r>
      <w:r w:rsidRPr="006F4ADE">
        <w:rPr>
          <w:sz w:val="22"/>
          <w:szCs w:val="22"/>
        </w:rPr>
        <w:t xml:space="preserve"> affects local communities through increasing crime and creating social instability, while decreasing opportunities for sustainable use of wildlife (e.g. tourism) and disrupting natural ecosystem services. Through this project </w:t>
      </w:r>
      <w:r w:rsidR="00D300A0" w:rsidRPr="00D300A0">
        <w:rPr>
          <w:sz w:val="22"/>
          <w:szCs w:val="22"/>
        </w:rPr>
        <w:t xml:space="preserve">the protection of wildlife </w:t>
      </w:r>
      <w:r w:rsidR="00D300A0">
        <w:rPr>
          <w:sz w:val="22"/>
          <w:szCs w:val="22"/>
        </w:rPr>
        <w:t xml:space="preserve">and addressing wildlife crime will become </w:t>
      </w:r>
      <w:r w:rsidR="00D300A0" w:rsidRPr="00D300A0">
        <w:rPr>
          <w:sz w:val="22"/>
          <w:szCs w:val="22"/>
        </w:rPr>
        <w:t>part of a comprehensive approach to achieving poverty eradication, food security, sustainable development, including conservation and sustainable use of biological diversity, economic growth, social well-being and sustainable livelihoods</w:t>
      </w:r>
      <w:r w:rsidR="00D300A0">
        <w:rPr>
          <w:sz w:val="22"/>
          <w:szCs w:val="22"/>
        </w:rPr>
        <w:t>. C</w:t>
      </w:r>
      <w:r w:rsidRPr="006F4ADE">
        <w:rPr>
          <w:sz w:val="22"/>
          <w:szCs w:val="22"/>
        </w:rPr>
        <w:t xml:space="preserve">ommunities will gain socio-economically from strengthened </w:t>
      </w:r>
      <w:r w:rsidR="000E40AB">
        <w:rPr>
          <w:sz w:val="22"/>
          <w:szCs w:val="22"/>
        </w:rPr>
        <w:t xml:space="preserve">law enforcement </w:t>
      </w:r>
      <w:r w:rsidR="00D300A0">
        <w:rPr>
          <w:sz w:val="22"/>
          <w:szCs w:val="22"/>
        </w:rPr>
        <w:t>to combat wildlife crime</w:t>
      </w:r>
      <w:r w:rsidRPr="006F4ADE">
        <w:rPr>
          <w:sz w:val="22"/>
          <w:szCs w:val="22"/>
        </w:rPr>
        <w:t>, which will ultimately</w:t>
      </w:r>
      <w:r w:rsidR="000E40AB">
        <w:rPr>
          <w:sz w:val="22"/>
          <w:szCs w:val="22"/>
        </w:rPr>
        <w:t xml:space="preserve"> support the</w:t>
      </w:r>
      <w:r w:rsidRPr="006F4ADE">
        <w:rPr>
          <w:sz w:val="22"/>
          <w:szCs w:val="22"/>
        </w:rPr>
        <w:t xml:space="preserve"> increase</w:t>
      </w:r>
      <w:r w:rsidR="000E40AB">
        <w:rPr>
          <w:sz w:val="22"/>
          <w:szCs w:val="22"/>
        </w:rPr>
        <w:t xml:space="preserve"> of</w:t>
      </w:r>
      <w:r w:rsidRPr="006F4ADE">
        <w:rPr>
          <w:sz w:val="22"/>
          <w:szCs w:val="22"/>
        </w:rPr>
        <w:t xml:space="preserve"> criminal conviction rates and decrease poaching and trafficking. Strengthening the criminal justice system in areas affected by </w:t>
      </w:r>
      <w:r w:rsidR="000E40AB">
        <w:rPr>
          <w:sz w:val="22"/>
          <w:szCs w:val="22"/>
        </w:rPr>
        <w:t>WLFC</w:t>
      </w:r>
      <w:r w:rsidRPr="006F4ADE">
        <w:rPr>
          <w:sz w:val="22"/>
          <w:szCs w:val="22"/>
        </w:rPr>
        <w:t xml:space="preserve"> will have far-reaching positive impacts. </w:t>
      </w:r>
    </w:p>
    <w:p w14:paraId="5D778F7B" w14:textId="461CDAE8" w:rsidR="00EB6D81" w:rsidRDefault="00EB6D81" w:rsidP="001B5683">
      <w:pPr>
        <w:jc w:val="both"/>
        <w:rPr>
          <w:sz w:val="22"/>
          <w:szCs w:val="22"/>
        </w:rPr>
      </w:pPr>
    </w:p>
    <w:p w14:paraId="6BCA52EB" w14:textId="77777777" w:rsidR="008E3A79" w:rsidRPr="008E3A79" w:rsidRDefault="008E3A79" w:rsidP="0057618C">
      <w:pPr>
        <w:pStyle w:val="ListParagraph"/>
        <w:numPr>
          <w:ilvl w:val="0"/>
          <w:numId w:val="28"/>
        </w:numPr>
        <w:spacing w:before="100" w:beforeAutospacing="1" w:after="100" w:afterAutospacing="1"/>
        <w:jc w:val="both"/>
        <w:rPr>
          <w:rFonts w:ascii="Cambria" w:hAnsi="Cambria"/>
          <w:b/>
          <w:bCs/>
          <w:sz w:val="26"/>
          <w:szCs w:val="26"/>
        </w:rPr>
      </w:pPr>
      <w:r w:rsidRPr="008E3A79">
        <w:rPr>
          <w:rFonts w:ascii="Cambria" w:hAnsi="Cambria"/>
          <w:b/>
          <w:bCs/>
          <w:sz w:val="26"/>
          <w:szCs w:val="26"/>
        </w:rPr>
        <w:t>PROJECT DESCRIPTION</w:t>
      </w:r>
    </w:p>
    <w:p w14:paraId="7465171B" w14:textId="5A1F322A" w:rsidR="008E3A79" w:rsidRPr="00456325" w:rsidRDefault="008E3A79" w:rsidP="008E3A79">
      <w:pPr>
        <w:pStyle w:val="Heading3"/>
        <w:rPr>
          <w:rFonts w:asciiTheme="majorBidi" w:hAnsiTheme="majorBidi" w:cstheme="majorBidi"/>
          <w:sz w:val="24"/>
          <w:szCs w:val="24"/>
        </w:rPr>
      </w:pPr>
      <w:bookmarkStart w:id="8" w:name="OLE_LINK72"/>
      <w:bookmarkStart w:id="9" w:name="OLE_LINK73"/>
      <w:bookmarkStart w:id="10" w:name="OLE_LINK74"/>
      <w:bookmarkStart w:id="11" w:name="_Toc497992278"/>
      <w:r w:rsidRPr="00456325">
        <w:rPr>
          <w:rFonts w:asciiTheme="majorBidi" w:hAnsiTheme="majorBidi" w:cstheme="majorBidi"/>
          <w:sz w:val="24"/>
          <w:szCs w:val="24"/>
        </w:rPr>
        <w:t>Objectives and results</w:t>
      </w:r>
      <w:bookmarkEnd w:id="11"/>
    </w:p>
    <w:p w14:paraId="2770B3F6" w14:textId="77777777" w:rsidR="005F4158" w:rsidRDefault="005F4158" w:rsidP="00550BA1">
      <w:pPr>
        <w:pStyle w:val="Default"/>
        <w:jc w:val="both"/>
      </w:pPr>
    </w:p>
    <w:p w14:paraId="5855FCB2" w14:textId="2856DD33" w:rsidR="00550BA1" w:rsidRPr="005F4158" w:rsidRDefault="00550BA1" w:rsidP="00550BA1">
      <w:pPr>
        <w:pStyle w:val="Default"/>
        <w:jc w:val="both"/>
        <w:rPr>
          <w:sz w:val="22"/>
          <w:szCs w:val="22"/>
        </w:rPr>
      </w:pPr>
      <w:r w:rsidRPr="005F4158">
        <w:rPr>
          <w:sz w:val="22"/>
          <w:szCs w:val="22"/>
        </w:rPr>
        <w:t xml:space="preserve">The </w:t>
      </w:r>
      <w:r w:rsidRPr="005F4158">
        <w:rPr>
          <w:b/>
          <w:bCs/>
          <w:sz w:val="22"/>
          <w:szCs w:val="22"/>
        </w:rPr>
        <w:t>overall objective</w:t>
      </w:r>
      <w:r w:rsidRPr="005F4158">
        <w:rPr>
          <w:bCs/>
          <w:sz w:val="22"/>
          <w:szCs w:val="22"/>
        </w:rPr>
        <w:t xml:space="preserve"> of the project is </w:t>
      </w:r>
      <w:r w:rsidRPr="005F4158">
        <w:rPr>
          <w:sz w:val="22"/>
          <w:szCs w:val="22"/>
        </w:rPr>
        <w:t>to reinforce security in targeted countries, protect biodiversity in key ecosystems and improve livelihoods of local communities, where they are impacted by wildlife trafficking.</w:t>
      </w:r>
    </w:p>
    <w:p w14:paraId="75CC1B57" w14:textId="77777777" w:rsidR="00550BA1" w:rsidRPr="005F4158" w:rsidRDefault="00550BA1" w:rsidP="00550BA1">
      <w:pPr>
        <w:pStyle w:val="Default"/>
        <w:jc w:val="both"/>
        <w:rPr>
          <w:sz w:val="22"/>
          <w:szCs w:val="22"/>
        </w:rPr>
      </w:pPr>
    </w:p>
    <w:p w14:paraId="3241E147" w14:textId="53BA2608" w:rsidR="00550BA1" w:rsidRPr="005F4158" w:rsidRDefault="00550BA1" w:rsidP="00550BA1">
      <w:pPr>
        <w:pStyle w:val="Default"/>
        <w:rPr>
          <w:sz w:val="22"/>
          <w:szCs w:val="22"/>
        </w:rPr>
      </w:pPr>
      <w:r w:rsidRPr="005F4158">
        <w:rPr>
          <w:sz w:val="22"/>
          <w:szCs w:val="22"/>
        </w:rPr>
        <w:t xml:space="preserve">The </w:t>
      </w:r>
      <w:r w:rsidRPr="005F4158">
        <w:rPr>
          <w:b/>
          <w:sz w:val="22"/>
          <w:szCs w:val="22"/>
        </w:rPr>
        <w:t>specific objective</w:t>
      </w:r>
      <w:r w:rsidRPr="005F4158">
        <w:rPr>
          <w:sz w:val="22"/>
          <w:szCs w:val="22"/>
        </w:rPr>
        <w:t xml:space="preserve"> is to reduce wildlife and forest crime in and between a series of strategic countries of</w:t>
      </w:r>
      <w:r w:rsidR="005F4158" w:rsidRPr="005F4158">
        <w:rPr>
          <w:sz w:val="22"/>
          <w:szCs w:val="22"/>
        </w:rPr>
        <w:t xml:space="preserve"> Africa, Asia and Latin America.</w:t>
      </w:r>
    </w:p>
    <w:p w14:paraId="2751E550" w14:textId="2985DF4F" w:rsidR="005F4158" w:rsidRPr="005F4158" w:rsidRDefault="005F4158" w:rsidP="00550BA1">
      <w:pPr>
        <w:pStyle w:val="Default"/>
        <w:rPr>
          <w:sz w:val="22"/>
          <w:szCs w:val="22"/>
        </w:rPr>
      </w:pPr>
    </w:p>
    <w:p w14:paraId="1F689A61" w14:textId="4EE3767A" w:rsidR="00550BA1" w:rsidRPr="005F4158" w:rsidRDefault="005F4158" w:rsidP="005F4158">
      <w:pPr>
        <w:pStyle w:val="Default"/>
        <w:spacing w:after="135"/>
        <w:jc w:val="both"/>
        <w:rPr>
          <w:sz w:val="22"/>
          <w:szCs w:val="22"/>
        </w:rPr>
      </w:pPr>
      <w:r w:rsidRPr="005F4158">
        <w:rPr>
          <w:sz w:val="22"/>
          <w:szCs w:val="22"/>
        </w:rPr>
        <w:t xml:space="preserve">ICCWC will </w:t>
      </w:r>
      <w:r>
        <w:rPr>
          <w:sz w:val="22"/>
          <w:szCs w:val="22"/>
        </w:rPr>
        <w:t xml:space="preserve">support the implementation of the following </w:t>
      </w:r>
      <w:r w:rsidRPr="006E5B06">
        <w:rPr>
          <w:b/>
          <w:bCs/>
          <w:sz w:val="22"/>
          <w:szCs w:val="22"/>
        </w:rPr>
        <w:t>result</w:t>
      </w:r>
      <w:r w:rsidR="0038331D" w:rsidRPr="006E5B06">
        <w:rPr>
          <w:b/>
          <w:bCs/>
          <w:sz w:val="22"/>
          <w:szCs w:val="22"/>
        </w:rPr>
        <w:t>s</w:t>
      </w:r>
      <w:r w:rsidRPr="006E5B06">
        <w:rPr>
          <w:b/>
          <w:bCs/>
          <w:sz w:val="22"/>
          <w:szCs w:val="22"/>
        </w:rPr>
        <w:t xml:space="preserve"> and specific activities</w:t>
      </w:r>
      <w:r w:rsidR="00B32D48">
        <w:rPr>
          <w:sz w:val="22"/>
          <w:szCs w:val="22"/>
        </w:rPr>
        <w:t>:</w:t>
      </w:r>
    </w:p>
    <w:p w14:paraId="0AF72B45" w14:textId="04026678" w:rsidR="00550BA1" w:rsidRPr="005F4158" w:rsidRDefault="00550BA1" w:rsidP="00B32D48">
      <w:pPr>
        <w:pStyle w:val="Default"/>
        <w:spacing w:after="135"/>
        <w:ind w:left="1134" w:hanging="1134"/>
        <w:jc w:val="both"/>
        <w:rPr>
          <w:b/>
          <w:sz w:val="22"/>
          <w:szCs w:val="22"/>
        </w:rPr>
      </w:pPr>
      <w:r w:rsidRPr="005F4158">
        <w:rPr>
          <w:b/>
          <w:sz w:val="22"/>
          <w:szCs w:val="22"/>
        </w:rPr>
        <w:t xml:space="preserve">Result 1: </w:t>
      </w:r>
      <w:r w:rsidR="00B32D48">
        <w:rPr>
          <w:b/>
          <w:sz w:val="22"/>
          <w:szCs w:val="22"/>
        </w:rPr>
        <w:t>L</w:t>
      </w:r>
      <w:r w:rsidRPr="005F4158">
        <w:rPr>
          <w:b/>
          <w:sz w:val="22"/>
          <w:szCs w:val="22"/>
        </w:rPr>
        <w:t>aw enforcement</w:t>
      </w:r>
      <w:r w:rsidR="00B32D48">
        <w:rPr>
          <w:b/>
          <w:sz w:val="22"/>
          <w:szCs w:val="22"/>
        </w:rPr>
        <w:t xml:space="preserve"> responses to wildlife and forest crime</w:t>
      </w:r>
      <w:r w:rsidRPr="005F4158">
        <w:rPr>
          <w:b/>
          <w:sz w:val="22"/>
          <w:szCs w:val="22"/>
        </w:rPr>
        <w:t xml:space="preserve"> in targeted countries</w:t>
      </w:r>
      <w:r w:rsidR="00B32D48">
        <w:rPr>
          <w:b/>
          <w:sz w:val="22"/>
          <w:szCs w:val="22"/>
        </w:rPr>
        <w:t>,</w:t>
      </w:r>
      <w:r w:rsidRPr="005F4158">
        <w:rPr>
          <w:b/>
          <w:sz w:val="22"/>
          <w:szCs w:val="22"/>
        </w:rPr>
        <w:t xml:space="preserve"> and international coordination</w:t>
      </w:r>
      <w:r w:rsidR="00B32D48">
        <w:rPr>
          <w:b/>
          <w:sz w:val="22"/>
          <w:szCs w:val="22"/>
        </w:rPr>
        <w:t>,</w:t>
      </w:r>
      <w:r w:rsidRPr="005F4158">
        <w:rPr>
          <w:b/>
          <w:sz w:val="22"/>
          <w:szCs w:val="22"/>
        </w:rPr>
        <w:t xml:space="preserve"> improved</w:t>
      </w:r>
    </w:p>
    <w:p w14:paraId="0D39217E" w14:textId="4EEA1B17" w:rsidR="005F4158" w:rsidRPr="005F4158" w:rsidRDefault="005F4158" w:rsidP="005F4158">
      <w:pPr>
        <w:spacing w:after="180"/>
        <w:jc w:val="both"/>
        <w:rPr>
          <w:sz w:val="22"/>
          <w:szCs w:val="22"/>
        </w:rPr>
      </w:pPr>
      <w:r w:rsidRPr="005F4158">
        <w:rPr>
          <w:sz w:val="22"/>
          <w:szCs w:val="22"/>
        </w:rPr>
        <w:t>This result falls under ICCWC Strategic programme</w:t>
      </w:r>
      <w:r>
        <w:rPr>
          <w:sz w:val="22"/>
          <w:szCs w:val="22"/>
        </w:rPr>
        <w:t xml:space="preserve"> priorities</w:t>
      </w:r>
      <w:r w:rsidRPr="005F4158">
        <w:rPr>
          <w:sz w:val="22"/>
          <w:szCs w:val="22"/>
        </w:rPr>
        <w:t xml:space="preserve">, where by providing institutional support and strengthening cooperation and coordination, ICCWC will contribute to: </w:t>
      </w:r>
    </w:p>
    <w:p w14:paraId="63C68715" w14:textId="5747C592" w:rsidR="005F4158" w:rsidRPr="005F4158" w:rsidRDefault="005F4158" w:rsidP="00A33871">
      <w:pPr>
        <w:pStyle w:val="ListParagraph"/>
        <w:numPr>
          <w:ilvl w:val="1"/>
          <w:numId w:val="35"/>
        </w:numPr>
        <w:spacing w:after="0" w:line="240" w:lineRule="auto"/>
        <w:contextualSpacing w:val="0"/>
        <w:rPr>
          <w:rFonts w:asciiTheme="majorBidi" w:hAnsiTheme="majorBidi" w:cstheme="majorBidi"/>
        </w:rPr>
      </w:pPr>
      <w:r w:rsidRPr="005F4158">
        <w:rPr>
          <w:rFonts w:asciiTheme="majorBidi" w:hAnsiTheme="majorBidi" w:cstheme="majorBidi"/>
        </w:rPr>
        <w:t>Strengthened national responses to WLFC through targeted evidence based interventions</w:t>
      </w:r>
    </w:p>
    <w:p w14:paraId="52392631" w14:textId="63A35221" w:rsidR="005F4158" w:rsidRPr="005F4158" w:rsidRDefault="005F4158" w:rsidP="00A33871">
      <w:pPr>
        <w:pStyle w:val="ListParagraph"/>
        <w:numPr>
          <w:ilvl w:val="1"/>
          <w:numId w:val="35"/>
        </w:numPr>
        <w:spacing w:after="0" w:line="240" w:lineRule="auto"/>
        <w:contextualSpacing w:val="0"/>
        <w:rPr>
          <w:rFonts w:asciiTheme="majorBidi" w:hAnsiTheme="majorBidi" w:cstheme="majorBidi"/>
        </w:rPr>
      </w:pPr>
      <w:r w:rsidRPr="005F4158">
        <w:rPr>
          <w:rFonts w:asciiTheme="majorBidi" w:hAnsiTheme="majorBidi" w:cstheme="majorBidi"/>
        </w:rPr>
        <w:t>More effective interagency cooperation and coordination</w:t>
      </w:r>
    </w:p>
    <w:p w14:paraId="757AFF69" w14:textId="39B80983" w:rsidR="005F4158" w:rsidRPr="005F4158" w:rsidRDefault="005F4158" w:rsidP="00A33871">
      <w:pPr>
        <w:pStyle w:val="ListParagraph"/>
        <w:numPr>
          <w:ilvl w:val="1"/>
          <w:numId w:val="35"/>
        </w:numPr>
        <w:spacing w:after="0" w:line="240" w:lineRule="auto"/>
        <w:contextualSpacing w:val="0"/>
        <w:rPr>
          <w:rFonts w:asciiTheme="majorBidi" w:hAnsiTheme="majorBidi" w:cstheme="majorBidi"/>
        </w:rPr>
      </w:pPr>
      <w:r w:rsidRPr="005F4158">
        <w:rPr>
          <w:rFonts w:asciiTheme="majorBidi" w:hAnsiTheme="majorBidi" w:cstheme="majorBidi"/>
        </w:rPr>
        <w:t>Increased law enforcement and prosecutorial interventions</w:t>
      </w:r>
    </w:p>
    <w:p w14:paraId="0AA568A4" w14:textId="6B21CB14" w:rsidR="005F4158" w:rsidRPr="005F4158" w:rsidRDefault="005F4158" w:rsidP="00B32D48">
      <w:pPr>
        <w:pStyle w:val="ListParagraph"/>
        <w:numPr>
          <w:ilvl w:val="1"/>
          <w:numId w:val="35"/>
        </w:numPr>
        <w:spacing w:after="0" w:line="240" w:lineRule="auto"/>
        <w:contextualSpacing w:val="0"/>
        <w:rPr>
          <w:rFonts w:asciiTheme="majorBidi" w:hAnsiTheme="majorBidi" w:cstheme="majorBidi"/>
        </w:rPr>
      </w:pPr>
      <w:r w:rsidRPr="005F4158">
        <w:rPr>
          <w:rFonts w:asciiTheme="majorBidi" w:hAnsiTheme="majorBidi" w:cstheme="majorBidi"/>
        </w:rPr>
        <w:t>Increased prosecutions and convictions of</w:t>
      </w:r>
      <w:r w:rsidR="00B32D48">
        <w:rPr>
          <w:rFonts w:asciiTheme="majorBidi" w:hAnsiTheme="majorBidi" w:cstheme="majorBidi"/>
        </w:rPr>
        <w:t xml:space="preserve"> individuals and</w:t>
      </w:r>
      <w:r w:rsidRPr="005F4158">
        <w:rPr>
          <w:rFonts w:asciiTheme="majorBidi" w:hAnsiTheme="majorBidi" w:cstheme="majorBidi"/>
        </w:rPr>
        <w:t xml:space="preserve"> organized criminal groups</w:t>
      </w:r>
    </w:p>
    <w:p w14:paraId="0835D02D" w14:textId="170754BB" w:rsidR="005F4158" w:rsidRPr="005F4158" w:rsidRDefault="005F4158" w:rsidP="00A33871">
      <w:pPr>
        <w:pStyle w:val="ListParagraph"/>
        <w:numPr>
          <w:ilvl w:val="1"/>
          <w:numId w:val="35"/>
        </w:numPr>
        <w:spacing w:after="0" w:line="240" w:lineRule="auto"/>
        <w:contextualSpacing w:val="0"/>
        <w:rPr>
          <w:rFonts w:asciiTheme="majorBidi" w:hAnsiTheme="majorBidi" w:cstheme="majorBidi"/>
        </w:rPr>
      </w:pPr>
      <w:r w:rsidRPr="005F4158">
        <w:rPr>
          <w:rFonts w:asciiTheme="majorBidi" w:hAnsiTheme="majorBidi" w:cstheme="majorBidi"/>
        </w:rPr>
        <w:t>Increased use of innovative tools and techniques to address WLFC</w:t>
      </w:r>
    </w:p>
    <w:p w14:paraId="213D0A5C" w14:textId="77777777" w:rsidR="005F4158" w:rsidRDefault="005F4158" w:rsidP="00550BA1">
      <w:pPr>
        <w:spacing w:after="180"/>
        <w:jc w:val="both"/>
        <w:rPr>
          <w:sz w:val="22"/>
          <w:szCs w:val="22"/>
        </w:rPr>
      </w:pPr>
    </w:p>
    <w:p w14:paraId="4743BA1A" w14:textId="0A78B508" w:rsidR="00550BA1" w:rsidRPr="005500F0" w:rsidRDefault="00550BA1" w:rsidP="00B32D48">
      <w:pPr>
        <w:shd w:val="clear" w:color="auto" w:fill="F2F2F2" w:themeFill="background1" w:themeFillShade="F2"/>
        <w:spacing w:after="180"/>
        <w:jc w:val="both"/>
        <w:rPr>
          <w:rFonts w:eastAsia="Calibri"/>
          <w:b/>
          <w:bCs/>
          <w:sz w:val="22"/>
          <w:szCs w:val="22"/>
          <w:lang w:eastAsia="zh-CN"/>
        </w:rPr>
      </w:pPr>
      <w:r w:rsidRPr="005500F0">
        <w:rPr>
          <w:b/>
          <w:bCs/>
          <w:sz w:val="22"/>
          <w:szCs w:val="22"/>
        </w:rPr>
        <w:t xml:space="preserve">Result 1.1: </w:t>
      </w:r>
      <w:r w:rsidRPr="005500F0">
        <w:rPr>
          <w:rFonts w:eastAsia="Calibri"/>
          <w:b/>
          <w:bCs/>
          <w:sz w:val="22"/>
          <w:szCs w:val="22"/>
          <w:lang w:eastAsia="zh-CN"/>
        </w:rPr>
        <w:t>Capacities to combat W</w:t>
      </w:r>
      <w:r w:rsidR="00B32D48">
        <w:rPr>
          <w:rFonts w:eastAsia="Calibri"/>
          <w:b/>
          <w:bCs/>
          <w:sz w:val="22"/>
          <w:szCs w:val="22"/>
          <w:lang w:eastAsia="zh-CN"/>
        </w:rPr>
        <w:t>L</w:t>
      </w:r>
      <w:r w:rsidRPr="005500F0">
        <w:rPr>
          <w:rFonts w:eastAsia="Calibri"/>
          <w:b/>
          <w:bCs/>
          <w:sz w:val="22"/>
          <w:szCs w:val="22"/>
          <w:lang w:eastAsia="zh-CN"/>
        </w:rPr>
        <w:t>FC strengthened across the entire criminal justice chain.</w:t>
      </w:r>
    </w:p>
    <w:p w14:paraId="220A0CED" w14:textId="6802351D" w:rsidR="00EC6DC7" w:rsidRDefault="00EC6DC7" w:rsidP="00550BA1">
      <w:pPr>
        <w:spacing w:after="180"/>
        <w:jc w:val="both"/>
        <w:rPr>
          <w:rFonts w:cs="Calibri"/>
          <w:sz w:val="22"/>
          <w:szCs w:val="22"/>
        </w:rPr>
      </w:pPr>
    </w:p>
    <w:p w14:paraId="6FDDAA99" w14:textId="6A343C19" w:rsidR="005500F0" w:rsidRPr="00FD52B4" w:rsidRDefault="005500F0" w:rsidP="005500F0">
      <w:pPr>
        <w:spacing w:after="180"/>
        <w:jc w:val="both"/>
        <w:rPr>
          <w:rFonts w:cs="Calibri"/>
          <w:b/>
          <w:bCs/>
          <w:sz w:val="22"/>
          <w:szCs w:val="22"/>
        </w:rPr>
      </w:pPr>
      <w:r w:rsidRPr="00FD52B4">
        <w:rPr>
          <w:b/>
          <w:bCs/>
          <w:i/>
          <w:sz w:val="22"/>
          <w:szCs w:val="22"/>
        </w:rPr>
        <w:t>Main Activities:</w:t>
      </w:r>
    </w:p>
    <w:p w14:paraId="65095846" w14:textId="5B57C37B" w:rsidR="005500F0" w:rsidRPr="005500F0" w:rsidRDefault="005500F0" w:rsidP="00D37B2C">
      <w:pPr>
        <w:pStyle w:val="ListParagraph"/>
        <w:numPr>
          <w:ilvl w:val="2"/>
          <w:numId w:val="36"/>
        </w:numPr>
        <w:spacing w:after="180"/>
        <w:rPr>
          <w:rFonts w:cs="Calibri"/>
          <w:b/>
          <w:bCs/>
        </w:rPr>
      </w:pPr>
      <w:r w:rsidRPr="005500F0">
        <w:rPr>
          <w:rFonts w:cs="Calibri"/>
          <w:b/>
          <w:bCs/>
        </w:rPr>
        <w:t>Implementation of the ICCWC Wildlife and Forest Crime Analytic Toolkit</w:t>
      </w:r>
      <w:r>
        <w:rPr>
          <w:rFonts w:cs="Calibri"/>
          <w:b/>
          <w:bCs/>
        </w:rPr>
        <w:t xml:space="preserve"> and ICCWC Indicator Framework</w:t>
      </w:r>
      <w:r w:rsidR="007E04E2">
        <w:rPr>
          <w:rFonts w:cs="Calibri"/>
          <w:b/>
          <w:bCs/>
        </w:rPr>
        <w:t xml:space="preserve"> </w:t>
      </w:r>
      <w:r w:rsidR="007E04E2" w:rsidRPr="007E04E2">
        <w:rPr>
          <w:rFonts w:cs="Calibri"/>
        </w:rPr>
        <w:t>(</w:t>
      </w:r>
      <w:r w:rsidR="007E04E2" w:rsidRPr="007E04E2">
        <w:rPr>
          <w:rFonts w:ascii="Arial" w:hAnsi="Arial" w:cs="Arial"/>
          <w:color w:val="000000"/>
          <w:sz w:val="20"/>
          <w:szCs w:val="20"/>
        </w:rPr>
        <w:t>€</w:t>
      </w:r>
      <w:r w:rsidR="00D37B2C">
        <w:rPr>
          <w:rFonts w:ascii="Arial" w:hAnsi="Arial" w:cs="Arial"/>
          <w:color w:val="000000"/>
          <w:sz w:val="20"/>
          <w:szCs w:val="20"/>
        </w:rPr>
        <w:t>576,989</w:t>
      </w:r>
      <w:r w:rsidR="007E04E2" w:rsidRPr="007E04E2">
        <w:rPr>
          <w:rFonts w:cs="Calibri"/>
        </w:rPr>
        <w:t>)</w:t>
      </w:r>
      <w:r w:rsidR="00CE63A7">
        <w:rPr>
          <w:rStyle w:val="FootnoteReference"/>
          <w:rFonts w:cs="Calibri"/>
        </w:rPr>
        <w:footnoteReference w:id="1"/>
      </w:r>
    </w:p>
    <w:p w14:paraId="12E85ED9" w14:textId="53C5A3A2" w:rsidR="00131F40" w:rsidRPr="00D357F8" w:rsidRDefault="00A865D4" w:rsidP="00A865D4">
      <w:pPr>
        <w:jc w:val="both"/>
        <w:rPr>
          <w:sz w:val="22"/>
          <w:szCs w:val="22"/>
        </w:rPr>
      </w:pPr>
      <w:r>
        <w:rPr>
          <w:rFonts w:cs="Calibri"/>
          <w:sz w:val="22"/>
          <w:szCs w:val="22"/>
        </w:rPr>
        <w:t xml:space="preserve">The </w:t>
      </w:r>
      <w:r w:rsidR="005500F0" w:rsidRPr="005500F0">
        <w:rPr>
          <w:rFonts w:cs="Calibri"/>
          <w:sz w:val="22"/>
          <w:szCs w:val="22"/>
        </w:rPr>
        <w:t xml:space="preserve">ICCWC Toolkit is a technical resource to assist a government in understanding the main issues relating to wildlife and forest crime in the country and </w:t>
      </w:r>
      <w:r w:rsidR="00FD52B4" w:rsidRPr="005500F0">
        <w:rPr>
          <w:rFonts w:cs="Calibri"/>
          <w:sz w:val="22"/>
          <w:szCs w:val="22"/>
        </w:rPr>
        <w:t>analyzing</w:t>
      </w:r>
      <w:r w:rsidR="005500F0" w:rsidRPr="005500F0">
        <w:rPr>
          <w:rFonts w:cs="Calibri"/>
          <w:sz w:val="22"/>
          <w:szCs w:val="22"/>
        </w:rPr>
        <w:t xml:space="preserve"> the country’s preventive and criminal justice responses to the</w:t>
      </w:r>
      <w:r>
        <w:rPr>
          <w:rFonts w:cs="Calibri"/>
          <w:sz w:val="22"/>
          <w:szCs w:val="22"/>
        </w:rPr>
        <w:t>se</w:t>
      </w:r>
      <w:r w:rsidR="005500F0" w:rsidRPr="005500F0">
        <w:rPr>
          <w:rFonts w:cs="Calibri"/>
          <w:sz w:val="22"/>
          <w:szCs w:val="22"/>
        </w:rPr>
        <w:t xml:space="preserve"> crimes. The Toolkit will be implemented in selected priority countries. </w:t>
      </w:r>
      <w:r w:rsidR="00131F40" w:rsidRPr="00D357F8">
        <w:rPr>
          <w:sz w:val="22"/>
          <w:szCs w:val="22"/>
        </w:rPr>
        <w:t xml:space="preserve">Implementation of the ICCWC Toolkit </w:t>
      </w:r>
      <w:r w:rsidR="00131F40">
        <w:rPr>
          <w:sz w:val="22"/>
          <w:szCs w:val="22"/>
        </w:rPr>
        <w:t>will be</w:t>
      </w:r>
      <w:r w:rsidR="00131F40" w:rsidRPr="00D357F8">
        <w:rPr>
          <w:sz w:val="22"/>
          <w:szCs w:val="22"/>
        </w:rPr>
        <w:t xml:space="preserve"> led by UNODC to identify key areas to strengthen national responses to wildlife and forest crimes; develop tailor made work plans for capacity building and technical assistance that reflects national needs; and pave the way for more effective and sustainable infrastructure to address wildlife and forest crime.</w:t>
      </w:r>
    </w:p>
    <w:p w14:paraId="328C6D3E" w14:textId="0D1767BB" w:rsidR="005500F0" w:rsidRPr="005500F0" w:rsidRDefault="005500F0" w:rsidP="005500F0">
      <w:pPr>
        <w:spacing w:after="180"/>
        <w:jc w:val="both"/>
        <w:rPr>
          <w:rFonts w:cs="Calibri"/>
          <w:sz w:val="22"/>
          <w:szCs w:val="22"/>
        </w:rPr>
      </w:pPr>
    </w:p>
    <w:p w14:paraId="257BF545" w14:textId="461B194D" w:rsidR="00131F40" w:rsidRDefault="005500F0" w:rsidP="00131F40">
      <w:pPr>
        <w:spacing w:after="180"/>
        <w:jc w:val="both"/>
        <w:rPr>
          <w:sz w:val="22"/>
          <w:szCs w:val="22"/>
        </w:rPr>
      </w:pPr>
      <w:r w:rsidRPr="005500F0">
        <w:rPr>
          <w:rFonts w:cs="Calibri"/>
          <w:sz w:val="22"/>
          <w:szCs w:val="22"/>
        </w:rPr>
        <w:t>ICCWC will support the roll out and use of ICCWC Indicator Framework to establish proper measurement framework</w:t>
      </w:r>
      <w:r w:rsidR="00A865D4">
        <w:rPr>
          <w:rFonts w:cs="Calibri"/>
          <w:sz w:val="22"/>
          <w:szCs w:val="22"/>
        </w:rPr>
        <w:t>s</w:t>
      </w:r>
      <w:r w:rsidRPr="005500F0">
        <w:rPr>
          <w:rFonts w:cs="Calibri"/>
          <w:sz w:val="22"/>
          <w:szCs w:val="22"/>
        </w:rPr>
        <w:t xml:space="preserve"> towards addressing WLFC</w:t>
      </w:r>
      <w:r w:rsidR="00131F40">
        <w:rPr>
          <w:rFonts w:cs="Calibri"/>
          <w:sz w:val="22"/>
          <w:szCs w:val="22"/>
        </w:rPr>
        <w:t xml:space="preserve">. </w:t>
      </w:r>
      <w:r w:rsidR="00131F40" w:rsidRPr="00D357F8">
        <w:rPr>
          <w:sz w:val="22"/>
          <w:szCs w:val="22"/>
        </w:rPr>
        <w:t xml:space="preserve">The ICCWC Indicator Framework is a tool to enable countries to measure and monitor the effectiveness of their law enforcement responses to wildlife and forest crime. It has been developed to work alongside the ICCWC Toolkit to provide an additional assessment tool for use at the national level. While the ICCWC Toolkit provides the means for a comprehensive analysis, the ICCWC Indicator Framework allows for a more rapid assessment of a national law enforcement response to wildlife and forest crime. It also provides a standardized framework to monitor any changes in national law enforcement capacity and effectiveness over time. </w:t>
      </w:r>
    </w:p>
    <w:p w14:paraId="66202D03" w14:textId="77777777" w:rsidR="00131F40" w:rsidRPr="005500F0" w:rsidRDefault="00131F40" w:rsidP="005500F0">
      <w:pPr>
        <w:spacing w:after="180"/>
        <w:jc w:val="both"/>
        <w:rPr>
          <w:rFonts w:cs="Calibri"/>
          <w:sz w:val="22"/>
          <w:szCs w:val="22"/>
        </w:rPr>
      </w:pPr>
    </w:p>
    <w:p w14:paraId="63268079" w14:textId="0D34EA0F" w:rsidR="007E04E2" w:rsidRPr="005500F0" w:rsidRDefault="005500F0" w:rsidP="004C0C2B">
      <w:pPr>
        <w:pStyle w:val="ListParagraph"/>
        <w:numPr>
          <w:ilvl w:val="2"/>
          <w:numId w:val="36"/>
        </w:numPr>
        <w:spacing w:after="180"/>
        <w:rPr>
          <w:rFonts w:cs="Calibri"/>
          <w:b/>
          <w:bCs/>
        </w:rPr>
      </w:pPr>
      <w:r w:rsidRPr="005500F0">
        <w:rPr>
          <w:rFonts w:cs="Calibri"/>
          <w:b/>
          <w:bCs/>
        </w:rPr>
        <w:t>Implementation of a</w:t>
      </w:r>
      <w:r>
        <w:rPr>
          <w:rFonts w:cs="Calibri"/>
          <w:b/>
          <w:bCs/>
        </w:rPr>
        <w:t xml:space="preserve">ction plans </w:t>
      </w:r>
      <w:r w:rsidR="00A865D4">
        <w:rPr>
          <w:rFonts w:cs="Calibri"/>
          <w:b/>
          <w:bCs/>
        </w:rPr>
        <w:t xml:space="preserve">resulting </w:t>
      </w:r>
      <w:r>
        <w:rPr>
          <w:rFonts w:cs="Calibri"/>
          <w:b/>
          <w:bCs/>
        </w:rPr>
        <w:t>from ICCWC Toolkit</w:t>
      </w:r>
      <w:r w:rsidR="00A865D4">
        <w:rPr>
          <w:rFonts w:cs="Calibri"/>
          <w:b/>
          <w:bCs/>
        </w:rPr>
        <w:t xml:space="preserve"> implementation</w:t>
      </w:r>
      <w:r w:rsidR="007E04E2">
        <w:rPr>
          <w:rFonts w:cs="Calibri"/>
          <w:b/>
          <w:bCs/>
        </w:rPr>
        <w:t xml:space="preserve"> </w:t>
      </w:r>
      <w:r w:rsidR="007E04E2" w:rsidRPr="007E04E2">
        <w:rPr>
          <w:rFonts w:cs="Calibri"/>
        </w:rPr>
        <w:t>(</w:t>
      </w:r>
      <w:r w:rsidR="007E04E2" w:rsidRPr="00F7799A">
        <w:rPr>
          <w:rFonts w:cs="Calibri"/>
        </w:rPr>
        <w:t>€</w:t>
      </w:r>
      <w:r w:rsidR="004C0C2B">
        <w:rPr>
          <w:rFonts w:cs="Calibri"/>
        </w:rPr>
        <w:t xml:space="preserve"> 1,432,092</w:t>
      </w:r>
      <w:r w:rsidR="007E04E2" w:rsidRPr="007E04E2">
        <w:rPr>
          <w:rFonts w:cs="Calibri"/>
        </w:rPr>
        <w:t>)</w:t>
      </w:r>
      <w:r w:rsidR="00CE63A7">
        <w:rPr>
          <w:rStyle w:val="FootnoteReference"/>
          <w:rFonts w:cs="Calibri"/>
        </w:rPr>
        <w:footnoteReference w:id="2"/>
      </w:r>
    </w:p>
    <w:p w14:paraId="68052F50" w14:textId="7056B12A" w:rsidR="005500F0" w:rsidRPr="005500F0" w:rsidRDefault="005500F0" w:rsidP="007E04E2">
      <w:pPr>
        <w:pStyle w:val="ListParagraph"/>
        <w:spacing w:after="180"/>
        <w:ind w:left="2304"/>
        <w:rPr>
          <w:rFonts w:cs="Calibri"/>
          <w:b/>
          <w:bCs/>
        </w:rPr>
      </w:pPr>
    </w:p>
    <w:p w14:paraId="29F5010E" w14:textId="38D5C9C6" w:rsidR="005500F0" w:rsidRDefault="004B05DA" w:rsidP="00A865D4">
      <w:pPr>
        <w:spacing w:after="180"/>
        <w:jc w:val="both"/>
        <w:rPr>
          <w:rFonts w:cs="Calibri"/>
          <w:sz w:val="22"/>
          <w:szCs w:val="22"/>
        </w:rPr>
      </w:pPr>
      <w:r w:rsidRPr="005500F0">
        <w:rPr>
          <w:rFonts w:cs="Calibri"/>
          <w:sz w:val="22"/>
          <w:szCs w:val="22"/>
        </w:rPr>
        <w:t>ICCWC partners will provide support for delivery of specific activities to the target countries</w:t>
      </w:r>
      <w:r w:rsidR="005500F0" w:rsidRPr="005500F0">
        <w:rPr>
          <w:rFonts w:cs="Calibri"/>
          <w:sz w:val="22"/>
          <w:szCs w:val="22"/>
        </w:rPr>
        <w:t xml:space="preserve"> where the Toolkit has been completed</w:t>
      </w:r>
      <w:r w:rsidR="00A865D4">
        <w:rPr>
          <w:rFonts w:cs="Calibri"/>
          <w:sz w:val="22"/>
          <w:szCs w:val="22"/>
        </w:rPr>
        <w:t>,</w:t>
      </w:r>
      <w:r w:rsidR="005500F0" w:rsidRPr="005500F0">
        <w:rPr>
          <w:rFonts w:cs="Calibri"/>
          <w:sz w:val="22"/>
          <w:szCs w:val="22"/>
        </w:rPr>
        <w:t xml:space="preserve"> through information exchange, targeted capacity building, analysis and investigative support to enhance progress on national implementation</w:t>
      </w:r>
      <w:r w:rsidR="00A865D4">
        <w:rPr>
          <w:rFonts w:cs="Calibri"/>
          <w:sz w:val="22"/>
          <w:szCs w:val="22"/>
        </w:rPr>
        <w:t xml:space="preserve"> of the action plan resulting from Toolkit implementation</w:t>
      </w:r>
      <w:r w:rsidR="005500F0" w:rsidRPr="005500F0">
        <w:rPr>
          <w:rFonts w:cs="Calibri"/>
          <w:sz w:val="22"/>
          <w:szCs w:val="22"/>
        </w:rPr>
        <w:t xml:space="preserve">. </w:t>
      </w:r>
    </w:p>
    <w:p w14:paraId="7CAA71F7" w14:textId="77777777" w:rsidR="004C0C2B" w:rsidRPr="005500F0" w:rsidRDefault="004C0C2B" w:rsidP="00A865D4">
      <w:pPr>
        <w:spacing w:after="180"/>
        <w:jc w:val="both"/>
        <w:rPr>
          <w:rFonts w:cs="Calibri"/>
          <w:sz w:val="22"/>
          <w:szCs w:val="22"/>
        </w:rPr>
      </w:pPr>
    </w:p>
    <w:p w14:paraId="37364CA1" w14:textId="31CD82C5" w:rsidR="005500F0" w:rsidRPr="005500F0" w:rsidRDefault="005500F0" w:rsidP="004C0C2B">
      <w:pPr>
        <w:pStyle w:val="ListParagraph"/>
        <w:numPr>
          <w:ilvl w:val="2"/>
          <w:numId w:val="36"/>
        </w:numPr>
        <w:spacing w:after="180"/>
        <w:rPr>
          <w:rFonts w:cs="Calibri"/>
          <w:b/>
          <w:bCs/>
        </w:rPr>
      </w:pPr>
      <w:r w:rsidRPr="005500F0">
        <w:rPr>
          <w:rFonts w:cs="Calibri"/>
          <w:b/>
          <w:bCs/>
        </w:rPr>
        <w:t>Training o</w:t>
      </w:r>
      <w:r>
        <w:rPr>
          <w:rFonts w:cs="Calibri"/>
          <w:b/>
          <w:bCs/>
        </w:rPr>
        <w:t>n basic enforcement techniques</w:t>
      </w:r>
      <w:r w:rsidR="007E04E2">
        <w:rPr>
          <w:rFonts w:cs="Calibri"/>
          <w:b/>
          <w:bCs/>
        </w:rPr>
        <w:t xml:space="preserve"> </w:t>
      </w:r>
      <w:r w:rsidR="007E04E2" w:rsidRPr="007E04E2">
        <w:rPr>
          <w:rFonts w:cs="Calibri"/>
        </w:rPr>
        <w:t>(</w:t>
      </w:r>
      <w:r w:rsidR="007E04E2" w:rsidRPr="00F7799A">
        <w:rPr>
          <w:rFonts w:cs="Calibri"/>
        </w:rPr>
        <w:t>€</w:t>
      </w:r>
      <w:r w:rsidR="004C0C2B">
        <w:rPr>
          <w:rFonts w:cs="Calibri"/>
        </w:rPr>
        <w:t>1,357,807</w:t>
      </w:r>
      <w:r w:rsidR="007E04E2" w:rsidRPr="007E04E2">
        <w:rPr>
          <w:rFonts w:cs="Calibri"/>
        </w:rPr>
        <w:t>)</w:t>
      </w:r>
      <w:r w:rsidR="0024285C">
        <w:rPr>
          <w:rStyle w:val="FootnoteReference"/>
          <w:rFonts w:cs="Calibri"/>
        </w:rPr>
        <w:footnoteReference w:id="3"/>
      </w:r>
    </w:p>
    <w:p w14:paraId="39268E76" w14:textId="1D9A2B5A" w:rsidR="005500F0" w:rsidRDefault="005500F0" w:rsidP="00EC18E0">
      <w:pPr>
        <w:pStyle w:val="ListParagraph"/>
        <w:numPr>
          <w:ilvl w:val="0"/>
          <w:numId w:val="46"/>
        </w:numPr>
        <w:spacing w:after="180"/>
        <w:jc w:val="both"/>
        <w:rPr>
          <w:rFonts w:asciiTheme="majorBidi" w:hAnsiTheme="majorBidi" w:cstheme="majorBidi"/>
        </w:rPr>
      </w:pPr>
      <w:r w:rsidRPr="006F7E5C">
        <w:rPr>
          <w:rFonts w:asciiTheme="majorBidi" w:hAnsiTheme="majorBidi" w:cstheme="majorBidi"/>
        </w:rPr>
        <w:t>ICCWC will provide pre-operational assistance on international legal obligations, secure communications systems, intelligence gathering and management, smuggling trends etc</w:t>
      </w:r>
      <w:r w:rsidR="00EC18E0">
        <w:rPr>
          <w:rFonts w:asciiTheme="majorBidi" w:hAnsiTheme="majorBidi" w:cstheme="majorBidi"/>
        </w:rPr>
        <w:t>.</w:t>
      </w:r>
    </w:p>
    <w:p w14:paraId="3E7DEABF" w14:textId="77777777" w:rsidR="00EC18E0" w:rsidRPr="006F7E5C" w:rsidRDefault="00EC18E0" w:rsidP="00EC18E0">
      <w:pPr>
        <w:pStyle w:val="ListParagraph"/>
        <w:spacing w:after="180"/>
        <w:jc w:val="both"/>
        <w:rPr>
          <w:rFonts w:asciiTheme="majorBidi" w:hAnsiTheme="majorBidi" w:cstheme="majorBidi"/>
        </w:rPr>
      </w:pPr>
    </w:p>
    <w:p w14:paraId="173413C5" w14:textId="1EE7725B" w:rsidR="005500F0" w:rsidRDefault="005500F0" w:rsidP="00F27A2C">
      <w:pPr>
        <w:pStyle w:val="ListParagraph"/>
        <w:numPr>
          <w:ilvl w:val="0"/>
          <w:numId w:val="46"/>
        </w:numPr>
        <w:spacing w:after="180"/>
        <w:jc w:val="both"/>
        <w:rPr>
          <w:rFonts w:asciiTheme="majorBidi" w:hAnsiTheme="majorBidi" w:cstheme="majorBidi"/>
        </w:rPr>
      </w:pPr>
      <w:r w:rsidRPr="006F7E5C">
        <w:rPr>
          <w:rFonts w:asciiTheme="majorBidi" w:hAnsiTheme="majorBidi" w:cstheme="majorBidi"/>
        </w:rPr>
        <w:t>Training on crime scene investigation</w:t>
      </w:r>
      <w:r w:rsidR="00A865D4">
        <w:rPr>
          <w:rFonts w:asciiTheme="majorBidi" w:hAnsiTheme="majorBidi" w:cstheme="majorBidi"/>
        </w:rPr>
        <w:t xml:space="preserve"> and preparation of case files for court</w:t>
      </w:r>
      <w:r w:rsidR="006F7E5C" w:rsidRPr="006F7E5C">
        <w:rPr>
          <w:rFonts w:asciiTheme="majorBidi" w:hAnsiTheme="majorBidi" w:cstheme="majorBidi"/>
        </w:rPr>
        <w:t xml:space="preserve"> (</w:t>
      </w:r>
      <w:r w:rsidR="006F7E5C" w:rsidRPr="006F7E5C">
        <w:rPr>
          <w:rFonts w:asciiTheme="majorBidi" w:hAnsiTheme="majorBidi" w:cstheme="majorBidi"/>
          <w:lang w:eastAsia="en-GB"/>
        </w:rPr>
        <w:t>securing the crime scene, search techniques, evidence gathering and preservation and forensics sample collectio</w:t>
      </w:r>
      <w:r w:rsidR="006F7E5C" w:rsidRPr="006F7E5C">
        <w:rPr>
          <w:rFonts w:asciiTheme="majorBidi" w:hAnsiTheme="majorBidi" w:cstheme="majorBidi"/>
        </w:rPr>
        <w:t>n)</w:t>
      </w:r>
      <w:r w:rsidRPr="006F7E5C">
        <w:rPr>
          <w:rFonts w:asciiTheme="majorBidi" w:hAnsiTheme="majorBidi" w:cstheme="majorBidi"/>
        </w:rPr>
        <w:t>, specific frontline officer training (eg Customs) will be provided</w:t>
      </w:r>
      <w:r w:rsidR="00EC18E0">
        <w:rPr>
          <w:rFonts w:asciiTheme="majorBidi" w:hAnsiTheme="majorBidi" w:cstheme="majorBidi"/>
        </w:rPr>
        <w:t>.</w:t>
      </w:r>
    </w:p>
    <w:p w14:paraId="38066C36" w14:textId="77777777" w:rsidR="00B413D2" w:rsidRPr="00B413D2" w:rsidRDefault="00B413D2" w:rsidP="00B413D2">
      <w:pPr>
        <w:pStyle w:val="ListParagraph"/>
        <w:rPr>
          <w:rFonts w:asciiTheme="majorBidi" w:hAnsiTheme="majorBidi" w:cstheme="majorBidi"/>
        </w:rPr>
      </w:pPr>
    </w:p>
    <w:p w14:paraId="301ABCCA" w14:textId="77777777" w:rsidR="00B413D2" w:rsidRPr="006F7E5C" w:rsidRDefault="00B413D2" w:rsidP="00F27A2C">
      <w:pPr>
        <w:pStyle w:val="ListParagraph"/>
        <w:numPr>
          <w:ilvl w:val="0"/>
          <w:numId w:val="46"/>
        </w:numPr>
        <w:spacing w:after="180"/>
        <w:jc w:val="both"/>
        <w:rPr>
          <w:rFonts w:asciiTheme="majorBidi" w:hAnsiTheme="majorBidi" w:cstheme="majorBidi"/>
        </w:rPr>
      </w:pPr>
    </w:p>
    <w:p w14:paraId="6BA15F97" w14:textId="49583C02" w:rsidR="005500F0" w:rsidRPr="005500F0" w:rsidRDefault="00FD52B4" w:rsidP="004C0C2B">
      <w:pPr>
        <w:pStyle w:val="ListParagraph"/>
        <w:numPr>
          <w:ilvl w:val="2"/>
          <w:numId w:val="36"/>
        </w:numPr>
        <w:spacing w:after="180"/>
        <w:rPr>
          <w:rFonts w:cs="Calibri"/>
          <w:b/>
          <w:bCs/>
        </w:rPr>
      </w:pPr>
      <w:r>
        <w:rPr>
          <w:rFonts w:cs="Calibri"/>
          <w:b/>
          <w:bCs/>
        </w:rPr>
        <w:t>S</w:t>
      </w:r>
      <w:r w:rsidRPr="005500F0">
        <w:rPr>
          <w:rFonts w:cs="Calibri"/>
          <w:b/>
          <w:bCs/>
        </w:rPr>
        <w:t>pecialized</w:t>
      </w:r>
      <w:r w:rsidR="005500F0" w:rsidRPr="005500F0">
        <w:rPr>
          <w:rFonts w:cs="Calibri"/>
          <w:b/>
          <w:bCs/>
        </w:rPr>
        <w:t xml:space="preserve"> </w:t>
      </w:r>
      <w:r>
        <w:rPr>
          <w:rFonts w:cs="Calibri"/>
          <w:b/>
          <w:bCs/>
        </w:rPr>
        <w:t>and advanced training delivered</w:t>
      </w:r>
      <w:r w:rsidR="00F7799A">
        <w:rPr>
          <w:rFonts w:cs="Calibri"/>
          <w:b/>
          <w:bCs/>
        </w:rPr>
        <w:t xml:space="preserve"> </w:t>
      </w:r>
      <w:r w:rsidR="00F7799A" w:rsidRPr="007E04E2">
        <w:rPr>
          <w:rFonts w:cs="Calibri"/>
        </w:rPr>
        <w:t>(</w:t>
      </w:r>
      <w:r w:rsidR="00F7799A" w:rsidRPr="00F7799A">
        <w:rPr>
          <w:rFonts w:cs="Calibri"/>
        </w:rPr>
        <w:t>€</w:t>
      </w:r>
      <w:r w:rsidR="004C0C2B">
        <w:rPr>
          <w:rFonts w:cs="Calibri"/>
        </w:rPr>
        <w:t>1,689,160)</w:t>
      </w:r>
      <w:r w:rsidR="00E01122">
        <w:rPr>
          <w:rStyle w:val="FootnoteReference"/>
          <w:rFonts w:cs="Calibri"/>
        </w:rPr>
        <w:footnoteReference w:id="4"/>
      </w:r>
    </w:p>
    <w:p w14:paraId="31EECACA" w14:textId="77777777" w:rsidR="0005005D" w:rsidRDefault="005500F0" w:rsidP="0005005D">
      <w:pPr>
        <w:spacing w:after="180"/>
        <w:jc w:val="both"/>
        <w:rPr>
          <w:rFonts w:cs="Calibri"/>
          <w:sz w:val="22"/>
          <w:szCs w:val="22"/>
        </w:rPr>
      </w:pPr>
      <w:r w:rsidRPr="005500F0">
        <w:rPr>
          <w:rFonts w:cs="Calibri"/>
          <w:sz w:val="22"/>
          <w:szCs w:val="22"/>
        </w:rPr>
        <w:t>Specialized training</w:t>
      </w:r>
      <w:r w:rsidR="0005005D">
        <w:rPr>
          <w:rFonts w:cs="Calibri"/>
          <w:sz w:val="22"/>
          <w:szCs w:val="22"/>
        </w:rPr>
        <w:t xml:space="preserve"> will include the following type of training: </w:t>
      </w:r>
    </w:p>
    <w:p w14:paraId="1F0BBF47" w14:textId="45A03D0B" w:rsidR="0005005D" w:rsidRPr="0005005D" w:rsidRDefault="0005005D" w:rsidP="0005005D">
      <w:pPr>
        <w:pStyle w:val="ListParagraph"/>
        <w:numPr>
          <w:ilvl w:val="0"/>
          <w:numId w:val="51"/>
        </w:numPr>
        <w:spacing w:after="180"/>
        <w:jc w:val="both"/>
        <w:rPr>
          <w:rFonts w:ascii="Times New Roman" w:eastAsia="Times New Roman" w:hAnsi="Times New Roman" w:cs="Calibri"/>
          <w:lang w:eastAsia="en-GB"/>
        </w:rPr>
      </w:pPr>
      <w:r>
        <w:rPr>
          <w:rFonts w:ascii="Times New Roman" w:eastAsia="Times New Roman" w:hAnsi="Times New Roman" w:cs="Calibri"/>
          <w:lang w:eastAsia="en-GB"/>
        </w:rPr>
        <w:t>C</w:t>
      </w:r>
      <w:r w:rsidR="005500F0" w:rsidRPr="0005005D">
        <w:rPr>
          <w:rFonts w:ascii="Times New Roman" w:eastAsia="Times New Roman" w:hAnsi="Times New Roman" w:cs="Calibri"/>
          <w:lang w:eastAsia="en-GB"/>
        </w:rPr>
        <w:t xml:space="preserve">overt investigations, </w:t>
      </w:r>
    </w:p>
    <w:p w14:paraId="01A1798E" w14:textId="2DFA168C" w:rsidR="0005005D" w:rsidRDefault="0005005D" w:rsidP="0005005D">
      <w:pPr>
        <w:pStyle w:val="ListParagraph"/>
        <w:numPr>
          <w:ilvl w:val="0"/>
          <w:numId w:val="51"/>
        </w:numPr>
        <w:spacing w:after="180"/>
        <w:jc w:val="both"/>
        <w:rPr>
          <w:rFonts w:ascii="Times New Roman" w:eastAsia="Times New Roman" w:hAnsi="Times New Roman" w:cs="Calibri"/>
          <w:lang w:eastAsia="en-GB"/>
        </w:rPr>
      </w:pPr>
      <w:r>
        <w:rPr>
          <w:rFonts w:ascii="Times New Roman" w:eastAsia="Times New Roman" w:hAnsi="Times New Roman" w:cs="Calibri"/>
          <w:lang w:eastAsia="en-GB"/>
        </w:rPr>
        <w:t>Controlled deliveries</w:t>
      </w:r>
    </w:p>
    <w:p w14:paraId="3C43A504" w14:textId="65DF6246" w:rsidR="0005005D" w:rsidRPr="0005005D" w:rsidRDefault="0005005D" w:rsidP="0005005D">
      <w:pPr>
        <w:pStyle w:val="ListParagraph"/>
        <w:numPr>
          <w:ilvl w:val="0"/>
          <w:numId w:val="51"/>
        </w:numPr>
        <w:spacing w:after="180"/>
        <w:jc w:val="both"/>
        <w:rPr>
          <w:rFonts w:cs="Calibri"/>
        </w:rPr>
      </w:pPr>
      <w:r>
        <w:rPr>
          <w:rFonts w:ascii="Times New Roman" w:eastAsia="Times New Roman" w:hAnsi="Times New Roman" w:cs="Calibri"/>
          <w:lang w:eastAsia="en-GB"/>
        </w:rPr>
        <w:t>A</w:t>
      </w:r>
      <w:r w:rsidR="005500F0" w:rsidRPr="0005005D">
        <w:rPr>
          <w:rFonts w:ascii="Times New Roman" w:eastAsia="Times New Roman" w:hAnsi="Times New Roman" w:cs="Calibri"/>
          <w:lang w:eastAsia="en-GB"/>
        </w:rPr>
        <w:t>nti-money laundering and asset recovery. This includes im</w:t>
      </w:r>
      <w:r>
        <w:rPr>
          <w:rFonts w:ascii="Times New Roman" w:eastAsia="Times New Roman" w:hAnsi="Times New Roman" w:cs="Calibri"/>
          <w:lang w:eastAsia="en-GB"/>
        </w:rPr>
        <w:t>plementation of the ICCWC anti-M</w:t>
      </w:r>
      <w:r w:rsidR="005500F0" w:rsidRPr="0005005D">
        <w:rPr>
          <w:rFonts w:ascii="Times New Roman" w:eastAsia="Times New Roman" w:hAnsi="Times New Roman" w:cs="Calibri"/>
          <w:lang w:eastAsia="en-GB"/>
        </w:rPr>
        <w:t>oney laundering training programme</w:t>
      </w:r>
    </w:p>
    <w:p w14:paraId="31E5EAFE" w14:textId="3EA32E76" w:rsidR="0005005D" w:rsidRPr="0005005D" w:rsidRDefault="0005005D" w:rsidP="0005005D">
      <w:pPr>
        <w:pStyle w:val="ListParagraph"/>
        <w:numPr>
          <w:ilvl w:val="0"/>
          <w:numId w:val="51"/>
        </w:numPr>
        <w:spacing w:after="180"/>
        <w:jc w:val="both"/>
        <w:rPr>
          <w:rFonts w:ascii="Times New Roman" w:eastAsia="Times New Roman" w:hAnsi="Times New Roman" w:cs="Calibri"/>
          <w:lang w:eastAsia="en-GB"/>
        </w:rPr>
      </w:pPr>
      <w:r w:rsidRPr="0005005D">
        <w:rPr>
          <w:rFonts w:ascii="Times New Roman" w:eastAsia="Times New Roman" w:hAnsi="Times New Roman" w:cs="Calibri"/>
          <w:lang w:eastAsia="en-GB"/>
        </w:rPr>
        <w:t>Online investigations</w:t>
      </w:r>
    </w:p>
    <w:p w14:paraId="176A78EF" w14:textId="24196B38" w:rsidR="0005005D" w:rsidRPr="0005005D" w:rsidRDefault="0005005D" w:rsidP="0005005D">
      <w:pPr>
        <w:pStyle w:val="ListParagraph"/>
        <w:numPr>
          <w:ilvl w:val="0"/>
          <w:numId w:val="51"/>
        </w:numPr>
        <w:spacing w:after="180"/>
        <w:jc w:val="both"/>
        <w:rPr>
          <w:rFonts w:cs="Calibri"/>
        </w:rPr>
      </w:pPr>
      <w:r w:rsidRPr="0005005D">
        <w:rPr>
          <w:rFonts w:ascii="Times New Roman" w:eastAsia="Times New Roman" w:hAnsi="Times New Roman" w:cs="Calibri"/>
          <w:lang w:eastAsia="en-GB"/>
        </w:rPr>
        <w:t>Developing informants and covert human sources</w:t>
      </w:r>
      <w:r w:rsidRPr="0005005D">
        <w:rPr>
          <w:rFonts w:ascii="Times New Roman" w:eastAsia="Times New Roman" w:hAnsi="Times New Roman" w:cs="Calibri"/>
          <w:lang w:eastAsia="en-GB"/>
        </w:rPr>
        <w:tab/>
      </w:r>
      <w:r w:rsidRPr="0005005D">
        <w:rPr>
          <w:rFonts w:cs="Calibri"/>
        </w:rPr>
        <w:tab/>
      </w:r>
      <w:r w:rsidRPr="0005005D">
        <w:rPr>
          <w:rFonts w:cs="Calibri"/>
        </w:rPr>
        <w:tab/>
      </w:r>
      <w:r w:rsidRPr="0005005D">
        <w:rPr>
          <w:rFonts w:cs="Calibri"/>
        </w:rPr>
        <w:tab/>
      </w:r>
      <w:r w:rsidRPr="0005005D">
        <w:rPr>
          <w:rFonts w:cs="Calibri"/>
        </w:rPr>
        <w:tab/>
      </w:r>
    </w:p>
    <w:p w14:paraId="383FB21E" w14:textId="79232305" w:rsidR="0005005D" w:rsidRPr="005500F0" w:rsidRDefault="0005005D" w:rsidP="0005005D">
      <w:pPr>
        <w:spacing w:after="180"/>
        <w:jc w:val="both"/>
        <w:rPr>
          <w:rFonts w:cs="Calibri"/>
          <w:sz w:val="22"/>
          <w:szCs w:val="22"/>
        </w:rPr>
      </w:pPr>
      <w:r w:rsidRPr="0005005D">
        <w:rPr>
          <w:rFonts w:cs="Calibri"/>
          <w:sz w:val="22"/>
          <w:szCs w:val="22"/>
        </w:rPr>
        <w:tab/>
      </w:r>
      <w:r w:rsidRPr="0005005D">
        <w:rPr>
          <w:rFonts w:cs="Calibri"/>
          <w:sz w:val="22"/>
          <w:szCs w:val="22"/>
        </w:rPr>
        <w:tab/>
      </w:r>
      <w:r w:rsidRPr="0005005D">
        <w:rPr>
          <w:rFonts w:cs="Calibri"/>
          <w:sz w:val="22"/>
          <w:szCs w:val="22"/>
        </w:rPr>
        <w:tab/>
      </w:r>
      <w:r w:rsidRPr="0005005D">
        <w:rPr>
          <w:rFonts w:cs="Calibri"/>
          <w:sz w:val="22"/>
          <w:szCs w:val="22"/>
        </w:rPr>
        <w:tab/>
      </w:r>
      <w:r w:rsidRPr="0005005D">
        <w:rPr>
          <w:rFonts w:cs="Calibri"/>
          <w:sz w:val="22"/>
          <w:szCs w:val="22"/>
        </w:rPr>
        <w:tab/>
      </w:r>
      <w:r w:rsidRPr="0005005D">
        <w:rPr>
          <w:rFonts w:cs="Calibri"/>
          <w:sz w:val="22"/>
          <w:szCs w:val="22"/>
        </w:rPr>
        <w:tab/>
      </w:r>
    </w:p>
    <w:p w14:paraId="4D89383E" w14:textId="60570344" w:rsidR="005500F0" w:rsidRPr="005500F0" w:rsidRDefault="005500F0" w:rsidP="00BB2C83">
      <w:pPr>
        <w:pStyle w:val="ListParagraph"/>
        <w:numPr>
          <w:ilvl w:val="2"/>
          <w:numId w:val="36"/>
        </w:numPr>
        <w:spacing w:after="180"/>
        <w:rPr>
          <w:rFonts w:cs="Calibri"/>
          <w:b/>
          <w:bCs/>
        </w:rPr>
      </w:pPr>
      <w:r>
        <w:rPr>
          <w:rFonts w:cs="Calibri"/>
          <w:b/>
          <w:bCs/>
        </w:rPr>
        <w:t>T</w:t>
      </w:r>
      <w:r w:rsidRPr="005500F0">
        <w:rPr>
          <w:rFonts w:cs="Calibri"/>
          <w:b/>
          <w:bCs/>
        </w:rPr>
        <w:t>raining for judges a</w:t>
      </w:r>
      <w:r>
        <w:rPr>
          <w:rFonts w:cs="Calibri"/>
          <w:b/>
          <w:bCs/>
        </w:rPr>
        <w:t>nd prosecutors, and mentorship</w:t>
      </w:r>
      <w:r w:rsidR="00F7799A">
        <w:rPr>
          <w:rFonts w:cs="Calibri"/>
          <w:b/>
          <w:bCs/>
        </w:rPr>
        <w:t xml:space="preserve"> </w:t>
      </w:r>
      <w:r w:rsidR="00F7799A" w:rsidRPr="007E04E2">
        <w:rPr>
          <w:rFonts w:cs="Calibri"/>
        </w:rPr>
        <w:t>(</w:t>
      </w:r>
      <w:r w:rsidR="00F7799A" w:rsidRPr="00F7799A">
        <w:rPr>
          <w:rFonts w:cs="Calibri"/>
        </w:rPr>
        <w:t>€</w:t>
      </w:r>
      <w:r w:rsidR="00BB2C83">
        <w:rPr>
          <w:rFonts w:cs="Calibri"/>
        </w:rPr>
        <w:t>253,373</w:t>
      </w:r>
      <w:r w:rsidR="00F7799A" w:rsidRPr="007E04E2">
        <w:rPr>
          <w:rFonts w:cs="Calibri"/>
        </w:rPr>
        <w:t>)</w:t>
      </w:r>
      <w:r w:rsidR="00E01122">
        <w:rPr>
          <w:rStyle w:val="FootnoteReference"/>
          <w:rFonts w:cs="Calibri"/>
        </w:rPr>
        <w:footnoteReference w:id="5"/>
      </w:r>
    </w:p>
    <w:p w14:paraId="243F77DE" w14:textId="602372BD" w:rsidR="005500F0" w:rsidRDefault="00E01122" w:rsidP="00A865D4">
      <w:pPr>
        <w:spacing w:after="180"/>
        <w:jc w:val="both"/>
        <w:rPr>
          <w:rFonts w:cs="Calibri"/>
          <w:sz w:val="22"/>
          <w:szCs w:val="22"/>
        </w:rPr>
      </w:pPr>
      <w:r>
        <w:rPr>
          <w:rFonts w:cs="Calibri"/>
          <w:sz w:val="22"/>
          <w:szCs w:val="22"/>
        </w:rPr>
        <w:t>ICCWC will focus on r</w:t>
      </w:r>
      <w:r w:rsidR="005500F0" w:rsidRPr="005500F0">
        <w:rPr>
          <w:rFonts w:cs="Calibri"/>
          <w:sz w:val="22"/>
          <w:szCs w:val="22"/>
        </w:rPr>
        <w:t xml:space="preserve">aising judges’ awareness of serious transnational wildlife crime and enhancing prosecutors’ capacity to deal with wildlife crime cases, including through mentorship and case support. </w:t>
      </w:r>
    </w:p>
    <w:p w14:paraId="7BE2F527" w14:textId="1CCCDC85" w:rsidR="004A4216" w:rsidRDefault="004A4216" w:rsidP="0001628C">
      <w:pPr>
        <w:spacing w:after="180"/>
        <w:jc w:val="both"/>
        <w:rPr>
          <w:rFonts w:cs="Calibri"/>
          <w:sz w:val="22"/>
          <w:szCs w:val="22"/>
        </w:rPr>
      </w:pPr>
      <w:r>
        <w:rPr>
          <w:rFonts w:cs="Calibri"/>
          <w:sz w:val="22"/>
          <w:szCs w:val="22"/>
        </w:rPr>
        <w:t>ICCWC will p</w:t>
      </w:r>
      <w:r w:rsidRPr="004A4216">
        <w:rPr>
          <w:rFonts w:cs="Calibri"/>
          <w:sz w:val="22"/>
          <w:szCs w:val="22"/>
        </w:rPr>
        <w:t>rovide mentorship to prosecutors to build capacity in preparing and presenting wildlife cases in court, applying legislation, including in financial investigations.</w:t>
      </w:r>
      <w:r>
        <w:rPr>
          <w:rFonts w:cs="Calibri"/>
          <w:sz w:val="22"/>
          <w:szCs w:val="22"/>
        </w:rPr>
        <w:t xml:space="preserve"> </w:t>
      </w:r>
      <w:r w:rsidRPr="004A4216">
        <w:rPr>
          <w:rFonts w:cs="Calibri"/>
          <w:sz w:val="22"/>
          <w:szCs w:val="22"/>
        </w:rPr>
        <w:t xml:space="preserve">Providing classroom and on-the-job training opportunities for the prosecution of WLFC, targeting in particular specialized teams of prosecutors. </w:t>
      </w:r>
      <w:r>
        <w:rPr>
          <w:rFonts w:cs="Calibri"/>
          <w:sz w:val="22"/>
          <w:szCs w:val="22"/>
        </w:rPr>
        <w:t>Sp</w:t>
      </w:r>
      <w:r w:rsidRPr="004A4216">
        <w:rPr>
          <w:rFonts w:cs="Calibri"/>
          <w:sz w:val="22"/>
          <w:szCs w:val="22"/>
        </w:rPr>
        <w:t>ecialized advisors will routinely visit prosecutors working on transnational cases of wildlife crime and will provide advisory</w:t>
      </w:r>
      <w:r w:rsidR="0001628C">
        <w:rPr>
          <w:rFonts w:cs="Calibri"/>
          <w:sz w:val="22"/>
          <w:szCs w:val="22"/>
        </w:rPr>
        <w:t xml:space="preserve"> support</w:t>
      </w:r>
      <w:r w:rsidRPr="004A4216">
        <w:rPr>
          <w:rFonts w:cs="Calibri"/>
          <w:sz w:val="22"/>
          <w:szCs w:val="22"/>
        </w:rPr>
        <w:t xml:space="preserve"> as requested, especially in relation to MLA requests. The specialized advisors will be responsible to maintain an efficient working relationship among the prosecutors involved in the </w:t>
      </w:r>
      <w:r w:rsidR="0001628C">
        <w:rPr>
          <w:rFonts w:cs="Calibri"/>
          <w:sz w:val="22"/>
          <w:szCs w:val="22"/>
        </w:rPr>
        <w:t>wildlife inter-regional enforcement</w:t>
      </w:r>
      <w:r w:rsidRPr="004A4216">
        <w:rPr>
          <w:rFonts w:cs="Calibri"/>
          <w:sz w:val="22"/>
          <w:szCs w:val="22"/>
        </w:rPr>
        <w:t xml:space="preserve"> network</w:t>
      </w:r>
      <w:r w:rsidR="009D376D">
        <w:rPr>
          <w:rFonts w:cs="Calibri"/>
          <w:sz w:val="22"/>
          <w:szCs w:val="22"/>
        </w:rPr>
        <w:t xml:space="preserve"> (see activity 1.2.1)</w:t>
      </w:r>
    </w:p>
    <w:p w14:paraId="31E65538" w14:textId="49BFF6F1" w:rsidR="005500F0" w:rsidRPr="007B089B" w:rsidRDefault="005500F0" w:rsidP="00BB2C83">
      <w:pPr>
        <w:pStyle w:val="ListParagraph"/>
        <w:numPr>
          <w:ilvl w:val="2"/>
          <w:numId w:val="36"/>
        </w:numPr>
        <w:spacing w:after="180"/>
        <w:rPr>
          <w:rFonts w:cs="Calibri"/>
          <w:b/>
          <w:bCs/>
        </w:rPr>
      </w:pPr>
      <w:r w:rsidRPr="007B089B">
        <w:rPr>
          <w:rFonts w:cs="Calibri"/>
          <w:b/>
          <w:bCs/>
        </w:rPr>
        <w:t>Implementation of anti-corr</w:t>
      </w:r>
      <w:r w:rsidR="007B089B">
        <w:rPr>
          <w:rFonts w:cs="Calibri"/>
          <w:b/>
          <w:bCs/>
        </w:rPr>
        <w:t>uption measures and strategies</w:t>
      </w:r>
      <w:r w:rsidR="00F7799A">
        <w:rPr>
          <w:rFonts w:cs="Calibri"/>
          <w:b/>
          <w:bCs/>
        </w:rPr>
        <w:t xml:space="preserve"> </w:t>
      </w:r>
      <w:r w:rsidR="00F7799A" w:rsidRPr="007E04E2">
        <w:rPr>
          <w:rFonts w:cs="Calibri"/>
        </w:rPr>
        <w:t>(</w:t>
      </w:r>
      <w:r w:rsidR="00F7799A" w:rsidRPr="00F7799A">
        <w:rPr>
          <w:rFonts w:cs="Calibri"/>
        </w:rPr>
        <w:t>€</w:t>
      </w:r>
      <w:r w:rsidR="00BB2C83">
        <w:rPr>
          <w:rFonts w:cs="Calibri"/>
        </w:rPr>
        <w:t>376</w:t>
      </w:r>
      <w:r w:rsidR="00F7799A" w:rsidRPr="007E04E2">
        <w:rPr>
          <w:rFonts w:cs="Calibri"/>
        </w:rPr>
        <w:t>,</w:t>
      </w:r>
      <w:r w:rsidR="00BB2C83">
        <w:rPr>
          <w:rFonts w:cs="Calibri"/>
        </w:rPr>
        <w:t>297</w:t>
      </w:r>
      <w:r w:rsidR="00F7799A" w:rsidRPr="007E04E2">
        <w:rPr>
          <w:rFonts w:cs="Calibri"/>
        </w:rPr>
        <w:t>)</w:t>
      </w:r>
      <w:r w:rsidR="003E2829">
        <w:rPr>
          <w:rStyle w:val="FootnoteReference"/>
          <w:rFonts w:cs="Calibri"/>
        </w:rPr>
        <w:footnoteReference w:id="6"/>
      </w:r>
    </w:p>
    <w:p w14:paraId="1274E311" w14:textId="3C265C7E" w:rsidR="003E2829" w:rsidRDefault="003E2829" w:rsidP="003E2829">
      <w:pPr>
        <w:spacing w:after="180"/>
        <w:jc w:val="both"/>
        <w:rPr>
          <w:rFonts w:cs="Calibri"/>
          <w:sz w:val="22"/>
          <w:szCs w:val="22"/>
        </w:rPr>
      </w:pPr>
      <w:r>
        <w:rPr>
          <w:rFonts w:cs="Calibri"/>
          <w:sz w:val="22"/>
          <w:szCs w:val="22"/>
        </w:rPr>
        <w:t>The following activities will be delivered:</w:t>
      </w:r>
    </w:p>
    <w:p w14:paraId="36E5AB96" w14:textId="28A88A87" w:rsidR="00F7388F" w:rsidRDefault="00F7388F" w:rsidP="00F7388F">
      <w:pPr>
        <w:pStyle w:val="ListParagraph"/>
        <w:numPr>
          <w:ilvl w:val="0"/>
          <w:numId w:val="51"/>
        </w:numPr>
        <w:spacing w:after="180"/>
        <w:jc w:val="both"/>
        <w:rPr>
          <w:rFonts w:ascii="Times New Roman" w:eastAsia="Times New Roman" w:hAnsi="Times New Roman" w:cs="Calibri"/>
          <w:lang w:eastAsia="en-GB"/>
        </w:rPr>
      </w:pPr>
      <w:r>
        <w:rPr>
          <w:rFonts w:ascii="Times New Roman" w:eastAsia="Times New Roman" w:hAnsi="Times New Roman" w:cs="Calibri"/>
          <w:lang w:eastAsia="en-GB"/>
        </w:rPr>
        <w:t>Convening</w:t>
      </w:r>
      <w:r w:rsidRPr="00F7388F">
        <w:rPr>
          <w:rFonts w:ascii="Times New Roman" w:eastAsia="Times New Roman" w:hAnsi="Times New Roman" w:cs="Calibri"/>
          <w:lang w:eastAsia="en-GB"/>
        </w:rPr>
        <w:t xml:space="preserve"> and facilitat</w:t>
      </w:r>
      <w:r>
        <w:rPr>
          <w:rFonts w:ascii="Times New Roman" w:eastAsia="Times New Roman" w:hAnsi="Times New Roman" w:cs="Calibri"/>
          <w:lang w:eastAsia="en-GB"/>
        </w:rPr>
        <w:t>ing</w:t>
      </w:r>
      <w:r w:rsidRPr="00F7388F">
        <w:rPr>
          <w:rFonts w:ascii="Times New Roman" w:eastAsia="Times New Roman" w:hAnsi="Times New Roman" w:cs="Calibri"/>
          <w:lang w:eastAsia="en-GB"/>
        </w:rPr>
        <w:t xml:space="preserve"> workshops with wildlife management authorities to identify and prioritize corruption</w:t>
      </w:r>
      <w:r>
        <w:rPr>
          <w:rFonts w:ascii="Times New Roman" w:eastAsia="Times New Roman" w:hAnsi="Times New Roman" w:cs="Calibri"/>
          <w:lang w:eastAsia="en-GB"/>
        </w:rPr>
        <w:t xml:space="preserve"> risks</w:t>
      </w:r>
    </w:p>
    <w:p w14:paraId="18B8BE1C" w14:textId="5619CD4B" w:rsidR="00D25B5E" w:rsidRDefault="003E2829" w:rsidP="00D25B5E">
      <w:pPr>
        <w:pStyle w:val="ListParagraph"/>
        <w:numPr>
          <w:ilvl w:val="0"/>
          <w:numId w:val="51"/>
        </w:numPr>
        <w:spacing w:after="180"/>
        <w:jc w:val="both"/>
        <w:rPr>
          <w:rFonts w:ascii="Times New Roman" w:eastAsia="Times New Roman" w:hAnsi="Times New Roman" w:cs="Calibri"/>
          <w:lang w:eastAsia="en-GB"/>
        </w:rPr>
      </w:pPr>
      <w:r w:rsidRPr="003E2829">
        <w:rPr>
          <w:rFonts w:ascii="Times New Roman" w:eastAsia="Times New Roman" w:hAnsi="Times New Roman" w:cs="Calibri"/>
          <w:lang w:eastAsia="en-GB"/>
        </w:rPr>
        <w:t>Training to selected institutions on identification and pri</w:t>
      </w:r>
      <w:r>
        <w:rPr>
          <w:rFonts w:ascii="Times New Roman" w:eastAsia="Times New Roman" w:hAnsi="Times New Roman" w:cs="Calibri"/>
          <w:lang w:eastAsia="en-GB"/>
        </w:rPr>
        <w:t xml:space="preserve">oritization of corruption risks, </w:t>
      </w:r>
      <w:r w:rsidRPr="003E2829">
        <w:rPr>
          <w:rFonts w:ascii="Times New Roman" w:eastAsia="Times New Roman" w:hAnsi="Times New Roman" w:cs="Calibri"/>
          <w:lang w:eastAsia="en-GB"/>
        </w:rPr>
        <w:t>mitigation strategies, implementation and evaluation.</w:t>
      </w:r>
    </w:p>
    <w:p w14:paraId="6C600974" w14:textId="4AF5A449" w:rsidR="005500F0" w:rsidRDefault="00D25B5E" w:rsidP="00DE4611">
      <w:pPr>
        <w:pStyle w:val="ListParagraph"/>
        <w:numPr>
          <w:ilvl w:val="0"/>
          <w:numId w:val="51"/>
        </w:numPr>
        <w:spacing w:after="180"/>
        <w:jc w:val="both"/>
        <w:rPr>
          <w:rFonts w:ascii="Times New Roman" w:eastAsia="Times New Roman" w:hAnsi="Times New Roman" w:cs="Calibri"/>
          <w:lang w:eastAsia="en-GB"/>
        </w:rPr>
      </w:pPr>
      <w:r w:rsidRPr="009B2968">
        <w:rPr>
          <w:rFonts w:ascii="Times New Roman" w:eastAsia="Times New Roman" w:hAnsi="Times New Roman" w:cs="Calibri"/>
          <w:lang w:eastAsia="en-GB"/>
        </w:rPr>
        <w:t>De</w:t>
      </w:r>
      <w:r w:rsidR="005500F0" w:rsidRPr="009B2968">
        <w:rPr>
          <w:rFonts w:ascii="Times New Roman" w:eastAsia="Times New Roman" w:hAnsi="Times New Roman" w:cs="Calibri"/>
          <w:lang w:eastAsia="en-GB"/>
        </w:rPr>
        <w:t xml:space="preserve">velopment of guidelines to promote integrity policies and assist </w:t>
      </w:r>
      <w:r w:rsidR="00DE4611">
        <w:rPr>
          <w:rFonts w:ascii="Times New Roman" w:eastAsia="Times New Roman" w:hAnsi="Times New Roman" w:cs="Calibri"/>
          <w:lang w:eastAsia="en-GB"/>
        </w:rPr>
        <w:t>member States</w:t>
      </w:r>
      <w:r w:rsidR="005500F0" w:rsidRPr="009B2968">
        <w:rPr>
          <w:rFonts w:ascii="Times New Roman" w:eastAsia="Times New Roman" w:hAnsi="Times New Roman" w:cs="Calibri"/>
          <w:lang w:eastAsia="en-GB"/>
        </w:rPr>
        <w:t xml:space="preserve"> to mitigate the risks of corruption in the trade chain as it relates to CITES-listed specimens.</w:t>
      </w:r>
    </w:p>
    <w:p w14:paraId="1882E43E" w14:textId="10FAD128" w:rsidR="00F7388F" w:rsidRDefault="00F7388F" w:rsidP="00F7388F">
      <w:pPr>
        <w:pStyle w:val="ListParagraph"/>
        <w:numPr>
          <w:ilvl w:val="0"/>
          <w:numId w:val="51"/>
        </w:numPr>
        <w:spacing w:after="180"/>
        <w:jc w:val="both"/>
        <w:rPr>
          <w:rFonts w:ascii="Times New Roman" w:eastAsia="Times New Roman" w:hAnsi="Times New Roman" w:cs="Calibri"/>
          <w:lang w:eastAsia="en-GB"/>
        </w:rPr>
      </w:pPr>
      <w:r>
        <w:rPr>
          <w:rFonts w:ascii="Times New Roman" w:eastAsia="Times New Roman" w:hAnsi="Times New Roman" w:cs="Calibri"/>
          <w:lang w:eastAsia="en-GB"/>
        </w:rPr>
        <w:t>Placing</w:t>
      </w:r>
      <w:r w:rsidRPr="00F7388F">
        <w:rPr>
          <w:rFonts w:ascii="Times New Roman" w:eastAsia="Times New Roman" w:hAnsi="Times New Roman" w:cs="Calibri"/>
          <w:lang w:eastAsia="en-GB"/>
        </w:rPr>
        <w:t xml:space="preserve"> medium term mentors in</w:t>
      </w:r>
      <w:r>
        <w:rPr>
          <w:rFonts w:ascii="Times New Roman" w:eastAsia="Times New Roman" w:hAnsi="Times New Roman" w:cs="Calibri"/>
          <w:lang w:eastAsia="en-GB"/>
        </w:rPr>
        <w:t xml:space="preserve"> selected countries</w:t>
      </w:r>
      <w:r w:rsidRPr="00F7388F">
        <w:rPr>
          <w:rFonts w:ascii="Times New Roman" w:eastAsia="Times New Roman" w:hAnsi="Times New Roman" w:cs="Calibri"/>
          <w:lang w:eastAsia="en-GB"/>
        </w:rPr>
        <w:t xml:space="preserve"> support implementation of 5/6 key measures to miti</w:t>
      </w:r>
      <w:r>
        <w:rPr>
          <w:rFonts w:ascii="Times New Roman" w:eastAsia="Times New Roman" w:hAnsi="Times New Roman" w:cs="Calibri"/>
          <w:lang w:eastAsia="en-GB"/>
        </w:rPr>
        <w:t>gate a</w:t>
      </w:r>
      <w:r w:rsidRPr="00F7388F">
        <w:rPr>
          <w:rFonts w:ascii="Times New Roman" w:eastAsia="Times New Roman" w:hAnsi="Times New Roman" w:cs="Calibri"/>
          <w:lang w:eastAsia="en-GB"/>
        </w:rPr>
        <w:t xml:space="preserve"> corru</w:t>
      </w:r>
      <w:r>
        <w:rPr>
          <w:rFonts w:ascii="Times New Roman" w:eastAsia="Times New Roman" w:hAnsi="Times New Roman" w:cs="Calibri"/>
          <w:lang w:eastAsia="en-GB"/>
        </w:rPr>
        <w:t>ption linked to wildlife crime.</w:t>
      </w:r>
    </w:p>
    <w:p w14:paraId="0F2B0A84" w14:textId="7066511A" w:rsidR="009B2968" w:rsidRDefault="00F7388F" w:rsidP="00D450D0">
      <w:pPr>
        <w:pStyle w:val="ListParagraph"/>
        <w:numPr>
          <w:ilvl w:val="0"/>
          <w:numId w:val="51"/>
        </w:numPr>
        <w:spacing w:after="180"/>
        <w:jc w:val="both"/>
        <w:rPr>
          <w:rFonts w:ascii="Times New Roman" w:eastAsia="Times New Roman" w:hAnsi="Times New Roman" w:cs="Calibri"/>
          <w:lang w:eastAsia="en-GB"/>
        </w:rPr>
      </w:pPr>
      <w:r w:rsidRPr="00F7388F">
        <w:rPr>
          <w:rFonts w:ascii="Times New Roman" w:eastAsia="Times New Roman" w:hAnsi="Times New Roman" w:cs="Calibri"/>
          <w:lang w:eastAsia="en-GB"/>
        </w:rPr>
        <w:t>Produc</w:t>
      </w:r>
      <w:r>
        <w:rPr>
          <w:rFonts w:ascii="Times New Roman" w:eastAsia="Times New Roman" w:hAnsi="Times New Roman" w:cs="Calibri"/>
          <w:lang w:eastAsia="en-GB"/>
        </w:rPr>
        <w:t>ing</w:t>
      </w:r>
      <w:r w:rsidRPr="00F7388F">
        <w:rPr>
          <w:rFonts w:ascii="Times New Roman" w:eastAsia="Times New Roman" w:hAnsi="Times New Roman" w:cs="Calibri"/>
          <w:lang w:eastAsia="en-GB"/>
        </w:rPr>
        <w:t xml:space="preserve"> a Compendium of Good Practices</w:t>
      </w:r>
      <w:r>
        <w:rPr>
          <w:rFonts w:ascii="Times New Roman" w:eastAsia="Times New Roman" w:hAnsi="Times New Roman" w:cs="Calibri"/>
          <w:lang w:eastAsia="en-GB"/>
        </w:rPr>
        <w:t xml:space="preserve"> on anti-corruption</w:t>
      </w:r>
      <w:r w:rsidRPr="00F7388F">
        <w:rPr>
          <w:rFonts w:ascii="Times New Roman" w:eastAsia="Times New Roman" w:hAnsi="Times New Roman" w:cs="Calibri"/>
          <w:lang w:eastAsia="en-GB"/>
        </w:rPr>
        <w:t xml:space="preserve"> that wil</w:t>
      </w:r>
      <w:r w:rsidR="00D450D0">
        <w:rPr>
          <w:rFonts w:ascii="Times New Roman" w:eastAsia="Times New Roman" w:hAnsi="Times New Roman" w:cs="Calibri"/>
          <w:lang w:eastAsia="en-GB"/>
        </w:rPr>
        <w:t>l inform national consultations</w:t>
      </w:r>
      <w:r w:rsidRPr="00F7388F">
        <w:rPr>
          <w:rFonts w:ascii="Times New Roman" w:eastAsia="Times New Roman" w:hAnsi="Times New Roman" w:cs="Calibri"/>
          <w:lang w:eastAsia="en-GB"/>
        </w:rPr>
        <w:t>.</w:t>
      </w:r>
    </w:p>
    <w:p w14:paraId="20423A60" w14:textId="77777777" w:rsidR="0011411E" w:rsidRPr="00D25B5E" w:rsidRDefault="0011411E" w:rsidP="00D450D0">
      <w:pPr>
        <w:pStyle w:val="ListParagraph"/>
        <w:numPr>
          <w:ilvl w:val="0"/>
          <w:numId w:val="51"/>
        </w:numPr>
        <w:spacing w:after="180"/>
        <w:jc w:val="both"/>
        <w:rPr>
          <w:rFonts w:ascii="Times New Roman" w:eastAsia="Times New Roman" w:hAnsi="Times New Roman" w:cs="Calibri"/>
          <w:lang w:eastAsia="en-GB"/>
        </w:rPr>
      </w:pPr>
    </w:p>
    <w:p w14:paraId="3B578540" w14:textId="76AEAA33" w:rsidR="005500F0" w:rsidRPr="007B089B" w:rsidRDefault="007B089B" w:rsidP="00BB2C83">
      <w:pPr>
        <w:pStyle w:val="ListParagraph"/>
        <w:numPr>
          <w:ilvl w:val="2"/>
          <w:numId w:val="36"/>
        </w:numPr>
        <w:spacing w:after="180"/>
        <w:rPr>
          <w:rFonts w:cs="Calibri"/>
          <w:b/>
          <w:bCs/>
        </w:rPr>
      </w:pPr>
      <w:r>
        <w:rPr>
          <w:rFonts w:cs="Calibri"/>
          <w:b/>
          <w:bCs/>
        </w:rPr>
        <w:t>Law enforcement m</w:t>
      </w:r>
      <w:r w:rsidR="005500F0" w:rsidRPr="007B089B">
        <w:rPr>
          <w:rFonts w:cs="Calibri"/>
          <w:b/>
          <w:bCs/>
        </w:rPr>
        <w:t>ent</w:t>
      </w:r>
      <w:r w:rsidR="006F7E5C">
        <w:rPr>
          <w:rFonts w:cs="Calibri"/>
          <w:b/>
          <w:bCs/>
        </w:rPr>
        <w:t>orship and twinning programmes</w:t>
      </w:r>
      <w:r w:rsidR="00F7799A">
        <w:rPr>
          <w:rFonts w:cs="Calibri"/>
          <w:b/>
          <w:bCs/>
        </w:rPr>
        <w:t xml:space="preserve"> </w:t>
      </w:r>
      <w:r w:rsidR="00F7799A" w:rsidRPr="007E04E2">
        <w:rPr>
          <w:rFonts w:cs="Calibri"/>
        </w:rPr>
        <w:t>(</w:t>
      </w:r>
      <w:r w:rsidR="00F7799A" w:rsidRPr="00F7799A">
        <w:rPr>
          <w:rFonts w:cs="Calibri"/>
        </w:rPr>
        <w:t>€</w:t>
      </w:r>
      <w:r w:rsidR="00BB2C83">
        <w:rPr>
          <w:rFonts w:cs="Calibri"/>
        </w:rPr>
        <w:t>439</w:t>
      </w:r>
      <w:r w:rsidR="00F7799A" w:rsidRPr="007E04E2">
        <w:rPr>
          <w:rFonts w:cs="Calibri"/>
        </w:rPr>
        <w:t>,</w:t>
      </w:r>
      <w:r w:rsidR="00BB2C83">
        <w:rPr>
          <w:rFonts w:cs="Calibri"/>
        </w:rPr>
        <w:t>013</w:t>
      </w:r>
      <w:r w:rsidR="00F7799A" w:rsidRPr="007E04E2">
        <w:rPr>
          <w:rFonts w:cs="Calibri"/>
        </w:rPr>
        <w:t>)</w:t>
      </w:r>
      <w:r w:rsidR="000430F0">
        <w:rPr>
          <w:rStyle w:val="FootnoteReference"/>
          <w:rFonts w:cs="Calibri"/>
        </w:rPr>
        <w:footnoteReference w:id="7"/>
      </w:r>
    </w:p>
    <w:p w14:paraId="37BC801D" w14:textId="4CAC6660" w:rsidR="00EC6DC7" w:rsidRDefault="005500F0" w:rsidP="00DE4611">
      <w:pPr>
        <w:spacing w:after="180"/>
        <w:jc w:val="both"/>
        <w:rPr>
          <w:rFonts w:cs="Calibri"/>
          <w:sz w:val="22"/>
          <w:szCs w:val="22"/>
        </w:rPr>
      </w:pPr>
      <w:r w:rsidRPr="005500F0">
        <w:rPr>
          <w:rFonts w:cs="Calibri"/>
          <w:sz w:val="22"/>
          <w:szCs w:val="22"/>
        </w:rPr>
        <w:t xml:space="preserve">Secondments of law enforcement officers between countries, networks, or </w:t>
      </w:r>
      <w:r w:rsidR="007B089B">
        <w:rPr>
          <w:rFonts w:cs="Calibri"/>
          <w:sz w:val="22"/>
          <w:szCs w:val="22"/>
        </w:rPr>
        <w:t xml:space="preserve">CITES </w:t>
      </w:r>
      <w:r w:rsidR="00DE4611">
        <w:rPr>
          <w:rFonts w:cs="Calibri"/>
          <w:sz w:val="22"/>
          <w:szCs w:val="22"/>
        </w:rPr>
        <w:t>P</w:t>
      </w:r>
      <w:r w:rsidR="007B089B">
        <w:rPr>
          <w:rFonts w:cs="Calibri"/>
          <w:sz w:val="22"/>
          <w:szCs w:val="22"/>
        </w:rPr>
        <w:t>arties will</w:t>
      </w:r>
      <w:r w:rsidR="00EC18E0">
        <w:rPr>
          <w:rFonts w:cs="Calibri"/>
          <w:sz w:val="22"/>
          <w:szCs w:val="22"/>
        </w:rPr>
        <w:t xml:space="preserve"> </w:t>
      </w:r>
      <w:r w:rsidR="007B089B">
        <w:rPr>
          <w:rFonts w:cs="Calibri"/>
          <w:sz w:val="22"/>
          <w:szCs w:val="22"/>
        </w:rPr>
        <w:t>be supported, which proved to be particularly effective</w:t>
      </w:r>
      <w:r w:rsidR="005177CA">
        <w:rPr>
          <w:rFonts w:cs="Calibri"/>
          <w:sz w:val="22"/>
          <w:szCs w:val="22"/>
        </w:rPr>
        <w:t xml:space="preserve">. </w:t>
      </w:r>
    </w:p>
    <w:p w14:paraId="670E2F48" w14:textId="24724E81" w:rsidR="005177CA" w:rsidRPr="005F4158" w:rsidRDefault="005177CA" w:rsidP="005177CA">
      <w:pPr>
        <w:spacing w:after="180"/>
        <w:jc w:val="both"/>
        <w:rPr>
          <w:rFonts w:cs="Calibri"/>
          <w:sz w:val="22"/>
          <w:szCs w:val="22"/>
        </w:rPr>
      </w:pPr>
      <w:r>
        <w:rPr>
          <w:rFonts w:cs="Calibri"/>
          <w:sz w:val="22"/>
          <w:szCs w:val="22"/>
        </w:rPr>
        <w:t>ICCWC will further p</w:t>
      </w:r>
      <w:r w:rsidRPr="005177CA">
        <w:rPr>
          <w:rFonts w:cs="Calibri"/>
          <w:sz w:val="22"/>
          <w:szCs w:val="22"/>
        </w:rPr>
        <w:t>romote, support and facilitate the secondment of law enforcement officers between key countries and/or networks to address significantly affected by illicit wildlife trafficking.</w:t>
      </w:r>
    </w:p>
    <w:p w14:paraId="2EBDAA35" w14:textId="77777777" w:rsidR="005500F0" w:rsidRDefault="005500F0" w:rsidP="00550BA1">
      <w:pPr>
        <w:jc w:val="both"/>
        <w:rPr>
          <w:sz w:val="22"/>
          <w:szCs w:val="22"/>
        </w:rPr>
      </w:pPr>
    </w:p>
    <w:p w14:paraId="5C3401AA" w14:textId="270124E0" w:rsidR="005500F0" w:rsidRDefault="000430F0" w:rsidP="000430F0">
      <w:pPr>
        <w:jc w:val="both"/>
        <w:rPr>
          <w:sz w:val="22"/>
          <w:szCs w:val="22"/>
        </w:rPr>
      </w:pPr>
      <w:r>
        <w:rPr>
          <w:sz w:val="22"/>
          <w:szCs w:val="22"/>
        </w:rPr>
        <w:t>ICCWC will p</w:t>
      </w:r>
      <w:r w:rsidRPr="000430F0">
        <w:rPr>
          <w:sz w:val="22"/>
          <w:szCs w:val="22"/>
        </w:rPr>
        <w:t xml:space="preserve">romote and support institutional cooperation [twinning] between CITES Parties to facilitate the sharing of knowledge, skills and experiences that will enhance capacity to effectively implement CITES.  </w:t>
      </w:r>
    </w:p>
    <w:p w14:paraId="71F05D0B" w14:textId="404A7C08" w:rsidR="00DF381C" w:rsidRDefault="00DF381C" w:rsidP="000430F0">
      <w:pPr>
        <w:jc w:val="both"/>
        <w:rPr>
          <w:sz w:val="22"/>
          <w:szCs w:val="22"/>
        </w:rPr>
      </w:pPr>
    </w:p>
    <w:p w14:paraId="048510F5" w14:textId="78E34B0F" w:rsidR="00DF381C" w:rsidRDefault="00DF381C" w:rsidP="000430F0">
      <w:pPr>
        <w:jc w:val="both"/>
        <w:rPr>
          <w:sz w:val="22"/>
          <w:szCs w:val="22"/>
        </w:rPr>
      </w:pPr>
    </w:p>
    <w:p w14:paraId="42C373DD" w14:textId="77777777" w:rsidR="00DF381C" w:rsidRDefault="00DF381C" w:rsidP="000430F0">
      <w:pPr>
        <w:jc w:val="both"/>
        <w:rPr>
          <w:sz w:val="22"/>
          <w:szCs w:val="22"/>
        </w:rPr>
      </w:pPr>
    </w:p>
    <w:p w14:paraId="0BEE4C37" w14:textId="21B54E9B" w:rsidR="005500F0" w:rsidRPr="00FD52B4" w:rsidRDefault="007B089B" w:rsidP="00D12F1D">
      <w:pPr>
        <w:pStyle w:val="ListParagraph"/>
        <w:numPr>
          <w:ilvl w:val="2"/>
          <w:numId w:val="36"/>
        </w:numPr>
        <w:spacing w:after="180"/>
        <w:rPr>
          <w:rFonts w:ascii="Times New Roman" w:eastAsia="Times New Roman" w:hAnsi="Times New Roman"/>
          <w:b/>
          <w:bCs/>
          <w:lang w:eastAsia="en-GB"/>
        </w:rPr>
      </w:pPr>
      <w:r w:rsidRPr="00FD52B4">
        <w:rPr>
          <w:rFonts w:ascii="Times New Roman" w:eastAsia="Times New Roman" w:hAnsi="Times New Roman"/>
          <w:b/>
          <w:bCs/>
          <w:lang w:eastAsia="en-GB"/>
        </w:rPr>
        <w:t xml:space="preserve">High level awareness of </w:t>
      </w:r>
      <w:r w:rsidR="00304408" w:rsidRPr="00FD52B4">
        <w:rPr>
          <w:rFonts w:ascii="Times New Roman" w:eastAsia="Times New Roman" w:hAnsi="Times New Roman"/>
          <w:b/>
          <w:bCs/>
          <w:lang w:eastAsia="en-GB"/>
        </w:rPr>
        <w:t>WLFC</w:t>
      </w:r>
      <w:r w:rsidR="00E8125D">
        <w:rPr>
          <w:rFonts w:ascii="Times New Roman" w:eastAsia="Times New Roman" w:hAnsi="Times New Roman"/>
          <w:b/>
          <w:bCs/>
          <w:lang w:eastAsia="en-GB"/>
        </w:rPr>
        <w:t xml:space="preserve"> </w:t>
      </w:r>
      <w:r w:rsidR="00E8125D" w:rsidRPr="007E04E2">
        <w:rPr>
          <w:rFonts w:cs="Calibri"/>
        </w:rPr>
        <w:t>(</w:t>
      </w:r>
      <w:r w:rsidR="00E8125D" w:rsidRPr="00F7799A">
        <w:rPr>
          <w:rFonts w:cs="Calibri"/>
        </w:rPr>
        <w:t>€</w:t>
      </w:r>
      <w:r w:rsidR="003E037A">
        <w:rPr>
          <w:rFonts w:cs="Calibri"/>
        </w:rPr>
        <w:t>1</w:t>
      </w:r>
      <w:r w:rsidR="00D12F1D">
        <w:rPr>
          <w:rFonts w:cs="Calibri"/>
        </w:rPr>
        <w:t>90</w:t>
      </w:r>
      <w:r w:rsidR="00E8125D" w:rsidRPr="007E04E2">
        <w:rPr>
          <w:rFonts w:cs="Calibri"/>
        </w:rPr>
        <w:t>,</w:t>
      </w:r>
      <w:r w:rsidR="00D12F1D">
        <w:rPr>
          <w:rFonts w:cs="Calibri"/>
        </w:rPr>
        <w:t>173</w:t>
      </w:r>
      <w:r w:rsidR="00E8125D" w:rsidRPr="007E04E2">
        <w:rPr>
          <w:rFonts w:cs="Calibri"/>
        </w:rPr>
        <w:t>)</w:t>
      </w:r>
      <w:r w:rsidR="00082ED0">
        <w:rPr>
          <w:rStyle w:val="FootnoteReference"/>
          <w:rFonts w:cs="Calibri"/>
        </w:rPr>
        <w:footnoteReference w:id="8"/>
      </w:r>
    </w:p>
    <w:p w14:paraId="58DCD55B" w14:textId="77777777" w:rsidR="007B089B" w:rsidRDefault="007B089B" w:rsidP="00550BA1">
      <w:pPr>
        <w:jc w:val="both"/>
        <w:rPr>
          <w:sz w:val="22"/>
          <w:szCs w:val="22"/>
        </w:rPr>
      </w:pPr>
    </w:p>
    <w:p w14:paraId="494CE336" w14:textId="0CE05342" w:rsidR="007B089B" w:rsidRDefault="001538AF" w:rsidP="00DE4611">
      <w:pPr>
        <w:jc w:val="both"/>
        <w:rPr>
          <w:sz w:val="22"/>
          <w:szCs w:val="22"/>
        </w:rPr>
      </w:pPr>
      <w:r>
        <w:rPr>
          <w:sz w:val="22"/>
          <w:szCs w:val="22"/>
        </w:rPr>
        <w:t>ICCWC will pr</w:t>
      </w:r>
      <w:r w:rsidR="007B089B" w:rsidRPr="007B089B">
        <w:rPr>
          <w:sz w:val="22"/>
          <w:szCs w:val="22"/>
        </w:rPr>
        <w:t>omote high level awareness of WLFC to raise political will to tackle it, and promote</w:t>
      </w:r>
      <w:r w:rsidR="00DE4611">
        <w:rPr>
          <w:sz w:val="22"/>
          <w:szCs w:val="22"/>
        </w:rPr>
        <w:t xml:space="preserve"> the</w:t>
      </w:r>
      <w:r w:rsidR="007B089B" w:rsidRPr="007B089B">
        <w:rPr>
          <w:sz w:val="22"/>
          <w:szCs w:val="22"/>
        </w:rPr>
        <w:t xml:space="preserve"> use of the ICCWC tools and services at relevant fora (e.g. CITES Standing Committee, CoP etc).</w:t>
      </w:r>
    </w:p>
    <w:p w14:paraId="1868066D" w14:textId="77777777" w:rsidR="00D972D6" w:rsidRDefault="00D972D6" w:rsidP="001538AF">
      <w:pPr>
        <w:jc w:val="both"/>
        <w:rPr>
          <w:sz w:val="22"/>
          <w:szCs w:val="22"/>
        </w:rPr>
      </w:pPr>
    </w:p>
    <w:p w14:paraId="3F14F934" w14:textId="71BE6049" w:rsidR="001538AF" w:rsidRDefault="001538AF" w:rsidP="00221B55">
      <w:pPr>
        <w:jc w:val="both"/>
        <w:rPr>
          <w:sz w:val="22"/>
          <w:szCs w:val="22"/>
        </w:rPr>
      </w:pPr>
      <w:r>
        <w:rPr>
          <w:sz w:val="22"/>
          <w:szCs w:val="22"/>
        </w:rPr>
        <w:t>ICCWC will</w:t>
      </w:r>
      <w:r w:rsidRPr="001538AF">
        <w:rPr>
          <w:sz w:val="22"/>
          <w:szCs w:val="22"/>
        </w:rPr>
        <w:t xml:space="preserve"> organize </w:t>
      </w:r>
      <w:r w:rsidR="00DE4611">
        <w:rPr>
          <w:sz w:val="22"/>
          <w:szCs w:val="22"/>
        </w:rPr>
        <w:t xml:space="preserve">at least </w:t>
      </w:r>
      <w:r w:rsidRPr="001538AF">
        <w:rPr>
          <w:sz w:val="22"/>
          <w:szCs w:val="22"/>
        </w:rPr>
        <w:t xml:space="preserve">one side event per year at each </w:t>
      </w:r>
      <w:r>
        <w:rPr>
          <w:sz w:val="22"/>
          <w:szCs w:val="22"/>
        </w:rPr>
        <w:t>CITES Standing Committee</w:t>
      </w:r>
      <w:r w:rsidRPr="001538AF">
        <w:rPr>
          <w:sz w:val="22"/>
          <w:szCs w:val="22"/>
        </w:rPr>
        <w:t>,</w:t>
      </w:r>
      <w:r>
        <w:rPr>
          <w:sz w:val="22"/>
          <w:szCs w:val="22"/>
        </w:rPr>
        <w:t xml:space="preserve"> Crime Prevention and Criminal Justice Commission, CITES Conference of the Parties (</w:t>
      </w:r>
      <w:r w:rsidRPr="001538AF">
        <w:rPr>
          <w:sz w:val="22"/>
          <w:szCs w:val="22"/>
        </w:rPr>
        <w:t>among others).</w:t>
      </w:r>
    </w:p>
    <w:p w14:paraId="6A895EAC" w14:textId="3113FFFA" w:rsidR="007B089B" w:rsidRPr="00304408" w:rsidRDefault="007B089B" w:rsidP="00304408">
      <w:pPr>
        <w:spacing w:after="180"/>
        <w:ind w:left="1800"/>
      </w:pPr>
    </w:p>
    <w:p w14:paraId="6628A1E1" w14:textId="371320B9" w:rsidR="00304408" w:rsidRPr="00FD52B4" w:rsidRDefault="00304408" w:rsidP="0018375D">
      <w:pPr>
        <w:pStyle w:val="ListParagraph"/>
        <w:numPr>
          <w:ilvl w:val="2"/>
          <w:numId w:val="36"/>
        </w:numPr>
        <w:spacing w:after="180"/>
        <w:rPr>
          <w:rFonts w:ascii="Times New Roman" w:eastAsia="Times New Roman" w:hAnsi="Times New Roman"/>
          <w:b/>
          <w:bCs/>
          <w:lang w:eastAsia="en-GB"/>
        </w:rPr>
      </w:pPr>
      <w:r w:rsidRPr="00FD52B4">
        <w:rPr>
          <w:rFonts w:ascii="Times New Roman" w:eastAsia="Times New Roman" w:hAnsi="Times New Roman"/>
          <w:b/>
          <w:bCs/>
          <w:lang w:eastAsia="en-GB"/>
        </w:rPr>
        <w:t>Develop practical tools and services</w:t>
      </w:r>
      <w:r w:rsidR="00F675D6">
        <w:rPr>
          <w:rFonts w:ascii="Times New Roman" w:eastAsia="Times New Roman" w:hAnsi="Times New Roman"/>
          <w:b/>
          <w:bCs/>
          <w:lang w:eastAsia="en-GB"/>
        </w:rPr>
        <w:t>, research</w:t>
      </w:r>
      <w:r w:rsidR="00E078C8">
        <w:rPr>
          <w:rFonts w:ascii="Times New Roman" w:eastAsia="Times New Roman" w:hAnsi="Times New Roman"/>
          <w:b/>
          <w:bCs/>
          <w:lang w:eastAsia="en-GB"/>
        </w:rPr>
        <w:t xml:space="preserve"> and forensics</w:t>
      </w:r>
      <w:r w:rsidR="006F7E5C">
        <w:rPr>
          <w:rFonts w:ascii="Times New Roman" w:eastAsia="Times New Roman" w:hAnsi="Times New Roman"/>
          <w:b/>
          <w:bCs/>
          <w:lang w:eastAsia="en-GB"/>
        </w:rPr>
        <w:t xml:space="preserve"> </w:t>
      </w:r>
      <w:r w:rsidR="00E8125D" w:rsidRPr="007E04E2">
        <w:rPr>
          <w:rFonts w:cs="Calibri"/>
        </w:rPr>
        <w:t>(</w:t>
      </w:r>
      <w:r w:rsidR="00E8125D" w:rsidRPr="00F7799A">
        <w:rPr>
          <w:rFonts w:cs="Calibri"/>
        </w:rPr>
        <w:t>€</w:t>
      </w:r>
      <w:r w:rsidR="0018375D">
        <w:rPr>
          <w:rFonts w:cs="Calibri"/>
        </w:rPr>
        <w:t>915</w:t>
      </w:r>
      <w:r w:rsidR="00E8125D" w:rsidRPr="007E04E2">
        <w:rPr>
          <w:rFonts w:cs="Calibri"/>
        </w:rPr>
        <w:t>,</w:t>
      </w:r>
      <w:r w:rsidR="0018375D">
        <w:rPr>
          <w:rFonts w:cs="Calibri"/>
        </w:rPr>
        <w:t>65</w:t>
      </w:r>
      <w:r w:rsidR="00702C09">
        <w:rPr>
          <w:rFonts w:cs="Calibri"/>
        </w:rPr>
        <w:t>1</w:t>
      </w:r>
      <w:r w:rsidR="00E8125D" w:rsidRPr="007E04E2">
        <w:rPr>
          <w:rFonts w:cs="Calibri"/>
        </w:rPr>
        <w:t>)</w:t>
      </w:r>
      <w:r w:rsidR="00871E87">
        <w:rPr>
          <w:rStyle w:val="FootnoteReference"/>
          <w:rFonts w:cs="Calibri"/>
        </w:rPr>
        <w:footnoteReference w:id="9"/>
      </w:r>
    </w:p>
    <w:p w14:paraId="7A6BA9F0" w14:textId="77777777" w:rsidR="00304408" w:rsidRPr="00FD52B4" w:rsidRDefault="00304408" w:rsidP="00304408">
      <w:pPr>
        <w:jc w:val="both"/>
        <w:rPr>
          <w:rFonts w:asciiTheme="majorBidi" w:hAnsiTheme="majorBidi" w:cstheme="majorBidi"/>
          <w:sz w:val="22"/>
          <w:szCs w:val="22"/>
        </w:rPr>
      </w:pPr>
      <w:r w:rsidRPr="00FD52B4">
        <w:rPr>
          <w:rFonts w:asciiTheme="majorBidi" w:hAnsiTheme="majorBidi" w:cstheme="majorBidi"/>
          <w:sz w:val="22"/>
          <w:szCs w:val="22"/>
        </w:rPr>
        <w:t>ICCWC will develop:</w:t>
      </w:r>
    </w:p>
    <w:p w14:paraId="2942EC2D" w14:textId="2F80D751" w:rsidR="00304408" w:rsidRPr="00FD52B4" w:rsidRDefault="00306623" w:rsidP="00DE4611">
      <w:pPr>
        <w:pStyle w:val="ListParagraph"/>
        <w:numPr>
          <w:ilvl w:val="1"/>
          <w:numId w:val="35"/>
        </w:numPr>
        <w:jc w:val="both"/>
        <w:rPr>
          <w:rFonts w:asciiTheme="majorBidi" w:hAnsiTheme="majorBidi" w:cstheme="majorBidi"/>
        </w:rPr>
      </w:pPr>
      <w:r>
        <w:rPr>
          <w:rFonts w:asciiTheme="majorBidi" w:hAnsiTheme="majorBidi" w:cstheme="majorBidi"/>
        </w:rPr>
        <w:t xml:space="preserve"> G</w:t>
      </w:r>
      <w:r w:rsidR="00304408" w:rsidRPr="00FD52B4">
        <w:rPr>
          <w:rFonts w:asciiTheme="majorBidi" w:hAnsiTheme="majorBidi" w:cstheme="majorBidi"/>
        </w:rPr>
        <w:t xml:space="preserve">uidelines to combat wildlife crime linked to the Internet </w:t>
      </w:r>
      <w:r>
        <w:rPr>
          <w:rFonts w:asciiTheme="majorBidi" w:hAnsiTheme="majorBidi" w:cstheme="majorBidi"/>
        </w:rPr>
        <w:t xml:space="preserve">more effectively and support </w:t>
      </w:r>
      <w:r w:rsidR="00DE4611">
        <w:rPr>
          <w:rFonts w:asciiTheme="majorBidi" w:hAnsiTheme="majorBidi" w:cstheme="majorBidi"/>
        </w:rPr>
        <w:t>e</w:t>
      </w:r>
      <w:r w:rsidR="00304408" w:rsidRPr="00FD52B4">
        <w:rPr>
          <w:rFonts w:asciiTheme="majorBidi" w:hAnsiTheme="majorBidi" w:cstheme="majorBidi"/>
        </w:rPr>
        <w:t xml:space="preserve">fforts to combat wildlife crime linked to the Internet; </w:t>
      </w:r>
    </w:p>
    <w:p w14:paraId="68686A14" w14:textId="7CD10F92" w:rsidR="00304408" w:rsidRPr="00FD52B4" w:rsidRDefault="00306623" w:rsidP="00DE4611">
      <w:pPr>
        <w:pStyle w:val="ListParagraph"/>
        <w:numPr>
          <w:ilvl w:val="1"/>
          <w:numId w:val="35"/>
        </w:numPr>
        <w:jc w:val="both"/>
        <w:rPr>
          <w:rFonts w:asciiTheme="majorBidi" w:hAnsiTheme="majorBidi" w:cstheme="majorBidi"/>
        </w:rPr>
      </w:pPr>
      <w:r>
        <w:rPr>
          <w:rFonts w:asciiTheme="majorBidi" w:hAnsiTheme="majorBidi" w:cstheme="majorBidi"/>
        </w:rPr>
        <w:t>G</w:t>
      </w:r>
      <w:r w:rsidR="00304408" w:rsidRPr="00FD52B4">
        <w:rPr>
          <w:rFonts w:asciiTheme="majorBidi" w:hAnsiTheme="majorBidi" w:cstheme="majorBidi"/>
        </w:rPr>
        <w:t>uide on legal provisions and sentencing</w:t>
      </w:r>
      <w:r w:rsidR="00D378DA">
        <w:rPr>
          <w:rFonts w:asciiTheme="majorBidi" w:hAnsiTheme="majorBidi" w:cstheme="majorBidi"/>
        </w:rPr>
        <w:t xml:space="preserve"> </w:t>
      </w:r>
      <w:r w:rsidR="00D378DA" w:rsidRPr="00D378DA">
        <w:rPr>
          <w:rFonts w:asciiTheme="majorBidi" w:hAnsiTheme="majorBidi" w:cstheme="majorBidi"/>
        </w:rPr>
        <w:t xml:space="preserve">to update national legislation and capacity </w:t>
      </w:r>
      <w:r w:rsidR="00DE4611">
        <w:rPr>
          <w:rFonts w:asciiTheme="majorBidi" w:hAnsiTheme="majorBidi" w:cstheme="majorBidi"/>
        </w:rPr>
        <w:t xml:space="preserve"> </w:t>
      </w:r>
      <w:r w:rsidR="00D378DA" w:rsidRPr="00D378DA">
        <w:rPr>
          <w:rFonts w:asciiTheme="majorBidi" w:hAnsiTheme="majorBidi" w:cstheme="majorBidi"/>
        </w:rPr>
        <w:t>build</w:t>
      </w:r>
      <w:r w:rsidR="00D378DA">
        <w:rPr>
          <w:rFonts w:asciiTheme="majorBidi" w:hAnsiTheme="majorBidi" w:cstheme="majorBidi"/>
        </w:rPr>
        <w:t>ing materials on wildlife crime</w:t>
      </w:r>
      <w:r w:rsidR="00304408" w:rsidRPr="00D378DA">
        <w:rPr>
          <w:rFonts w:asciiTheme="majorBidi" w:hAnsiTheme="majorBidi" w:cstheme="majorBidi"/>
        </w:rPr>
        <w:t>;</w:t>
      </w:r>
    </w:p>
    <w:p w14:paraId="62EA16CA" w14:textId="7379D754" w:rsidR="00304408" w:rsidRDefault="00306623" w:rsidP="00A33871">
      <w:pPr>
        <w:pStyle w:val="ListParagraph"/>
        <w:numPr>
          <w:ilvl w:val="1"/>
          <w:numId w:val="35"/>
        </w:numPr>
        <w:jc w:val="both"/>
        <w:rPr>
          <w:rFonts w:asciiTheme="majorBidi" w:hAnsiTheme="majorBidi" w:cstheme="majorBidi"/>
        </w:rPr>
      </w:pPr>
      <w:r>
        <w:rPr>
          <w:rFonts w:asciiTheme="majorBidi" w:hAnsiTheme="majorBidi" w:cstheme="majorBidi"/>
        </w:rPr>
        <w:t xml:space="preserve"> F</w:t>
      </w:r>
      <w:r w:rsidR="00304408" w:rsidRPr="00FD52B4">
        <w:rPr>
          <w:rFonts w:asciiTheme="majorBidi" w:hAnsiTheme="majorBidi" w:cstheme="majorBidi"/>
        </w:rPr>
        <w:t>rontline customs officer guides</w:t>
      </w:r>
      <w:r w:rsidR="006F7E5C">
        <w:rPr>
          <w:rFonts w:asciiTheme="majorBidi" w:hAnsiTheme="majorBidi" w:cstheme="majorBidi"/>
        </w:rPr>
        <w:t>, including on crime scene management</w:t>
      </w:r>
      <w:r w:rsidR="00304408" w:rsidRPr="00FD52B4">
        <w:rPr>
          <w:rFonts w:asciiTheme="majorBidi" w:hAnsiTheme="majorBidi" w:cstheme="majorBidi"/>
        </w:rPr>
        <w:t xml:space="preserve">. </w:t>
      </w:r>
    </w:p>
    <w:p w14:paraId="2446B6E4" w14:textId="14B4A366" w:rsidR="00D378DA" w:rsidRPr="00FD52B4" w:rsidRDefault="00D378DA" w:rsidP="00D378DA">
      <w:pPr>
        <w:pStyle w:val="ListParagraph"/>
        <w:numPr>
          <w:ilvl w:val="1"/>
          <w:numId w:val="35"/>
        </w:numPr>
        <w:jc w:val="both"/>
        <w:rPr>
          <w:rFonts w:asciiTheme="majorBidi" w:hAnsiTheme="majorBidi" w:cstheme="majorBidi"/>
        </w:rPr>
      </w:pPr>
      <w:r>
        <w:rPr>
          <w:rFonts w:asciiTheme="majorBidi" w:hAnsiTheme="majorBidi" w:cstheme="majorBidi"/>
        </w:rPr>
        <w:t>T</w:t>
      </w:r>
      <w:r w:rsidRPr="00D378DA">
        <w:rPr>
          <w:rFonts w:asciiTheme="majorBidi" w:hAnsiTheme="majorBidi" w:cstheme="majorBidi"/>
        </w:rPr>
        <w:t>raining materials and provide training to facilitate the use of forensic science</w:t>
      </w:r>
    </w:p>
    <w:p w14:paraId="674FE80B" w14:textId="02614282" w:rsidR="00304408" w:rsidRPr="00FD52B4" w:rsidRDefault="00304408" w:rsidP="00304408">
      <w:pPr>
        <w:jc w:val="both"/>
        <w:rPr>
          <w:rFonts w:asciiTheme="majorBidi" w:hAnsiTheme="majorBidi" w:cstheme="majorBidi"/>
          <w:sz w:val="22"/>
          <w:szCs w:val="22"/>
        </w:rPr>
      </w:pPr>
      <w:r w:rsidRPr="00FD52B4">
        <w:rPr>
          <w:rFonts w:asciiTheme="majorBidi" w:hAnsiTheme="majorBidi" w:cstheme="majorBidi"/>
          <w:sz w:val="22"/>
          <w:szCs w:val="22"/>
        </w:rPr>
        <w:t>The Consortium will facilitate accessibility and use of available materials, including through Toolkit and Indicators revisions, translations.</w:t>
      </w:r>
    </w:p>
    <w:p w14:paraId="50F49767" w14:textId="77777777" w:rsidR="00364E5D" w:rsidRDefault="00EC18E0" w:rsidP="00304408">
      <w:pPr>
        <w:jc w:val="both"/>
        <w:rPr>
          <w:sz w:val="22"/>
          <w:szCs w:val="22"/>
        </w:rPr>
      </w:pPr>
      <w:r>
        <w:rPr>
          <w:sz w:val="22"/>
          <w:szCs w:val="22"/>
        </w:rPr>
        <w:t xml:space="preserve">                                                                            </w:t>
      </w:r>
    </w:p>
    <w:p w14:paraId="654285DB" w14:textId="77777777" w:rsidR="00306623" w:rsidRDefault="00364E5D" w:rsidP="00364E5D">
      <w:pPr>
        <w:jc w:val="both"/>
        <w:rPr>
          <w:sz w:val="22"/>
          <w:szCs w:val="22"/>
        </w:rPr>
      </w:pPr>
      <w:r>
        <w:rPr>
          <w:sz w:val="22"/>
          <w:szCs w:val="22"/>
        </w:rPr>
        <w:t>Further, ICCWC will</w:t>
      </w:r>
      <w:r w:rsidR="00306623">
        <w:rPr>
          <w:sz w:val="22"/>
          <w:szCs w:val="22"/>
        </w:rPr>
        <w:t>:</w:t>
      </w:r>
    </w:p>
    <w:p w14:paraId="68411D50" w14:textId="71F5284F" w:rsidR="00FD52B4" w:rsidRDefault="00306623" w:rsidP="00306623">
      <w:pPr>
        <w:pStyle w:val="ListParagraph"/>
        <w:numPr>
          <w:ilvl w:val="1"/>
          <w:numId w:val="35"/>
        </w:numPr>
        <w:jc w:val="both"/>
        <w:rPr>
          <w:rFonts w:asciiTheme="majorBidi" w:hAnsiTheme="majorBidi" w:cstheme="majorBidi"/>
        </w:rPr>
      </w:pPr>
      <w:r>
        <w:rPr>
          <w:rFonts w:asciiTheme="majorBidi" w:hAnsiTheme="majorBidi" w:cstheme="majorBidi"/>
        </w:rPr>
        <w:t>S</w:t>
      </w:r>
      <w:r w:rsidR="00364E5D" w:rsidRPr="00306623">
        <w:rPr>
          <w:rFonts w:asciiTheme="majorBidi" w:hAnsiTheme="majorBidi" w:cstheme="majorBidi"/>
        </w:rPr>
        <w:t>upport Regional threat assessment for West and Central Africa</w:t>
      </w:r>
      <w:r w:rsidR="00EC18E0" w:rsidRPr="00306623">
        <w:rPr>
          <w:rFonts w:asciiTheme="majorBidi" w:hAnsiTheme="majorBidi" w:cstheme="majorBidi"/>
        </w:rPr>
        <w:t xml:space="preserve"> </w:t>
      </w:r>
      <w:r w:rsidR="00364E5D" w:rsidRPr="00306623">
        <w:rPr>
          <w:rFonts w:asciiTheme="majorBidi" w:hAnsiTheme="majorBidi" w:cstheme="majorBidi"/>
        </w:rPr>
        <w:t>and continue to support the UNODC Global wildlife crime research initiative.</w:t>
      </w:r>
    </w:p>
    <w:p w14:paraId="406CAD44" w14:textId="45C92A1B" w:rsidR="00221B55" w:rsidRDefault="00221B55" w:rsidP="00221B55">
      <w:pPr>
        <w:pStyle w:val="ListParagraph"/>
        <w:numPr>
          <w:ilvl w:val="1"/>
          <w:numId w:val="35"/>
        </w:numPr>
        <w:jc w:val="both"/>
        <w:rPr>
          <w:rFonts w:asciiTheme="majorBidi" w:hAnsiTheme="majorBidi" w:cstheme="majorBidi"/>
        </w:rPr>
      </w:pPr>
      <w:r>
        <w:rPr>
          <w:rFonts w:asciiTheme="majorBidi" w:hAnsiTheme="majorBidi" w:cstheme="majorBidi"/>
        </w:rPr>
        <w:t xml:space="preserve">Continue to support activities to enhance the use of wildlife forensic applications to combat wildlife crime, based on the ICCWC </w:t>
      </w:r>
      <w:r w:rsidRPr="00221B55">
        <w:rPr>
          <w:rFonts w:asciiTheme="majorBidi" w:hAnsiTheme="majorBidi" w:cstheme="majorBidi"/>
        </w:rPr>
        <w:t>Guidelines on methods and procedures for ivory sampling and laboratory analysis</w:t>
      </w:r>
      <w:r>
        <w:rPr>
          <w:rFonts w:asciiTheme="majorBidi" w:hAnsiTheme="majorBidi" w:cstheme="majorBidi"/>
        </w:rPr>
        <w:t>.</w:t>
      </w:r>
    </w:p>
    <w:p w14:paraId="6518602C" w14:textId="7CF322F3" w:rsidR="00823FB3" w:rsidRDefault="00823FB3" w:rsidP="00823FB3">
      <w:pPr>
        <w:pStyle w:val="ListParagraph"/>
        <w:numPr>
          <w:ilvl w:val="1"/>
          <w:numId w:val="35"/>
        </w:numPr>
        <w:jc w:val="both"/>
        <w:rPr>
          <w:rFonts w:asciiTheme="majorBidi" w:hAnsiTheme="majorBidi" w:cstheme="majorBidi"/>
        </w:rPr>
      </w:pPr>
      <w:r w:rsidRPr="00823FB3">
        <w:rPr>
          <w:rFonts w:asciiTheme="majorBidi" w:hAnsiTheme="majorBidi" w:cstheme="majorBidi"/>
        </w:rPr>
        <w:t>Design and deliver a training programme based on the ICCWC Best Practice Guide for Forensic Timber Identification. Specific requests have been received for this training, with particular interest for delivery in ASEAN. The training programme will be developed in order to lead law enforcement officials through the steps that should be completed when dealing with a load or shipment containing timber that is passing through a checkpoint, such as an international border crossing.</w:t>
      </w:r>
    </w:p>
    <w:p w14:paraId="224FD085" w14:textId="060A6338" w:rsidR="00306623" w:rsidRPr="00306623" w:rsidRDefault="00306623" w:rsidP="00306623">
      <w:pPr>
        <w:pStyle w:val="ListParagraph"/>
        <w:numPr>
          <w:ilvl w:val="1"/>
          <w:numId w:val="35"/>
        </w:numPr>
        <w:jc w:val="both"/>
        <w:rPr>
          <w:rFonts w:asciiTheme="majorBidi" w:hAnsiTheme="majorBidi" w:cstheme="majorBidi"/>
        </w:rPr>
      </w:pPr>
      <w:r w:rsidRPr="00306623">
        <w:rPr>
          <w:rFonts w:asciiTheme="majorBidi" w:hAnsiTheme="majorBidi" w:cstheme="majorBidi"/>
        </w:rPr>
        <w:t>Support further development, piloting and expansion of the Mobile Office concept.</w:t>
      </w:r>
    </w:p>
    <w:p w14:paraId="65142346" w14:textId="77777777" w:rsidR="00304408" w:rsidRPr="00FD52B4" w:rsidRDefault="00304408" w:rsidP="00304408">
      <w:pPr>
        <w:jc w:val="both"/>
        <w:rPr>
          <w:b/>
          <w:bCs/>
          <w:sz w:val="28"/>
          <w:szCs w:val="28"/>
        </w:rPr>
      </w:pPr>
    </w:p>
    <w:p w14:paraId="269EB3D9" w14:textId="61AAA503" w:rsidR="00550BA1" w:rsidRPr="00131F40" w:rsidRDefault="00550BA1" w:rsidP="00131F40">
      <w:pPr>
        <w:shd w:val="clear" w:color="auto" w:fill="F2F2F2" w:themeFill="background1" w:themeFillShade="F2"/>
        <w:jc w:val="both"/>
        <w:rPr>
          <w:sz w:val="22"/>
          <w:szCs w:val="22"/>
        </w:rPr>
      </w:pPr>
      <w:r w:rsidRPr="00131F40">
        <w:rPr>
          <w:b/>
          <w:bCs/>
          <w:sz w:val="22"/>
          <w:szCs w:val="22"/>
        </w:rPr>
        <w:t>Result 1.2: Trans-national and trans-regional collaboration enhanced</w:t>
      </w:r>
    </w:p>
    <w:p w14:paraId="31666021" w14:textId="77777777" w:rsidR="00550BA1" w:rsidRPr="005F4158" w:rsidRDefault="00550BA1" w:rsidP="00550BA1">
      <w:pPr>
        <w:jc w:val="both"/>
        <w:rPr>
          <w:i/>
          <w:sz w:val="22"/>
          <w:szCs w:val="22"/>
        </w:rPr>
      </w:pPr>
    </w:p>
    <w:p w14:paraId="3F8292BA" w14:textId="35C01959" w:rsidR="00550BA1" w:rsidRPr="005F4158" w:rsidRDefault="00550BA1" w:rsidP="00131F40">
      <w:pPr>
        <w:jc w:val="both"/>
        <w:rPr>
          <w:sz w:val="22"/>
          <w:szCs w:val="22"/>
        </w:rPr>
      </w:pPr>
      <w:r w:rsidRPr="005F4158">
        <w:rPr>
          <w:i/>
          <w:sz w:val="22"/>
          <w:szCs w:val="22"/>
        </w:rPr>
        <w:t>Main Activities:</w:t>
      </w:r>
      <w:r w:rsidRPr="005F4158">
        <w:rPr>
          <w:sz w:val="22"/>
          <w:szCs w:val="22"/>
        </w:rPr>
        <w:t xml:space="preserve"> </w:t>
      </w:r>
    </w:p>
    <w:p w14:paraId="0F43C104" w14:textId="29B809C2" w:rsidR="00550BA1" w:rsidRDefault="00550BA1" w:rsidP="00550BA1">
      <w:pPr>
        <w:jc w:val="both"/>
        <w:rPr>
          <w:sz w:val="22"/>
          <w:szCs w:val="22"/>
        </w:rPr>
      </w:pPr>
    </w:p>
    <w:p w14:paraId="2E618B30" w14:textId="2D55A77F" w:rsidR="00FD52B4" w:rsidRPr="00FD52B4" w:rsidRDefault="00FD52B4" w:rsidP="00E46F8E">
      <w:pPr>
        <w:pStyle w:val="ListParagraph"/>
        <w:numPr>
          <w:ilvl w:val="2"/>
          <w:numId w:val="37"/>
        </w:numPr>
        <w:spacing w:after="180"/>
        <w:rPr>
          <w:rFonts w:cs="Calibri"/>
          <w:b/>
          <w:bCs/>
        </w:rPr>
      </w:pPr>
      <w:r w:rsidRPr="00FD52B4">
        <w:rPr>
          <w:rFonts w:cs="Calibri"/>
          <w:b/>
          <w:bCs/>
        </w:rPr>
        <w:t>Law enforcement regio</w:t>
      </w:r>
      <w:r w:rsidR="00916EBD">
        <w:rPr>
          <w:rFonts w:cs="Calibri"/>
          <w:b/>
          <w:bCs/>
        </w:rPr>
        <w:t>nal networking and cooperation</w:t>
      </w:r>
      <w:r w:rsidR="007E04E2">
        <w:rPr>
          <w:rFonts w:cs="Calibri"/>
          <w:b/>
          <w:bCs/>
        </w:rPr>
        <w:t xml:space="preserve"> </w:t>
      </w:r>
      <w:r w:rsidR="007E04E2" w:rsidRPr="007E04E2">
        <w:rPr>
          <w:rFonts w:cs="Calibri"/>
        </w:rPr>
        <w:t>(</w:t>
      </w:r>
      <w:r w:rsidR="007E04E2" w:rsidRPr="007E04E2">
        <w:rPr>
          <w:rFonts w:ascii="Arial" w:hAnsi="Arial" w:cs="Arial"/>
          <w:color w:val="000000"/>
          <w:sz w:val="20"/>
          <w:szCs w:val="20"/>
        </w:rPr>
        <w:t>€</w:t>
      </w:r>
      <w:r w:rsidR="00E46F8E">
        <w:rPr>
          <w:rFonts w:ascii="Arial" w:hAnsi="Arial" w:cs="Arial"/>
          <w:color w:val="000000"/>
          <w:sz w:val="20"/>
          <w:szCs w:val="20"/>
        </w:rPr>
        <w:t>1,405,209</w:t>
      </w:r>
      <w:r w:rsidR="007E04E2" w:rsidRPr="007E04E2">
        <w:rPr>
          <w:rFonts w:cs="Calibri"/>
        </w:rPr>
        <w:t>)</w:t>
      </w:r>
      <w:r w:rsidR="00DA46C7">
        <w:rPr>
          <w:rStyle w:val="FootnoteReference"/>
          <w:rFonts w:cs="Calibri"/>
        </w:rPr>
        <w:footnoteReference w:id="10"/>
      </w:r>
    </w:p>
    <w:p w14:paraId="064F0DD4" w14:textId="160FFCE2" w:rsidR="00EE4F3F" w:rsidRPr="009022D0" w:rsidRDefault="00EE4F3F" w:rsidP="00FD52B4">
      <w:pPr>
        <w:spacing w:after="180"/>
        <w:jc w:val="both"/>
        <w:rPr>
          <w:rFonts w:cs="Calibri"/>
          <w:b/>
          <w:bCs/>
          <w:sz w:val="22"/>
          <w:szCs w:val="22"/>
        </w:rPr>
      </w:pPr>
      <w:r w:rsidRPr="009022D0">
        <w:rPr>
          <w:rFonts w:cs="Calibri"/>
          <w:b/>
          <w:bCs/>
          <w:sz w:val="22"/>
          <w:szCs w:val="22"/>
        </w:rPr>
        <w:t xml:space="preserve">Specific activities include: </w:t>
      </w:r>
    </w:p>
    <w:p w14:paraId="0FDC53CD" w14:textId="5B561895" w:rsidR="00EE4F3F" w:rsidRDefault="00FD52B4" w:rsidP="00916EBD">
      <w:pPr>
        <w:pStyle w:val="ListParagraph"/>
        <w:numPr>
          <w:ilvl w:val="0"/>
          <w:numId w:val="44"/>
        </w:numPr>
        <w:spacing w:after="180"/>
        <w:jc w:val="both"/>
        <w:rPr>
          <w:rFonts w:ascii="Times New Roman" w:eastAsia="Times New Roman" w:hAnsi="Times New Roman" w:cs="Calibri"/>
          <w:lang w:val="en-GB" w:eastAsia="en-GB"/>
        </w:rPr>
      </w:pPr>
      <w:r w:rsidRPr="00EE4F3F">
        <w:rPr>
          <w:rFonts w:ascii="Times New Roman" w:eastAsia="Times New Roman" w:hAnsi="Times New Roman" w:cs="Calibri"/>
          <w:lang w:val="en-GB" w:eastAsia="en-GB"/>
        </w:rPr>
        <w:t>Task Force meetings for National Ivory Action Plan</w:t>
      </w:r>
      <w:r w:rsidR="00263CC1">
        <w:rPr>
          <w:rFonts w:ascii="Times New Roman" w:eastAsia="Times New Roman" w:hAnsi="Times New Roman" w:cs="Calibri"/>
          <w:lang w:val="en-GB" w:eastAsia="en-GB"/>
        </w:rPr>
        <w:t xml:space="preserve"> (NIAP) countries and on Timber</w:t>
      </w:r>
      <w:r w:rsidRPr="00EE4F3F">
        <w:rPr>
          <w:rFonts w:ascii="Times New Roman" w:eastAsia="Times New Roman" w:hAnsi="Times New Roman" w:cs="Calibri"/>
          <w:lang w:val="en-GB" w:eastAsia="en-GB"/>
        </w:rPr>
        <w:t xml:space="preserve"> </w:t>
      </w:r>
    </w:p>
    <w:p w14:paraId="6367851A" w14:textId="6DEC5EC9" w:rsidR="009022D0" w:rsidRDefault="009022D0" w:rsidP="00CE7400">
      <w:pPr>
        <w:pStyle w:val="ListParagraph"/>
        <w:numPr>
          <w:ilvl w:val="0"/>
          <w:numId w:val="44"/>
        </w:numPr>
        <w:spacing w:after="180"/>
        <w:jc w:val="both"/>
        <w:rPr>
          <w:rFonts w:ascii="Times New Roman" w:eastAsia="Times New Roman" w:hAnsi="Times New Roman" w:cs="Calibri"/>
          <w:lang w:val="en-GB" w:eastAsia="en-GB"/>
        </w:rPr>
      </w:pPr>
      <w:r>
        <w:rPr>
          <w:rFonts w:ascii="Times New Roman" w:eastAsia="Times New Roman" w:hAnsi="Times New Roman" w:cs="Calibri"/>
          <w:lang w:val="en-GB" w:eastAsia="en-GB"/>
        </w:rPr>
        <w:t>S</w:t>
      </w:r>
      <w:r w:rsidRPr="00EE4F3F">
        <w:rPr>
          <w:rFonts w:ascii="Times New Roman" w:eastAsia="Times New Roman" w:hAnsi="Times New Roman" w:cs="Calibri"/>
          <w:lang w:val="en-GB" w:eastAsia="en-GB"/>
        </w:rPr>
        <w:t>upport</w:t>
      </w:r>
      <w:r w:rsidR="00CE7400">
        <w:rPr>
          <w:rFonts w:ascii="Times New Roman" w:eastAsia="Times New Roman" w:hAnsi="Times New Roman" w:cs="Calibri"/>
          <w:lang w:val="en-GB" w:eastAsia="en-GB"/>
        </w:rPr>
        <w:t xml:space="preserve"> for </w:t>
      </w:r>
      <w:r w:rsidRPr="00EE4F3F">
        <w:rPr>
          <w:rFonts w:ascii="Times New Roman" w:eastAsia="Times New Roman" w:hAnsi="Times New Roman" w:cs="Calibri"/>
          <w:lang w:val="en-GB" w:eastAsia="en-GB"/>
        </w:rPr>
        <w:t>the develo</w:t>
      </w:r>
      <w:r>
        <w:rPr>
          <w:rFonts w:ascii="Times New Roman" w:eastAsia="Times New Roman" w:hAnsi="Times New Roman" w:cs="Calibri"/>
          <w:lang w:val="en-GB" w:eastAsia="en-GB"/>
        </w:rPr>
        <w:t>pment/strengthening of networks</w:t>
      </w:r>
      <w:r w:rsidR="006A2B42">
        <w:rPr>
          <w:rFonts w:ascii="Times New Roman" w:eastAsia="Times New Roman" w:hAnsi="Times New Roman" w:cs="Calibri"/>
          <w:lang w:val="en-GB" w:eastAsia="en-GB"/>
        </w:rPr>
        <w:t>, including wildlife enforcement meetings</w:t>
      </w:r>
    </w:p>
    <w:p w14:paraId="7B42030A" w14:textId="52B53D39" w:rsidR="00CE7400" w:rsidRDefault="00CE7400" w:rsidP="00221B55">
      <w:pPr>
        <w:pStyle w:val="ListParagraph"/>
        <w:numPr>
          <w:ilvl w:val="0"/>
          <w:numId w:val="44"/>
        </w:numPr>
        <w:spacing w:after="180"/>
        <w:jc w:val="both"/>
        <w:rPr>
          <w:rFonts w:ascii="Times New Roman" w:eastAsia="Times New Roman" w:hAnsi="Times New Roman" w:cs="Calibri"/>
          <w:lang w:val="en-GB" w:eastAsia="en-GB"/>
        </w:rPr>
      </w:pPr>
      <w:r>
        <w:rPr>
          <w:rFonts w:ascii="Times New Roman" w:eastAsia="Times New Roman" w:hAnsi="Times New Roman" w:cs="Calibri"/>
          <w:lang w:val="en-GB" w:eastAsia="en-GB"/>
        </w:rPr>
        <w:t xml:space="preserve">Holding </w:t>
      </w:r>
      <w:r w:rsidRPr="00EE4F3F">
        <w:rPr>
          <w:rFonts w:ascii="Times New Roman" w:eastAsia="Times New Roman" w:hAnsi="Times New Roman" w:cs="Calibri"/>
          <w:lang w:val="en-GB" w:eastAsia="en-GB"/>
        </w:rPr>
        <w:t>Regional Intelligence L</w:t>
      </w:r>
      <w:r w:rsidR="00F60020">
        <w:rPr>
          <w:rFonts w:ascii="Times New Roman" w:eastAsia="Times New Roman" w:hAnsi="Times New Roman" w:cs="Calibri"/>
          <w:lang w:val="en-GB" w:eastAsia="en-GB"/>
        </w:rPr>
        <w:t xml:space="preserve">iaison Officers (RILO) meetings, </w:t>
      </w:r>
    </w:p>
    <w:p w14:paraId="2E7BA06D" w14:textId="77777777" w:rsidR="00CE7400" w:rsidRDefault="00CE7400" w:rsidP="00CE7400">
      <w:pPr>
        <w:pStyle w:val="ListParagraph"/>
        <w:numPr>
          <w:ilvl w:val="0"/>
          <w:numId w:val="44"/>
        </w:numPr>
        <w:spacing w:after="180"/>
        <w:jc w:val="both"/>
        <w:rPr>
          <w:rFonts w:ascii="Times New Roman" w:eastAsia="Times New Roman" w:hAnsi="Times New Roman" w:cs="Calibri"/>
          <w:lang w:val="en-GB" w:eastAsia="en-GB"/>
        </w:rPr>
      </w:pPr>
      <w:r w:rsidRPr="00EE4F3F">
        <w:rPr>
          <w:rFonts w:ascii="Times New Roman" w:eastAsia="Times New Roman" w:hAnsi="Times New Roman" w:cs="Calibri"/>
          <w:lang w:val="en-GB" w:eastAsia="en-GB"/>
        </w:rPr>
        <w:t xml:space="preserve">Africa/Asia Wildlife Inter-Regional Enforcement (WIRE) meetings </w:t>
      </w:r>
    </w:p>
    <w:p w14:paraId="1E2D0A39" w14:textId="13F8F3A1" w:rsidR="00CE7400" w:rsidRDefault="00CE7400" w:rsidP="00CE7400">
      <w:pPr>
        <w:pStyle w:val="ListParagraph"/>
        <w:spacing w:after="180"/>
        <w:jc w:val="both"/>
        <w:rPr>
          <w:rFonts w:ascii="Times New Roman" w:eastAsia="Times New Roman" w:hAnsi="Times New Roman" w:cs="Calibri"/>
          <w:lang w:val="en-GB" w:eastAsia="en-GB"/>
        </w:rPr>
      </w:pPr>
    </w:p>
    <w:p w14:paraId="783E10DC" w14:textId="6782F741" w:rsidR="00CE7400" w:rsidRPr="00683436" w:rsidRDefault="00CE7400" w:rsidP="00CE7400">
      <w:pPr>
        <w:spacing w:after="180"/>
        <w:rPr>
          <w:rFonts w:cs="Calibri"/>
          <w:sz w:val="22"/>
          <w:szCs w:val="22"/>
          <w:lang w:val="en-GB"/>
        </w:rPr>
      </w:pPr>
      <w:r w:rsidRPr="00683436">
        <w:rPr>
          <w:rFonts w:cs="Calibri"/>
          <w:sz w:val="22"/>
          <w:szCs w:val="22"/>
          <w:lang w:val="en-GB"/>
        </w:rPr>
        <w:t xml:space="preserve">ICCWC will organize a continental event with the attendance of officials from selected countries in the Americas to: a) work on a common plan of action to prevent and combat illicit trafficking of wild fauna and flora b) strengthen sub-regional networks and promote coordination among them c) exchange best practices of international investigations. </w:t>
      </w:r>
    </w:p>
    <w:p w14:paraId="0019BBD7" w14:textId="6EB0AEFA" w:rsidR="00CE7400" w:rsidRPr="00683436" w:rsidRDefault="00CE7400" w:rsidP="00CE7400">
      <w:pPr>
        <w:spacing w:after="180"/>
        <w:rPr>
          <w:rFonts w:cs="Calibri"/>
          <w:sz w:val="22"/>
          <w:szCs w:val="22"/>
          <w:lang w:val="en-GB"/>
        </w:rPr>
      </w:pPr>
      <w:r w:rsidRPr="00683436">
        <w:rPr>
          <w:rFonts w:cs="Calibri"/>
          <w:sz w:val="22"/>
          <w:szCs w:val="22"/>
          <w:lang w:val="en-GB"/>
        </w:rPr>
        <w:t>ICCWC will convene East Africa regional workshops on Mutual Legal Assistance (MLA) with law enforcement, prosecutors and judiciary officials</w:t>
      </w:r>
    </w:p>
    <w:p w14:paraId="4962095C" w14:textId="31069F17" w:rsidR="00CE7400" w:rsidRPr="00683436" w:rsidRDefault="00CE7400" w:rsidP="008D6426">
      <w:pPr>
        <w:spacing w:after="180"/>
        <w:rPr>
          <w:rFonts w:cs="Calibri"/>
          <w:sz w:val="22"/>
          <w:szCs w:val="22"/>
          <w:lang w:val="en-GB"/>
        </w:rPr>
      </w:pPr>
      <w:r w:rsidRPr="00683436">
        <w:rPr>
          <w:rFonts w:cs="Calibri"/>
          <w:sz w:val="22"/>
          <w:szCs w:val="22"/>
          <w:lang w:val="en-GB"/>
        </w:rPr>
        <w:t xml:space="preserve">Support will be provided to the Lusaka Agreement Task Force with technical assistance and capacity building on information sharing and data collection supporting investigations and intelligence and other special investigative techniques, for example developing communication tools and </w:t>
      </w:r>
      <w:r w:rsidR="008D6426">
        <w:rPr>
          <w:rFonts w:cs="Calibri"/>
          <w:sz w:val="22"/>
          <w:szCs w:val="22"/>
          <w:lang w:val="en-GB"/>
        </w:rPr>
        <w:t>database. The idea is to have a</w:t>
      </w:r>
      <w:r w:rsidRPr="00683436">
        <w:rPr>
          <w:rFonts w:cs="Calibri"/>
          <w:sz w:val="22"/>
          <w:szCs w:val="22"/>
          <w:lang w:val="en-GB"/>
        </w:rPr>
        <w:t xml:space="preserve"> regional workshop with country focal points. </w:t>
      </w:r>
    </w:p>
    <w:p w14:paraId="62AEB989" w14:textId="5F09171D" w:rsidR="009022D0" w:rsidRPr="00683436" w:rsidRDefault="00916EBD" w:rsidP="00CE7400">
      <w:pPr>
        <w:spacing w:after="180"/>
        <w:jc w:val="both"/>
        <w:rPr>
          <w:rFonts w:cs="Calibri"/>
          <w:sz w:val="22"/>
          <w:szCs w:val="22"/>
          <w:lang w:val="en-GB"/>
        </w:rPr>
      </w:pPr>
      <w:r w:rsidRPr="00683436">
        <w:rPr>
          <w:rFonts w:cs="Calibri"/>
          <w:sz w:val="22"/>
          <w:szCs w:val="22"/>
          <w:lang w:val="en-GB"/>
        </w:rPr>
        <w:t>ICCWC</w:t>
      </w:r>
      <w:r w:rsidR="00263CC1" w:rsidRPr="00683436">
        <w:rPr>
          <w:rFonts w:cs="Calibri"/>
          <w:sz w:val="22"/>
          <w:szCs w:val="22"/>
          <w:lang w:val="en-GB"/>
        </w:rPr>
        <w:t xml:space="preserve"> will convene annual conferences of the focal points of the ASEAN Senior Officials Meeting on Transnational Crime (SOMTC) and support the use of selected ICCWC Law Enforcement Indicators. SOMTC is a permanent body of ASEAN</w:t>
      </w:r>
      <w:r w:rsidR="00683436">
        <w:rPr>
          <w:rFonts w:cs="Calibri"/>
          <w:sz w:val="22"/>
          <w:szCs w:val="22"/>
          <w:lang w:val="en-GB"/>
        </w:rPr>
        <w:t>,</w:t>
      </w:r>
      <w:r w:rsidR="00263CC1" w:rsidRPr="00683436">
        <w:rPr>
          <w:rFonts w:cs="Calibri"/>
          <w:sz w:val="22"/>
          <w:szCs w:val="22"/>
          <w:lang w:val="en-GB"/>
        </w:rPr>
        <w:t xml:space="preserve"> which looks into specific TOC threats and reports directly to the ASEAN Ministerial Meeting on Transnational Crime, in the Political and Security Community. In 2016 SOMTC formally included “wildlife and timber trafficking” as a new priority area.</w:t>
      </w:r>
      <w:r w:rsidR="00CE7400" w:rsidRPr="00683436">
        <w:rPr>
          <w:rFonts w:cs="Calibri"/>
          <w:sz w:val="22"/>
          <w:szCs w:val="22"/>
          <w:lang w:val="en-GB"/>
        </w:rPr>
        <w:t xml:space="preserve"> The annual event represents an opportunity to convene the focal points from each ASEAN Member State for an ad-hoc meeting to assess progress against the 2016-2018 work, identify priority interventions at regional level, exercise peer-pressure against performance indicators and to design</w:t>
      </w:r>
      <w:r w:rsidR="00F60020">
        <w:rPr>
          <w:rFonts w:cs="Calibri"/>
          <w:sz w:val="22"/>
          <w:szCs w:val="22"/>
          <w:lang w:val="en-GB"/>
        </w:rPr>
        <w:t>.</w:t>
      </w:r>
    </w:p>
    <w:p w14:paraId="681BBF08" w14:textId="0DFA9711" w:rsidR="009022D0" w:rsidRDefault="00916EBD" w:rsidP="00725467">
      <w:pPr>
        <w:spacing w:after="180"/>
        <w:jc w:val="both"/>
        <w:rPr>
          <w:rFonts w:cs="Calibri"/>
          <w:sz w:val="22"/>
          <w:szCs w:val="22"/>
          <w:lang w:val="en-GB"/>
        </w:rPr>
      </w:pPr>
      <w:r w:rsidRPr="00683436">
        <w:rPr>
          <w:rFonts w:cs="Calibri"/>
          <w:sz w:val="22"/>
          <w:szCs w:val="22"/>
          <w:lang w:val="en-GB"/>
        </w:rPr>
        <w:t xml:space="preserve">ICCWC </w:t>
      </w:r>
      <w:r w:rsidR="009022D0" w:rsidRPr="00683436">
        <w:rPr>
          <w:rFonts w:cs="Calibri"/>
          <w:sz w:val="22"/>
          <w:szCs w:val="22"/>
          <w:lang w:val="en-GB"/>
        </w:rPr>
        <w:t>will</w:t>
      </w:r>
      <w:r w:rsidRPr="00683436">
        <w:rPr>
          <w:rFonts w:cs="Calibri"/>
          <w:sz w:val="22"/>
          <w:szCs w:val="22"/>
          <w:lang w:val="en-GB"/>
        </w:rPr>
        <w:t xml:space="preserve"> also</w:t>
      </w:r>
      <w:r w:rsidR="009022D0" w:rsidRPr="00683436">
        <w:rPr>
          <w:rFonts w:cs="Calibri"/>
          <w:sz w:val="22"/>
          <w:szCs w:val="22"/>
          <w:lang w:val="en-GB"/>
        </w:rPr>
        <w:t xml:space="preserve"> hold the</w:t>
      </w:r>
      <w:r w:rsidR="002B7A06">
        <w:rPr>
          <w:rFonts w:cs="Calibri"/>
          <w:sz w:val="22"/>
          <w:szCs w:val="22"/>
          <w:lang w:val="en-GB"/>
        </w:rPr>
        <w:t xml:space="preserve"> 3rd</w:t>
      </w:r>
      <w:r w:rsidR="009022D0" w:rsidRPr="00683436">
        <w:rPr>
          <w:rFonts w:cs="Calibri"/>
          <w:sz w:val="22"/>
          <w:szCs w:val="22"/>
          <w:lang w:val="en-GB"/>
        </w:rPr>
        <w:t xml:space="preserve"> global meeting of the Wildlife Enforcement Networks (WEN) at CITES CoP1</w:t>
      </w:r>
      <w:r w:rsidR="002B7A06">
        <w:rPr>
          <w:rFonts w:cs="Calibri"/>
          <w:sz w:val="22"/>
          <w:szCs w:val="22"/>
          <w:lang w:val="en-GB"/>
        </w:rPr>
        <w:t>8 in Sri Lank</w:t>
      </w:r>
      <w:r w:rsidR="00725467">
        <w:rPr>
          <w:rFonts w:cs="Calibri"/>
          <w:sz w:val="22"/>
          <w:szCs w:val="22"/>
          <w:lang w:val="en-GB"/>
        </w:rPr>
        <w:t>a</w:t>
      </w:r>
      <w:r w:rsidR="002B7A06">
        <w:rPr>
          <w:rFonts w:cs="Calibri"/>
          <w:sz w:val="22"/>
          <w:szCs w:val="22"/>
          <w:lang w:val="en-GB"/>
        </w:rPr>
        <w:t xml:space="preserve"> in 2019</w:t>
      </w:r>
      <w:r w:rsidR="00F60020">
        <w:rPr>
          <w:rFonts w:cs="Calibri"/>
          <w:sz w:val="22"/>
          <w:szCs w:val="22"/>
          <w:lang w:val="en-GB"/>
        </w:rPr>
        <w:t>.</w:t>
      </w:r>
    </w:p>
    <w:p w14:paraId="73F18FB4" w14:textId="6B42DC9C" w:rsidR="00B971AA" w:rsidRPr="00B971AA" w:rsidRDefault="00B971AA" w:rsidP="00F60020">
      <w:pPr>
        <w:spacing w:after="180"/>
        <w:rPr>
          <w:rFonts w:cs="Calibri"/>
          <w:sz w:val="22"/>
          <w:szCs w:val="22"/>
        </w:rPr>
      </w:pPr>
      <w:r>
        <w:rPr>
          <w:rFonts w:cs="Calibri"/>
          <w:sz w:val="22"/>
          <w:szCs w:val="22"/>
        </w:rPr>
        <w:t>Further on</w:t>
      </w:r>
      <w:r w:rsidR="00F60020">
        <w:rPr>
          <w:rFonts w:cs="Calibri"/>
          <w:sz w:val="22"/>
          <w:szCs w:val="22"/>
        </w:rPr>
        <w:t>,</w:t>
      </w:r>
      <w:r>
        <w:rPr>
          <w:rFonts w:cs="Calibri"/>
          <w:sz w:val="22"/>
          <w:szCs w:val="22"/>
        </w:rPr>
        <w:t xml:space="preserve"> ICCWC </w:t>
      </w:r>
      <w:r w:rsidRPr="00B971AA">
        <w:rPr>
          <w:rFonts w:cs="Calibri"/>
          <w:sz w:val="22"/>
          <w:szCs w:val="22"/>
        </w:rPr>
        <w:t xml:space="preserve">will increase the use of various Regional Intelligence Liaison Offices (RILO) across the globe to focus on specific </w:t>
      </w:r>
      <w:r w:rsidR="00F60020">
        <w:rPr>
          <w:rFonts w:cs="Calibri"/>
          <w:sz w:val="22"/>
          <w:szCs w:val="22"/>
        </w:rPr>
        <w:t>WLFC related</w:t>
      </w:r>
      <w:r w:rsidRPr="00B971AA">
        <w:rPr>
          <w:rFonts w:cs="Calibri"/>
          <w:sz w:val="22"/>
          <w:szCs w:val="22"/>
        </w:rPr>
        <w:t xml:space="preserve"> crimes. This requires the RILOs to convene at a central point every </w:t>
      </w:r>
      <w:r w:rsidR="00F60020">
        <w:rPr>
          <w:rFonts w:cs="Calibri"/>
          <w:sz w:val="22"/>
          <w:szCs w:val="22"/>
        </w:rPr>
        <w:t>third year in order to discuss WLFC</w:t>
      </w:r>
      <w:r w:rsidRPr="00B971AA">
        <w:rPr>
          <w:rFonts w:cs="Calibri"/>
          <w:sz w:val="22"/>
          <w:szCs w:val="22"/>
        </w:rPr>
        <w:t xml:space="preserve"> related matters and to produce a work plan for the following three years. </w:t>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p>
    <w:p w14:paraId="677ED899" w14:textId="1522D345" w:rsidR="00B971AA" w:rsidRPr="00B971AA" w:rsidRDefault="00B971AA" w:rsidP="00B971AA">
      <w:pPr>
        <w:spacing w:after="180"/>
        <w:jc w:val="both"/>
        <w:rPr>
          <w:rFonts w:cs="Calibri"/>
          <w:sz w:val="22"/>
          <w:szCs w:val="22"/>
        </w:rPr>
      </w:pPr>
      <w:r w:rsidRPr="00B971AA">
        <w:rPr>
          <w:rFonts w:cs="Calibri"/>
          <w:sz w:val="22"/>
          <w:szCs w:val="22"/>
        </w:rPr>
        <w:t xml:space="preserve">It is envisaged that by incorporating the RILOs actively into IWT activities, operational traction will be brought to the anti-IWT activities. This implies that the RILOs will be requested to assist in operational planning and execution and will also act as a go-between between the WCO and its 180 members where necessary and appropriate. </w:t>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r w:rsidRPr="00B971AA">
        <w:rPr>
          <w:rFonts w:cs="Calibri"/>
          <w:sz w:val="22"/>
          <w:szCs w:val="22"/>
        </w:rPr>
        <w:tab/>
      </w:r>
    </w:p>
    <w:p w14:paraId="0DAC9DAD" w14:textId="77777777" w:rsidR="00FD52B4" w:rsidRPr="008624FD" w:rsidRDefault="00FD52B4" w:rsidP="00FD52B4">
      <w:pPr>
        <w:pStyle w:val="ListParagraph"/>
        <w:spacing w:after="180"/>
        <w:ind w:left="2520"/>
        <w:rPr>
          <w:rFonts w:cs="Calibri"/>
          <w:b/>
          <w:bCs/>
          <w:lang w:val="en-GB"/>
        </w:rPr>
      </w:pPr>
    </w:p>
    <w:p w14:paraId="3229AF05" w14:textId="68A4C9BA" w:rsidR="00FD52B4" w:rsidRPr="00FD52B4" w:rsidRDefault="00FD52B4" w:rsidP="00E46F8E">
      <w:pPr>
        <w:pStyle w:val="ListParagraph"/>
        <w:numPr>
          <w:ilvl w:val="2"/>
          <w:numId w:val="37"/>
        </w:numPr>
        <w:spacing w:after="180"/>
        <w:rPr>
          <w:rFonts w:cs="Calibri"/>
          <w:b/>
          <w:bCs/>
        </w:rPr>
      </w:pPr>
      <w:r w:rsidRPr="00FD52B4">
        <w:rPr>
          <w:rFonts w:cs="Calibri"/>
          <w:b/>
          <w:bCs/>
        </w:rPr>
        <w:t>Support and initiate regional law enforcement interventions</w:t>
      </w:r>
      <w:r w:rsidR="00182308">
        <w:rPr>
          <w:rStyle w:val="FootnoteReference"/>
          <w:rFonts w:cs="Calibri"/>
          <w:b/>
          <w:bCs/>
        </w:rPr>
        <w:footnoteReference w:id="11"/>
      </w:r>
      <w:r w:rsidR="007E04E2" w:rsidRPr="007E04E2">
        <w:rPr>
          <w:rFonts w:cs="Calibri"/>
        </w:rPr>
        <w:t>(</w:t>
      </w:r>
      <w:r w:rsidR="007E04E2" w:rsidRPr="007E04E2">
        <w:rPr>
          <w:rFonts w:ascii="Arial" w:hAnsi="Arial" w:cs="Arial"/>
          <w:color w:val="000000"/>
          <w:sz w:val="20"/>
          <w:szCs w:val="20"/>
        </w:rPr>
        <w:t>€</w:t>
      </w:r>
      <w:r w:rsidR="00E46F8E">
        <w:rPr>
          <w:rFonts w:ascii="Arial" w:hAnsi="Arial" w:cs="Arial"/>
          <w:color w:val="000000"/>
          <w:sz w:val="20"/>
          <w:szCs w:val="20"/>
        </w:rPr>
        <w:t>1,574,825</w:t>
      </w:r>
      <w:r w:rsidR="007E04E2" w:rsidRPr="007E04E2">
        <w:rPr>
          <w:rFonts w:cs="Calibri"/>
        </w:rPr>
        <w:t>)</w:t>
      </w:r>
    </w:p>
    <w:p w14:paraId="48D72378" w14:textId="77777777" w:rsidR="00F051F5" w:rsidRPr="009022D0" w:rsidRDefault="00F051F5" w:rsidP="00F051F5">
      <w:pPr>
        <w:spacing w:after="180"/>
        <w:jc w:val="both"/>
        <w:rPr>
          <w:rFonts w:asciiTheme="majorBidi" w:hAnsiTheme="majorBidi" w:cstheme="majorBidi"/>
          <w:b/>
          <w:bCs/>
          <w:sz w:val="22"/>
          <w:szCs w:val="22"/>
        </w:rPr>
      </w:pPr>
      <w:r w:rsidRPr="009022D0">
        <w:rPr>
          <w:rFonts w:asciiTheme="majorBidi" w:hAnsiTheme="majorBidi" w:cstheme="majorBidi"/>
          <w:b/>
          <w:bCs/>
          <w:sz w:val="22"/>
          <w:szCs w:val="22"/>
        </w:rPr>
        <w:t xml:space="preserve">Specific activities include: </w:t>
      </w:r>
    </w:p>
    <w:p w14:paraId="2EA4CD31" w14:textId="71923D77" w:rsidR="00EE4F3F" w:rsidRDefault="00FD52B4" w:rsidP="00916EBD">
      <w:pPr>
        <w:pStyle w:val="ListParagraph"/>
        <w:numPr>
          <w:ilvl w:val="0"/>
          <w:numId w:val="44"/>
        </w:numPr>
        <w:spacing w:after="180"/>
        <w:jc w:val="both"/>
        <w:rPr>
          <w:rFonts w:ascii="Times New Roman" w:eastAsia="Times New Roman" w:hAnsi="Times New Roman" w:cs="Calibri"/>
          <w:lang w:val="en-GB" w:eastAsia="en-GB"/>
        </w:rPr>
      </w:pPr>
      <w:r w:rsidRPr="00EE4F3F">
        <w:rPr>
          <w:rFonts w:ascii="Times New Roman" w:eastAsia="Times New Roman" w:hAnsi="Times New Roman" w:cs="Calibri"/>
          <w:lang w:val="en-GB" w:eastAsia="en-GB"/>
        </w:rPr>
        <w:t>Regional Investigative and Analytical Case Management (RIACM) deployments</w:t>
      </w:r>
    </w:p>
    <w:p w14:paraId="48C78F49" w14:textId="5B355781" w:rsidR="00EE4F3F" w:rsidRDefault="00FD52B4" w:rsidP="00916EBD">
      <w:pPr>
        <w:pStyle w:val="ListParagraph"/>
        <w:numPr>
          <w:ilvl w:val="0"/>
          <w:numId w:val="44"/>
        </w:numPr>
        <w:spacing w:after="180"/>
        <w:jc w:val="both"/>
        <w:rPr>
          <w:rFonts w:ascii="Times New Roman" w:eastAsia="Times New Roman" w:hAnsi="Times New Roman" w:cs="Calibri"/>
          <w:lang w:val="en-GB" w:eastAsia="en-GB"/>
        </w:rPr>
      </w:pPr>
      <w:r w:rsidRPr="00EE4F3F">
        <w:rPr>
          <w:rFonts w:ascii="Times New Roman" w:eastAsia="Times New Roman" w:hAnsi="Times New Roman" w:cs="Calibri"/>
          <w:lang w:val="en-GB" w:eastAsia="en-GB"/>
        </w:rPr>
        <w:t>Incident Support Teams (IST) s</w:t>
      </w:r>
      <w:r w:rsidR="00263CC1">
        <w:rPr>
          <w:rFonts w:ascii="Times New Roman" w:eastAsia="Times New Roman" w:hAnsi="Times New Roman" w:cs="Calibri"/>
          <w:lang w:val="en-GB" w:eastAsia="en-GB"/>
        </w:rPr>
        <w:t>upport to countries,  trainings</w:t>
      </w:r>
    </w:p>
    <w:p w14:paraId="293B3F63" w14:textId="62AD2D1E" w:rsidR="00EE4F3F" w:rsidRDefault="00D55B5F" w:rsidP="00916EBD">
      <w:pPr>
        <w:pStyle w:val="ListParagraph"/>
        <w:numPr>
          <w:ilvl w:val="0"/>
          <w:numId w:val="44"/>
        </w:numPr>
        <w:spacing w:after="180"/>
        <w:jc w:val="both"/>
        <w:rPr>
          <w:rFonts w:ascii="Times New Roman" w:eastAsia="Times New Roman" w:hAnsi="Times New Roman" w:cs="Calibri"/>
          <w:lang w:val="en-GB" w:eastAsia="en-GB"/>
        </w:rPr>
      </w:pPr>
      <w:r>
        <w:rPr>
          <w:rFonts w:ascii="Times New Roman" w:eastAsia="Times New Roman" w:hAnsi="Times New Roman" w:cs="Calibri"/>
          <w:lang w:val="en-GB" w:eastAsia="en-GB"/>
        </w:rPr>
        <w:t>Delivery of trainings focused on enforcement support and criminal intelligence analysis</w:t>
      </w:r>
    </w:p>
    <w:p w14:paraId="36CC3C49" w14:textId="7D785639" w:rsidR="00D55B5F" w:rsidRDefault="00D55B5F" w:rsidP="00916EBD">
      <w:pPr>
        <w:pStyle w:val="ListParagraph"/>
        <w:numPr>
          <w:ilvl w:val="0"/>
          <w:numId w:val="44"/>
        </w:numPr>
        <w:spacing w:after="180"/>
        <w:jc w:val="both"/>
        <w:rPr>
          <w:rFonts w:ascii="Times New Roman" w:eastAsia="Times New Roman" w:hAnsi="Times New Roman" w:cs="Calibri"/>
          <w:lang w:val="en-GB" w:eastAsia="en-GB"/>
        </w:rPr>
      </w:pPr>
      <w:r w:rsidRPr="00D55B5F">
        <w:rPr>
          <w:rFonts w:ascii="Times New Roman" w:eastAsia="Times New Roman" w:hAnsi="Times New Roman" w:cs="Calibri"/>
          <w:lang w:val="en-GB" w:eastAsia="en-GB"/>
        </w:rPr>
        <w:t>Global operation engaging Member Countries on a voluntarily basis, in liaison and coordination with the INTERPOL Wildlife Crime Working Group</w:t>
      </w:r>
    </w:p>
    <w:p w14:paraId="77C5CB65" w14:textId="1D60FEBF" w:rsidR="00EE4F3F" w:rsidRDefault="00D55B5F" w:rsidP="00916EBD">
      <w:pPr>
        <w:pStyle w:val="ListParagraph"/>
        <w:numPr>
          <w:ilvl w:val="0"/>
          <w:numId w:val="44"/>
        </w:numPr>
        <w:spacing w:after="180"/>
        <w:jc w:val="both"/>
        <w:rPr>
          <w:rFonts w:ascii="Times New Roman" w:eastAsia="Times New Roman" w:hAnsi="Times New Roman" w:cs="Calibri"/>
          <w:lang w:val="en-GB" w:eastAsia="en-GB"/>
        </w:rPr>
      </w:pPr>
      <w:r w:rsidRPr="00EE4F3F">
        <w:rPr>
          <w:rFonts w:ascii="Times New Roman" w:eastAsia="Times New Roman" w:hAnsi="Times New Roman" w:cs="Calibri"/>
          <w:lang w:val="en-GB" w:eastAsia="en-GB"/>
        </w:rPr>
        <w:t>Strengthening</w:t>
      </w:r>
      <w:r w:rsidR="00FD52B4" w:rsidRPr="00EE4F3F">
        <w:rPr>
          <w:rFonts w:ascii="Times New Roman" w:eastAsia="Times New Roman" w:hAnsi="Times New Roman" w:cs="Calibri"/>
          <w:lang w:val="en-GB" w:eastAsia="en-GB"/>
        </w:rPr>
        <w:t xml:space="preserve"> World Customs Operational Networks (WCON) in Africa and Asia; reviewing and reporting on Operations such as Thunderbird etc</w:t>
      </w:r>
      <w:r w:rsidR="00916EBD">
        <w:rPr>
          <w:rFonts w:ascii="Times New Roman" w:eastAsia="Times New Roman" w:hAnsi="Times New Roman" w:cs="Calibri"/>
          <w:lang w:val="en-GB" w:eastAsia="en-GB"/>
        </w:rPr>
        <w:t>.</w:t>
      </w:r>
    </w:p>
    <w:p w14:paraId="2DF9AD62" w14:textId="77777777" w:rsidR="00AB7523" w:rsidRDefault="00AB7523" w:rsidP="00916EBD">
      <w:pPr>
        <w:pStyle w:val="ListParagraph"/>
        <w:numPr>
          <w:ilvl w:val="0"/>
          <w:numId w:val="44"/>
        </w:numPr>
        <w:spacing w:after="180"/>
        <w:jc w:val="both"/>
        <w:rPr>
          <w:rFonts w:ascii="Times New Roman" w:eastAsia="Times New Roman" w:hAnsi="Times New Roman" w:cs="Calibri"/>
          <w:lang w:val="en-GB" w:eastAsia="en-GB"/>
        </w:rPr>
      </w:pPr>
    </w:p>
    <w:p w14:paraId="181267FE" w14:textId="77777777" w:rsidR="00AB7523" w:rsidRPr="00AB7523" w:rsidRDefault="00AB7523" w:rsidP="00AB7523">
      <w:pPr>
        <w:pStyle w:val="ListParagraph"/>
        <w:numPr>
          <w:ilvl w:val="0"/>
          <w:numId w:val="44"/>
        </w:numPr>
        <w:spacing w:after="180"/>
        <w:jc w:val="both"/>
        <w:rPr>
          <w:rFonts w:ascii="Times New Roman" w:eastAsia="Times New Roman" w:hAnsi="Times New Roman"/>
          <w:lang w:val="en-GB" w:eastAsia="en-GB"/>
        </w:rPr>
      </w:pPr>
    </w:p>
    <w:p w14:paraId="2B6135BC" w14:textId="51CBFD13" w:rsidR="00FD52B4" w:rsidRPr="00EF34C4" w:rsidRDefault="00FD52B4" w:rsidP="00877115">
      <w:pPr>
        <w:pStyle w:val="ListParagraph"/>
        <w:numPr>
          <w:ilvl w:val="2"/>
          <w:numId w:val="37"/>
        </w:numPr>
        <w:spacing w:after="180"/>
        <w:rPr>
          <w:rFonts w:asciiTheme="majorBidi" w:hAnsiTheme="majorBidi" w:cstheme="majorBidi"/>
          <w:b/>
          <w:bCs/>
        </w:rPr>
      </w:pPr>
      <w:r w:rsidRPr="00EF34C4">
        <w:rPr>
          <w:rFonts w:asciiTheme="majorBidi" w:hAnsiTheme="majorBidi" w:cstheme="majorBidi"/>
          <w:b/>
          <w:bCs/>
        </w:rPr>
        <w:t>Increase regional prosecutorial and judicial cooperation</w:t>
      </w:r>
      <w:r w:rsidR="007E04E2">
        <w:rPr>
          <w:rFonts w:asciiTheme="majorBidi" w:hAnsiTheme="majorBidi" w:cstheme="majorBidi"/>
          <w:b/>
          <w:bCs/>
        </w:rPr>
        <w:t xml:space="preserve"> (</w:t>
      </w:r>
      <w:r w:rsidR="00877115" w:rsidRPr="007E04E2">
        <w:rPr>
          <w:rFonts w:ascii="Arial" w:hAnsi="Arial" w:cs="Arial"/>
          <w:color w:val="000000"/>
          <w:sz w:val="20"/>
          <w:szCs w:val="20"/>
        </w:rPr>
        <w:t>€</w:t>
      </w:r>
      <w:r w:rsidR="00877115">
        <w:rPr>
          <w:rFonts w:ascii="Arial" w:hAnsi="Arial" w:cs="Arial"/>
          <w:color w:val="000000"/>
          <w:sz w:val="20"/>
          <w:szCs w:val="20"/>
        </w:rPr>
        <w:t>110,380)</w:t>
      </w:r>
      <w:r w:rsidR="00877115">
        <w:rPr>
          <w:rStyle w:val="FootnoteReference"/>
          <w:rFonts w:cs="Arial"/>
          <w:color w:val="000000"/>
        </w:rPr>
        <w:footnoteReference w:id="12"/>
      </w:r>
    </w:p>
    <w:p w14:paraId="6852B13B" w14:textId="105814C7" w:rsidR="0046166E" w:rsidRPr="000F29FA" w:rsidRDefault="0046166E" w:rsidP="000F29FA">
      <w:pPr>
        <w:spacing w:after="180"/>
        <w:jc w:val="both"/>
        <w:rPr>
          <w:rFonts w:asciiTheme="majorBidi" w:hAnsiTheme="majorBidi" w:cstheme="majorBidi"/>
          <w:b/>
          <w:bCs/>
          <w:sz w:val="22"/>
          <w:szCs w:val="22"/>
        </w:rPr>
      </w:pPr>
      <w:r w:rsidRPr="000F29FA">
        <w:rPr>
          <w:rFonts w:asciiTheme="majorBidi" w:hAnsiTheme="majorBidi" w:cstheme="majorBidi"/>
          <w:b/>
          <w:bCs/>
          <w:sz w:val="22"/>
          <w:szCs w:val="22"/>
        </w:rPr>
        <w:t xml:space="preserve">Specific activities include: </w:t>
      </w:r>
    </w:p>
    <w:p w14:paraId="5E983749" w14:textId="77777777" w:rsidR="000F29FA" w:rsidRPr="00EF34C4" w:rsidRDefault="000F29FA" w:rsidP="0046166E">
      <w:pPr>
        <w:pStyle w:val="ListParagraph"/>
        <w:spacing w:after="180"/>
        <w:ind w:left="480"/>
        <w:jc w:val="both"/>
        <w:rPr>
          <w:rFonts w:asciiTheme="majorBidi" w:hAnsiTheme="majorBidi" w:cstheme="majorBidi"/>
          <w:b/>
          <w:bCs/>
        </w:rPr>
      </w:pPr>
    </w:p>
    <w:p w14:paraId="6B09B741" w14:textId="7FFEC8FE" w:rsidR="0046166E" w:rsidRDefault="00FD52B4" w:rsidP="0076228D">
      <w:pPr>
        <w:pStyle w:val="ListParagraph"/>
        <w:numPr>
          <w:ilvl w:val="0"/>
          <w:numId w:val="44"/>
        </w:numPr>
        <w:spacing w:after="180"/>
        <w:jc w:val="both"/>
        <w:rPr>
          <w:rFonts w:asciiTheme="majorBidi" w:eastAsia="Times New Roman" w:hAnsiTheme="majorBidi" w:cstheme="majorBidi"/>
          <w:lang w:val="en-GB" w:eastAsia="en-GB"/>
        </w:rPr>
      </w:pPr>
      <w:r w:rsidRPr="00EF34C4">
        <w:rPr>
          <w:rFonts w:asciiTheme="majorBidi" w:eastAsia="Times New Roman" w:hAnsiTheme="majorBidi" w:cstheme="majorBidi"/>
          <w:lang w:val="en-GB" w:eastAsia="en-GB"/>
        </w:rPr>
        <w:t>Strengthening Africa/Asia prosecution/judiciary cooperation with a focus on mutual legal assistance (MLA), extradition,</w:t>
      </w:r>
      <w:r w:rsidR="0076228D">
        <w:rPr>
          <w:rFonts w:asciiTheme="majorBidi" w:eastAsia="Times New Roman" w:hAnsiTheme="majorBidi" w:cstheme="majorBidi"/>
          <w:lang w:val="en-GB" w:eastAsia="en-GB"/>
        </w:rPr>
        <w:t xml:space="preserve"> based</w:t>
      </w:r>
      <w:r w:rsidRPr="00EF34C4">
        <w:rPr>
          <w:rFonts w:asciiTheme="majorBidi" w:eastAsia="Times New Roman" w:hAnsiTheme="majorBidi" w:cstheme="majorBidi"/>
          <w:lang w:val="en-GB" w:eastAsia="en-GB"/>
        </w:rPr>
        <w:t xml:space="preserve"> on the use of UN Convention o</w:t>
      </w:r>
      <w:r w:rsidR="0046166E" w:rsidRPr="00EF34C4">
        <w:rPr>
          <w:rFonts w:asciiTheme="majorBidi" w:eastAsia="Times New Roman" w:hAnsiTheme="majorBidi" w:cstheme="majorBidi"/>
          <w:lang w:val="en-GB" w:eastAsia="en-GB"/>
        </w:rPr>
        <w:t>n Transnational Organised Crime</w:t>
      </w:r>
    </w:p>
    <w:p w14:paraId="74A403B5" w14:textId="3BB95B90" w:rsidR="0046166E" w:rsidRPr="00EF34C4" w:rsidRDefault="00FD52B4" w:rsidP="0000356A">
      <w:pPr>
        <w:pStyle w:val="ListParagraph"/>
        <w:numPr>
          <w:ilvl w:val="0"/>
          <w:numId w:val="44"/>
        </w:numPr>
        <w:spacing w:after="180"/>
        <w:jc w:val="both"/>
        <w:rPr>
          <w:rFonts w:asciiTheme="majorBidi" w:eastAsia="Times New Roman" w:hAnsiTheme="majorBidi" w:cstheme="majorBidi"/>
          <w:lang w:val="en-GB" w:eastAsia="en-GB"/>
        </w:rPr>
      </w:pPr>
      <w:r w:rsidRPr="00EF34C4">
        <w:rPr>
          <w:rFonts w:asciiTheme="majorBidi" w:eastAsia="Times New Roman" w:hAnsiTheme="majorBidi" w:cstheme="majorBidi"/>
          <w:lang w:val="en-GB" w:eastAsia="en-GB"/>
        </w:rPr>
        <w:t xml:space="preserve"> Developing networks of specialized prosecutors, in parallel to networks of police and customs officers</w:t>
      </w:r>
    </w:p>
    <w:p w14:paraId="3B8D1A02" w14:textId="03AF5837" w:rsidR="00C10717" w:rsidRPr="00EF34C4" w:rsidRDefault="0000356A" w:rsidP="00C10717">
      <w:pPr>
        <w:spacing w:after="180"/>
        <w:ind w:left="360"/>
        <w:jc w:val="both"/>
        <w:rPr>
          <w:rFonts w:asciiTheme="majorBidi" w:hAnsiTheme="majorBidi" w:cstheme="majorBidi"/>
          <w:color w:val="000000"/>
          <w:sz w:val="22"/>
          <w:szCs w:val="22"/>
        </w:rPr>
      </w:pPr>
      <w:r>
        <w:rPr>
          <w:rFonts w:asciiTheme="majorBidi" w:hAnsiTheme="majorBidi" w:cstheme="majorBidi"/>
          <w:color w:val="000000"/>
          <w:sz w:val="22"/>
          <w:szCs w:val="22"/>
        </w:rPr>
        <w:t>ICCWC</w:t>
      </w:r>
      <w:r w:rsidR="00C10717" w:rsidRPr="00EF34C4">
        <w:rPr>
          <w:rFonts w:asciiTheme="majorBidi" w:hAnsiTheme="majorBidi" w:cstheme="majorBidi"/>
          <w:color w:val="000000"/>
          <w:sz w:val="22"/>
          <w:szCs w:val="22"/>
        </w:rPr>
        <w:t xml:space="preserve"> will provide support to African prosecutorial networks including the Network of West African Central Authorities and Prosecutors against Organized Crime</w:t>
      </w:r>
    </w:p>
    <w:p w14:paraId="0D8AC555" w14:textId="77777777" w:rsidR="0046166E" w:rsidRPr="00EF34C4" w:rsidRDefault="00FD52B4" w:rsidP="0046166E">
      <w:pPr>
        <w:pStyle w:val="ListParagraph"/>
        <w:numPr>
          <w:ilvl w:val="0"/>
          <w:numId w:val="44"/>
        </w:numPr>
        <w:spacing w:after="180"/>
        <w:jc w:val="both"/>
        <w:rPr>
          <w:rFonts w:asciiTheme="majorBidi" w:eastAsia="Times New Roman" w:hAnsiTheme="majorBidi" w:cstheme="majorBidi"/>
          <w:lang w:val="en-GB" w:eastAsia="en-GB"/>
        </w:rPr>
      </w:pPr>
      <w:r w:rsidRPr="00EF34C4">
        <w:rPr>
          <w:rFonts w:asciiTheme="majorBidi" w:eastAsia="Times New Roman" w:hAnsiTheme="majorBidi" w:cstheme="majorBidi"/>
          <w:lang w:val="en-GB" w:eastAsia="en-GB"/>
        </w:rPr>
        <w:t xml:space="preserve"> Holding African regional workshops with law enforcement, prosecutors and judiciary officials</w:t>
      </w:r>
    </w:p>
    <w:p w14:paraId="70E624F8" w14:textId="0E06EE3F" w:rsidR="00F54651" w:rsidRPr="00F008D3" w:rsidRDefault="00FD52B4" w:rsidP="00F008D3">
      <w:pPr>
        <w:pStyle w:val="ListParagraph"/>
        <w:numPr>
          <w:ilvl w:val="0"/>
          <w:numId w:val="44"/>
        </w:numPr>
        <w:spacing w:after="180"/>
        <w:jc w:val="both"/>
        <w:rPr>
          <w:rFonts w:asciiTheme="majorBidi" w:eastAsia="Times New Roman" w:hAnsiTheme="majorBidi" w:cstheme="majorBidi"/>
          <w:lang w:val="en-GB" w:eastAsia="en-GB"/>
        </w:rPr>
      </w:pPr>
      <w:r w:rsidRPr="00152AEA">
        <w:rPr>
          <w:rFonts w:asciiTheme="majorBidi" w:eastAsia="Times New Roman" w:hAnsiTheme="majorBidi" w:cstheme="majorBidi"/>
          <w:lang w:val="en-GB" w:eastAsia="en-GB"/>
        </w:rPr>
        <w:t>ASEAN regional conference for prosecutors and judiciary. Regional workshops on prosecutorial and judicial networking and cooperation</w:t>
      </w:r>
      <w:r w:rsidR="00152AEA" w:rsidRPr="00152AEA">
        <w:rPr>
          <w:rFonts w:asciiTheme="majorBidi" w:eastAsia="Times New Roman" w:hAnsiTheme="majorBidi" w:cstheme="majorBidi"/>
          <w:lang w:val="en-GB" w:eastAsia="en-GB"/>
        </w:rPr>
        <w:t xml:space="preserve">. </w:t>
      </w:r>
      <w:r w:rsidR="00F54651" w:rsidRPr="00F008D3">
        <w:rPr>
          <w:rFonts w:asciiTheme="majorBidi" w:eastAsia="Times New Roman" w:hAnsiTheme="majorBidi" w:cstheme="majorBidi"/>
          <w:lang w:val="en-GB" w:eastAsia="en-GB"/>
        </w:rPr>
        <w:t>ASEAN Regional Conference for prosecutors and judiciary will address model standard provisions on penalties, liability and witness protection in cases of wildlife crime</w:t>
      </w:r>
    </w:p>
    <w:p w14:paraId="7759B7AB" w14:textId="764F9CF2" w:rsidR="00152AEA" w:rsidRPr="00F008D3" w:rsidRDefault="00152AEA" w:rsidP="005052E9">
      <w:pPr>
        <w:pStyle w:val="ListParagraph"/>
        <w:numPr>
          <w:ilvl w:val="0"/>
          <w:numId w:val="44"/>
        </w:numPr>
        <w:spacing w:after="180"/>
        <w:jc w:val="both"/>
        <w:rPr>
          <w:rFonts w:asciiTheme="majorBidi" w:eastAsia="Times New Roman" w:hAnsiTheme="majorBidi" w:cstheme="majorBidi"/>
          <w:lang w:val="en-GB" w:eastAsia="en-GB"/>
        </w:rPr>
      </w:pPr>
      <w:r w:rsidRPr="00F008D3">
        <w:rPr>
          <w:rFonts w:asciiTheme="majorBidi" w:eastAsia="Times New Roman" w:hAnsiTheme="majorBidi" w:cstheme="majorBidi"/>
          <w:lang w:val="en-GB" w:eastAsia="en-GB"/>
        </w:rPr>
        <w:t>Support</w:t>
      </w:r>
      <w:r w:rsidR="00B616D2">
        <w:rPr>
          <w:rFonts w:asciiTheme="majorBidi" w:eastAsia="Times New Roman" w:hAnsiTheme="majorBidi" w:cstheme="majorBidi"/>
          <w:lang w:val="en-GB" w:eastAsia="en-GB"/>
        </w:rPr>
        <w:t>ing</w:t>
      </w:r>
      <w:r w:rsidRPr="00F008D3">
        <w:rPr>
          <w:rFonts w:asciiTheme="majorBidi" w:eastAsia="Times New Roman" w:hAnsiTheme="majorBidi" w:cstheme="majorBidi"/>
          <w:lang w:val="en-GB" w:eastAsia="en-GB"/>
        </w:rPr>
        <w:t xml:space="preserve"> and strengthen</w:t>
      </w:r>
      <w:r w:rsidR="00B616D2">
        <w:rPr>
          <w:rFonts w:asciiTheme="majorBidi" w:eastAsia="Times New Roman" w:hAnsiTheme="majorBidi" w:cstheme="majorBidi"/>
          <w:lang w:val="en-GB" w:eastAsia="en-GB"/>
        </w:rPr>
        <w:t>ing</w:t>
      </w:r>
      <w:r w:rsidRPr="00F008D3">
        <w:rPr>
          <w:rFonts w:asciiTheme="majorBidi" w:eastAsia="Times New Roman" w:hAnsiTheme="majorBidi" w:cstheme="majorBidi"/>
          <w:lang w:val="en-GB" w:eastAsia="en-GB"/>
        </w:rPr>
        <w:t xml:space="preserve"> prosecutorial networks on </w:t>
      </w:r>
      <w:r w:rsidR="00B616D2">
        <w:rPr>
          <w:rFonts w:asciiTheme="majorBidi" w:eastAsia="Times New Roman" w:hAnsiTheme="majorBidi" w:cstheme="majorBidi"/>
          <w:lang w:val="en-GB" w:eastAsia="en-GB"/>
        </w:rPr>
        <w:t>WLFC</w:t>
      </w:r>
      <w:r w:rsidRPr="00F008D3">
        <w:rPr>
          <w:rFonts w:asciiTheme="majorBidi" w:eastAsia="Times New Roman" w:hAnsiTheme="majorBidi" w:cstheme="majorBidi"/>
          <w:lang w:val="en-GB" w:eastAsia="en-GB"/>
        </w:rPr>
        <w:t xml:space="preserve"> </w:t>
      </w:r>
      <w:r w:rsidR="00B616D2">
        <w:rPr>
          <w:rFonts w:asciiTheme="majorBidi" w:eastAsia="Times New Roman" w:hAnsiTheme="majorBidi" w:cstheme="majorBidi"/>
          <w:lang w:val="en-GB" w:eastAsia="en-GB"/>
        </w:rPr>
        <w:t>aimed to</w:t>
      </w:r>
      <w:r w:rsidRPr="00F008D3">
        <w:rPr>
          <w:rFonts w:asciiTheme="majorBidi" w:eastAsia="Times New Roman" w:hAnsiTheme="majorBidi" w:cstheme="majorBidi"/>
          <w:lang w:val="en-GB" w:eastAsia="en-GB"/>
        </w:rPr>
        <w:t xml:space="preserve"> encourage</w:t>
      </w:r>
      <w:r w:rsidR="005052E9">
        <w:rPr>
          <w:rFonts w:asciiTheme="majorBidi" w:eastAsia="Times New Roman" w:hAnsiTheme="majorBidi" w:cstheme="majorBidi"/>
          <w:lang w:val="en-GB" w:eastAsia="en-GB"/>
        </w:rPr>
        <w:t xml:space="preserve"> the use</w:t>
      </w:r>
      <w:r w:rsidRPr="00F008D3">
        <w:rPr>
          <w:rFonts w:asciiTheme="majorBidi" w:eastAsia="Times New Roman" w:hAnsiTheme="majorBidi" w:cstheme="majorBidi"/>
          <w:lang w:val="en-GB" w:eastAsia="en-GB"/>
        </w:rPr>
        <w:t xml:space="preserve"> sanctions </w:t>
      </w:r>
      <w:r w:rsidR="005052E9">
        <w:rPr>
          <w:rFonts w:asciiTheme="majorBidi" w:eastAsia="Times New Roman" w:hAnsiTheme="majorBidi" w:cstheme="majorBidi"/>
          <w:lang w:val="en-GB" w:eastAsia="en-GB"/>
        </w:rPr>
        <w:t>proportionate with</w:t>
      </w:r>
      <w:r w:rsidRPr="00F008D3">
        <w:rPr>
          <w:rFonts w:asciiTheme="majorBidi" w:eastAsia="Times New Roman" w:hAnsiTheme="majorBidi" w:cstheme="majorBidi"/>
          <w:lang w:val="en-GB" w:eastAsia="en-GB"/>
        </w:rPr>
        <w:t xml:space="preserve"> the nature and gravity of the crime.</w:t>
      </w:r>
    </w:p>
    <w:p w14:paraId="145B0DF4" w14:textId="77777777" w:rsidR="00FD52B4" w:rsidRPr="005F4158" w:rsidRDefault="00FD52B4" w:rsidP="00550BA1">
      <w:pPr>
        <w:jc w:val="both"/>
        <w:rPr>
          <w:sz w:val="22"/>
          <w:szCs w:val="22"/>
        </w:rPr>
      </w:pPr>
    </w:p>
    <w:p w14:paraId="010EA5B4" w14:textId="77777777" w:rsidR="00550BA1" w:rsidRPr="005F4158" w:rsidRDefault="00550BA1" w:rsidP="00861CD2">
      <w:pPr>
        <w:spacing w:before="100" w:beforeAutospacing="1" w:after="100" w:afterAutospacing="1"/>
        <w:jc w:val="both"/>
        <w:rPr>
          <w:sz w:val="22"/>
          <w:szCs w:val="22"/>
        </w:rPr>
      </w:pPr>
    </w:p>
    <w:p w14:paraId="7E20F8D3" w14:textId="77777777" w:rsidR="00550BA1" w:rsidRPr="005F4158" w:rsidRDefault="00550BA1" w:rsidP="00861CD2">
      <w:pPr>
        <w:spacing w:before="100" w:beforeAutospacing="1" w:after="100" w:afterAutospacing="1"/>
        <w:jc w:val="both"/>
        <w:rPr>
          <w:sz w:val="22"/>
          <w:szCs w:val="22"/>
        </w:rPr>
      </w:pPr>
    </w:p>
    <w:p w14:paraId="65AACDBF" w14:textId="77777777" w:rsidR="00550BA1" w:rsidRPr="005F4158" w:rsidRDefault="00550BA1" w:rsidP="00861CD2">
      <w:pPr>
        <w:spacing w:before="100" w:beforeAutospacing="1" w:after="100" w:afterAutospacing="1"/>
        <w:jc w:val="both"/>
        <w:rPr>
          <w:sz w:val="22"/>
          <w:szCs w:val="22"/>
        </w:rPr>
      </w:pPr>
    </w:p>
    <w:p w14:paraId="0BA3B95B" w14:textId="5614796E" w:rsidR="00B45B15" w:rsidRPr="006854F1" w:rsidRDefault="00224DC4" w:rsidP="002F75A1">
      <w:pPr>
        <w:pStyle w:val="Heading3"/>
      </w:pPr>
      <w:bookmarkStart w:id="12" w:name="_Toc497992279"/>
      <w:bookmarkEnd w:id="8"/>
      <w:bookmarkEnd w:id="9"/>
      <w:bookmarkEnd w:id="10"/>
      <w:r w:rsidRPr="006854F1">
        <w:t>I</w:t>
      </w:r>
      <w:r w:rsidR="00095B45" w:rsidRPr="006854F1">
        <w:t>ndicative action plan for implementing the action</w:t>
      </w:r>
      <w:bookmarkEnd w:id="12"/>
    </w:p>
    <w:p w14:paraId="6A835896" w14:textId="77777777" w:rsidR="00E06F03" w:rsidRPr="006854F1" w:rsidRDefault="00E06F03" w:rsidP="00E06F03"/>
    <w:p w14:paraId="51E2BF93" w14:textId="13DEE8FB" w:rsidR="00E06F03" w:rsidRPr="006854F1" w:rsidRDefault="00E06F03" w:rsidP="00E06F03">
      <w:pPr>
        <w:rPr>
          <w:sz w:val="22"/>
        </w:rPr>
      </w:pPr>
      <w:r w:rsidRPr="006854F1">
        <w:rPr>
          <w:sz w:val="22"/>
        </w:rPr>
        <w:t>The following sections outline the activity plans for each of the three specific objectives in turn.</w:t>
      </w:r>
    </w:p>
    <w:p w14:paraId="6FC65DB8" w14:textId="77777777" w:rsidR="00E06F03" w:rsidRPr="006854F1" w:rsidRDefault="00E06F03" w:rsidP="00E06F03">
      <w:pPr>
        <w:rPr>
          <w:sz w:val="22"/>
        </w:rPr>
      </w:pPr>
    </w:p>
    <w:p w14:paraId="4D7A3A5F" w14:textId="68ADD4BE" w:rsidR="00CB07BC" w:rsidRPr="006854F1" w:rsidRDefault="00E06F03" w:rsidP="00B3494A">
      <w:pPr>
        <w:pStyle w:val="Heading4"/>
      </w:pPr>
      <w:bookmarkStart w:id="13" w:name="_Toc497992280"/>
      <w:r w:rsidRPr="006854F1">
        <w:t xml:space="preserve">Specific Objective 1: </w:t>
      </w:r>
      <w:r w:rsidR="00B3494A">
        <w:t>W</w:t>
      </w:r>
      <w:r w:rsidR="00B3494A" w:rsidRPr="00B3494A">
        <w:t>ildlife and forest crime</w:t>
      </w:r>
      <w:r w:rsidR="00B3494A">
        <w:t xml:space="preserve"> is reduced</w:t>
      </w:r>
      <w:r w:rsidR="00B3494A" w:rsidRPr="00B3494A">
        <w:t xml:space="preserve"> in and between a series of strategic countries of Africa, Asia and Latin America</w:t>
      </w:r>
      <w:bookmarkEnd w:id="13"/>
    </w:p>
    <w:p w14:paraId="1B779741" w14:textId="536D0BB5" w:rsidR="00E06F03" w:rsidRPr="00A95C49" w:rsidRDefault="00E06F03" w:rsidP="00680819">
      <w:pPr>
        <w:pStyle w:val="Heading5"/>
        <w:rPr>
          <w:lang w:val="en-GB"/>
        </w:rPr>
      </w:pPr>
      <w:r w:rsidRPr="00A95C49">
        <w:rPr>
          <w:lang w:val="en-GB"/>
        </w:rPr>
        <w:t>Year 1 Activity Plan</w:t>
      </w:r>
      <w:r w:rsidR="00A95C49" w:rsidRPr="00A95C49">
        <w:rPr>
          <w:lang w:val="en-GB"/>
        </w:rPr>
        <w:t xml:space="preserve"> </w:t>
      </w:r>
    </w:p>
    <w:p w14:paraId="56FB0206" w14:textId="77FC5260" w:rsidR="006F527A" w:rsidRDefault="006F527A" w:rsidP="00E06F03">
      <w:pPr>
        <w:jc w:val="both"/>
        <w:rPr>
          <w:sz w:val="20"/>
          <w:szCs w:val="20"/>
          <w:lang w:eastAsia="en-US"/>
        </w:rPr>
      </w:pPr>
      <w:r>
        <w:fldChar w:fldCharType="begin"/>
      </w:r>
      <w:r>
        <w:instrText xml:space="preserve"> LINK Excel.Sheet.12 "\\\\unvfileserver1.unvienna.org\\DATA03\\DRS\\docs\\03.SLU\\Wildlife Forest Crime\\Donors\\EU\\EU ICCWC proposal\\Draft documents\\UPDATED BUDGET - ICCWC Strategic Programme-EU and ICCWC workplan_DEVCO.xlsx" "timetable!R1C1:R36C17" \a \f 4 \h  \* MERGEFORMAT </w:instrText>
      </w:r>
      <w:r>
        <w:fldChar w:fldCharType="separate"/>
      </w:r>
    </w:p>
    <w:tbl>
      <w:tblPr>
        <w:tblW w:w="9280" w:type="dxa"/>
        <w:tblLook w:val="04A0" w:firstRow="1" w:lastRow="0" w:firstColumn="1" w:lastColumn="0" w:noHBand="0" w:noVBand="1"/>
      </w:tblPr>
      <w:tblGrid>
        <w:gridCol w:w="915"/>
        <w:gridCol w:w="2444"/>
        <w:gridCol w:w="346"/>
        <w:gridCol w:w="391"/>
        <w:gridCol w:w="346"/>
        <w:gridCol w:w="346"/>
        <w:gridCol w:w="346"/>
        <w:gridCol w:w="346"/>
        <w:gridCol w:w="346"/>
        <w:gridCol w:w="346"/>
        <w:gridCol w:w="346"/>
        <w:gridCol w:w="391"/>
        <w:gridCol w:w="346"/>
        <w:gridCol w:w="396"/>
        <w:gridCol w:w="396"/>
        <w:gridCol w:w="396"/>
        <w:gridCol w:w="1226"/>
      </w:tblGrid>
      <w:tr w:rsidR="006F527A" w:rsidRPr="006F527A" w14:paraId="0AA1D52F" w14:textId="77777777" w:rsidTr="006F527A">
        <w:trPr>
          <w:cantSplit/>
          <w:trHeight w:val="405"/>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B5BAB" w14:textId="54A19C6E" w:rsidR="006F527A" w:rsidRPr="006F527A" w:rsidRDefault="006F527A" w:rsidP="006F527A">
            <w:pPr>
              <w:rPr>
                <w:color w:val="000000"/>
                <w:sz w:val="18"/>
                <w:szCs w:val="18"/>
                <w:lang w:val="en-GB" w:eastAsia="zh-CN"/>
              </w:rPr>
            </w:pPr>
            <w:r w:rsidRPr="006F527A">
              <w:rPr>
                <w:color w:val="000000"/>
                <w:sz w:val="18"/>
                <w:szCs w:val="18"/>
                <w:lang w:eastAsia="zh-CN"/>
              </w:rPr>
              <w:t>#</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88DAF" w14:textId="77777777" w:rsidR="006F527A" w:rsidRPr="006F527A" w:rsidRDefault="006F527A" w:rsidP="006F527A">
            <w:pPr>
              <w:rPr>
                <w:color w:val="000000"/>
                <w:sz w:val="18"/>
                <w:szCs w:val="18"/>
                <w:lang w:val="en-GB" w:eastAsia="zh-CN"/>
              </w:rPr>
            </w:pPr>
            <w:r w:rsidRPr="006F527A">
              <w:rPr>
                <w:color w:val="000000"/>
                <w:sz w:val="18"/>
                <w:szCs w:val="18"/>
                <w:lang w:eastAsia="zh-CN"/>
              </w:rPr>
              <w:t>Results and Activities</w:t>
            </w:r>
          </w:p>
        </w:tc>
        <w:tc>
          <w:tcPr>
            <w:tcW w:w="4789" w:type="dxa"/>
            <w:gridSpan w:val="14"/>
            <w:tcBorders>
              <w:top w:val="single" w:sz="4" w:space="0" w:color="auto"/>
              <w:left w:val="nil"/>
              <w:bottom w:val="single" w:sz="4" w:space="0" w:color="auto"/>
              <w:right w:val="single" w:sz="4" w:space="0" w:color="auto"/>
            </w:tcBorders>
            <w:shd w:val="clear" w:color="auto" w:fill="auto"/>
            <w:vAlign w:val="center"/>
            <w:hideMark/>
          </w:tcPr>
          <w:p w14:paraId="1BF02EE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Months</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43C32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Implementing body</w:t>
            </w:r>
          </w:p>
        </w:tc>
      </w:tr>
      <w:tr w:rsidR="006F527A" w:rsidRPr="006F527A" w14:paraId="16FA891C" w14:textId="77777777" w:rsidTr="006F527A">
        <w:trPr>
          <w:trHeight w:val="3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7D7C19C7" w14:textId="77777777" w:rsidR="006F527A" w:rsidRPr="006F527A" w:rsidRDefault="006F527A" w:rsidP="006F527A">
            <w:pPr>
              <w:rPr>
                <w:color w:val="000000"/>
                <w:sz w:val="18"/>
                <w:szCs w:val="18"/>
                <w:lang w:val="en-GB" w:eastAsia="zh-CN"/>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1CF5DFDB" w14:textId="77777777" w:rsidR="006F527A" w:rsidRPr="006F527A" w:rsidRDefault="006F527A" w:rsidP="006F527A">
            <w:pPr>
              <w:rPr>
                <w:color w:val="000000"/>
                <w:sz w:val="18"/>
                <w:szCs w:val="18"/>
                <w:lang w:val="en-GB" w:eastAsia="zh-CN"/>
              </w:rPr>
            </w:pPr>
          </w:p>
        </w:tc>
        <w:tc>
          <w:tcPr>
            <w:tcW w:w="341" w:type="dxa"/>
            <w:tcBorders>
              <w:top w:val="nil"/>
              <w:left w:val="nil"/>
              <w:bottom w:val="single" w:sz="4" w:space="0" w:color="auto"/>
              <w:right w:val="single" w:sz="4" w:space="0" w:color="auto"/>
            </w:tcBorders>
            <w:shd w:val="clear" w:color="auto" w:fill="auto"/>
            <w:vAlign w:val="center"/>
            <w:hideMark/>
          </w:tcPr>
          <w:p w14:paraId="1F99921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1</w:t>
            </w:r>
          </w:p>
        </w:tc>
        <w:tc>
          <w:tcPr>
            <w:tcW w:w="341" w:type="dxa"/>
            <w:tcBorders>
              <w:top w:val="nil"/>
              <w:left w:val="nil"/>
              <w:bottom w:val="single" w:sz="4" w:space="0" w:color="auto"/>
              <w:right w:val="single" w:sz="4" w:space="0" w:color="auto"/>
            </w:tcBorders>
            <w:shd w:val="clear" w:color="auto" w:fill="auto"/>
            <w:vAlign w:val="center"/>
            <w:hideMark/>
          </w:tcPr>
          <w:p w14:paraId="6185C19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2</w:t>
            </w:r>
          </w:p>
        </w:tc>
        <w:tc>
          <w:tcPr>
            <w:tcW w:w="341" w:type="dxa"/>
            <w:tcBorders>
              <w:top w:val="nil"/>
              <w:left w:val="nil"/>
              <w:bottom w:val="single" w:sz="4" w:space="0" w:color="auto"/>
              <w:right w:val="single" w:sz="4" w:space="0" w:color="auto"/>
            </w:tcBorders>
            <w:shd w:val="clear" w:color="auto" w:fill="auto"/>
            <w:vAlign w:val="center"/>
            <w:hideMark/>
          </w:tcPr>
          <w:p w14:paraId="63616E4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3</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2BD0E6F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4</w:t>
            </w:r>
          </w:p>
        </w:tc>
        <w:tc>
          <w:tcPr>
            <w:tcW w:w="341" w:type="dxa"/>
            <w:tcBorders>
              <w:top w:val="nil"/>
              <w:left w:val="nil"/>
              <w:bottom w:val="single" w:sz="4" w:space="0" w:color="auto"/>
              <w:right w:val="single" w:sz="4" w:space="0" w:color="auto"/>
            </w:tcBorders>
            <w:shd w:val="clear" w:color="auto" w:fill="auto"/>
            <w:vAlign w:val="center"/>
            <w:hideMark/>
          </w:tcPr>
          <w:p w14:paraId="0838B87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5</w:t>
            </w:r>
          </w:p>
        </w:tc>
        <w:tc>
          <w:tcPr>
            <w:tcW w:w="341" w:type="dxa"/>
            <w:tcBorders>
              <w:top w:val="nil"/>
              <w:left w:val="nil"/>
              <w:bottom w:val="single" w:sz="4" w:space="0" w:color="auto"/>
              <w:right w:val="single" w:sz="4" w:space="0" w:color="auto"/>
            </w:tcBorders>
            <w:shd w:val="clear" w:color="auto" w:fill="auto"/>
            <w:vAlign w:val="center"/>
            <w:hideMark/>
          </w:tcPr>
          <w:p w14:paraId="030A86C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6</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45E235D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7</w:t>
            </w:r>
          </w:p>
        </w:tc>
        <w:tc>
          <w:tcPr>
            <w:tcW w:w="341" w:type="dxa"/>
            <w:tcBorders>
              <w:top w:val="nil"/>
              <w:left w:val="nil"/>
              <w:bottom w:val="single" w:sz="4" w:space="0" w:color="auto"/>
              <w:right w:val="single" w:sz="4" w:space="0" w:color="auto"/>
            </w:tcBorders>
            <w:shd w:val="clear" w:color="auto" w:fill="auto"/>
            <w:vAlign w:val="center"/>
            <w:hideMark/>
          </w:tcPr>
          <w:p w14:paraId="1237A0D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8</w:t>
            </w:r>
          </w:p>
        </w:tc>
        <w:tc>
          <w:tcPr>
            <w:tcW w:w="341" w:type="dxa"/>
            <w:tcBorders>
              <w:top w:val="nil"/>
              <w:left w:val="nil"/>
              <w:bottom w:val="single" w:sz="4" w:space="0" w:color="auto"/>
              <w:right w:val="single" w:sz="4" w:space="0" w:color="auto"/>
            </w:tcBorders>
            <w:shd w:val="clear" w:color="auto" w:fill="auto"/>
            <w:vAlign w:val="center"/>
            <w:hideMark/>
          </w:tcPr>
          <w:p w14:paraId="7B2249F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9</w:t>
            </w:r>
          </w:p>
        </w:tc>
        <w:tc>
          <w:tcPr>
            <w:tcW w:w="346" w:type="dxa"/>
            <w:tcBorders>
              <w:top w:val="nil"/>
              <w:left w:val="nil"/>
              <w:bottom w:val="single" w:sz="4" w:space="0" w:color="auto"/>
              <w:right w:val="single" w:sz="4" w:space="0" w:color="auto"/>
            </w:tcBorders>
            <w:shd w:val="clear" w:color="auto" w:fill="auto"/>
            <w:vAlign w:val="center"/>
            <w:hideMark/>
          </w:tcPr>
          <w:p w14:paraId="6D7D991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10</w:t>
            </w:r>
          </w:p>
        </w:tc>
        <w:tc>
          <w:tcPr>
            <w:tcW w:w="346" w:type="dxa"/>
            <w:tcBorders>
              <w:top w:val="nil"/>
              <w:left w:val="nil"/>
              <w:bottom w:val="single" w:sz="4" w:space="0" w:color="auto"/>
              <w:right w:val="single" w:sz="4" w:space="0" w:color="auto"/>
            </w:tcBorders>
            <w:shd w:val="clear" w:color="auto" w:fill="auto"/>
            <w:vAlign w:val="center"/>
            <w:hideMark/>
          </w:tcPr>
          <w:p w14:paraId="066634D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11</w:t>
            </w:r>
          </w:p>
        </w:tc>
        <w:tc>
          <w:tcPr>
            <w:tcW w:w="346" w:type="dxa"/>
            <w:tcBorders>
              <w:top w:val="nil"/>
              <w:left w:val="nil"/>
              <w:bottom w:val="single" w:sz="4" w:space="0" w:color="auto"/>
              <w:right w:val="single" w:sz="4" w:space="0" w:color="auto"/>
            </w:tcBorders>
            <w:shd w:val="clear" w:color="auto" w:fill="auto"/>
            <w:vAlign w:val="center"/>
            <w:hideMark/>
          </w:tcPr>
          <w:p w14:paraId="1A06B65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12</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14:paraId="0E8ECA7B" w14:textId="77777777" w:rsidR="006F527A" w:rsidRPr="006F527A" w:rsidRDefault="006F527A" w:rsidP="006F527A">
            <w:pPr>
              <w:rPr>
                <w:color w:val="000000"/>
                <w:sz w:val="18"/>
                <w:szCs w:val="18"/>
                <w:lang w:val="en-GB" w:eastAsia="zh-CN"/>
              </w:rPr>
            </w:pPr>
          </w:p>
        </w:tc>
      </w:tr>
      <w:tr w:rsidR="006F527A" w:rsidRPr="006F527A" w14:paraId="296E134A"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246AA20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1.1.1.</w:t>
            </w:r>
          </w:p>
        </w:tc>
        <w:tc>
          <w:tcPr>
            <w:tcW w:w="2444" w:type="dxa"/>
            <w:tcBorders>
              <w:top w:val="nil"/>
              <w:left w:val="nil"/>
              <w:bottom w:val="single" w:sz="4" w:space="0" w:color="auto"/>
              <w:right w:val="single" w:sz="4" w:space="0" w:color="auto"/>
            </w:tcBorders>
            <w:shd w:val="clear" w:color="DDEBF7" w:fill="DDEBF7"/>
            <w:vAlign w:val="bottom"/>
            <w:hideMark/>
          </w:tcPr>
          <w:p w14:paraId="29D6E2DA"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Implementation of the ICCWC Wildlife and Forest Crime Analytic Toolkit and ICCWC Indicator Framework</w:t>
            </w:r>
          </w:p>
        </w:tc>
        <w:tc>
          <w:tcPr>
            <w:tcW w:w="341" w:type="dxa"/>
            <w:tcBorders>
              <w:top w:val="nil"/>
              <w:left w:val="nil"/>
              <w:bottom w:val="single" w:sz="4" w:space="0" w:color="auto"/>
              <w:right w:val="single" w:sz="4" w:space="0" w:color="auto"/>
            </w:tcBorders>
            <w:shd w:val="clear" w:color="auto" w:fill="auto"/>
            <w:vAlign w:val="center"/>
            <w:hideMark/>
          </w:tcPr>
          <w:p w14:paraId="33C985C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51E3986" w14:textId="5415F7C0"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X</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0391AACA" w14:textId="1D303D25"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X</w:t>
            </w:r>
          </w:p>
        </w:tc>
        <w:tc>
          <w:tcPr>
            <w:tcW w:w="341" w:type="dxa"/>
            <w:tcBorders>
              <w:top w:val="nil"/>
              <w:left w:val="nil"/>
              <w:bottom w:val="single" w:sz="4" w:space="0" w:color="auto"/>
              <w:right w:val="single" w:sz="4" w:space="0" w:color="auto"/>
            </w:tcBorders>
            <w:shd w:val="clear" w:color="auto" w:fill="auto"/>
            <w:vAlign w:val="center"/>
            <w:hideMark/>
          </w:tcPr>
          <w:p w14:paraId="0651CA7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AD040B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724EB8DD" w14:textId="130B7DE0"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 </w:t>
            </w:r>
          </w:p>
        </w:tc>
        <w:tc>
          <w:tcPr>
            <w:tcW w:w="341" w:type="dxa"/>
            <w:tcBorders>
              <w:top w:val="nil"/>
              <w:left w:val="nil"/>
              <w:bottom w:val="single" w:sz="4" w:space="0" w:color="auto"/>
              <w:right w:val="single" w:sz="4" w:space="0" w:color="auto"/>
            </w:tcBorders>
            <w:shd w:val="clear" w:color="auto" w:fill="auto"/>
            <w:vAlign w:val="center"/>
            <w:hideMark/>
          </w:tcPr>
          <w:p w14:paraId="5116EC1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76B5D0E" w14:textId="4D3929F4"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 </w:t>
            </w:r>
          </w:p>
        </w:tc>
        <w:tc>
          <w:tcPr>
            <w:tcW w:w="341" w:type="dxa"/>
            <w:tcBorders>
              <w:top w:val="nil"/>
              <w:left w:val="nil"/>
              <w:bottom w:val="single" w:sz="4" w:space="0" w:color="auto"/>
              <w:right w:val="single" w:sz="4" w:space="0" w:color="auto"/>
            </w:tcBorders>
            <w:shd w:val="clear" w:color="auto" w:fill="auto"/>
            <w:vAlign w:val="center"/>
            <w:hideMark/>
          </w:tcPr>
          <w:p w14:paraId="6CDDDF37"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16C9280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3E10A546" w14:textId="48CE406C"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FA1526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 </w:t>
            </w:r>
          </w:p>
        </w:tc>
        <w:tc>
          <w:tcPr>
            <w:tcW w:w="1132" w:type="dxa"/>
            <w:tcBorders>
              <w:top w:val="nil"/>
              <w:left w:val="nil"/>
              <w:bottom w:val="single" w:sz="4" w:space="0" w:color="auto"/>
              <w:right w:val="single" w:sz="4" w:space="0" w:color="auto"/>
            </w:tcBorders>
            <w:shd w:val="clear" w:color="DDEBF7" w:fill="DDEBF7"/>
            <w:noWrap/>
            <w:vAlign w:val="bottom"/>
            <w:hideMark/>
          </w:tcPr>
          <w:p w14:paraId="0AE25F4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052C6F78"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E6D85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1.1.1.</w:t>
            </w:r>
          </w:p>
        </w:tc>
        <w:tc>
          <w:tcPr>
            <w:tcW w:w="2444" w:type="dxa"/>
            <w:tcBorders>
              <w:top w:val="nil"/>
              <w:left w:val="nil"/>
              <w:bottom w:val="single" w:sz="4" w:space="0" w:color="auto"/>
              <w:right w:val="single" w:sz="4" w:space="0" w:color="auto"/>
            </w:tcBorders>
            <w:shd w:val="clear" w:color="auto" w:fill="auto"/>
            <w:vAlign w:val="bottom"/>
            <w:hideMark/>
          </w:tcPr>
          <w:p w14:paraId="7905A4D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Implementation of the ICCWC Indicator Framework to establish proper measurement frameworks towards addressing WLFC. </w:t>
            </w:r>
          </w:p>
        </w:tc>
        <w:tc>
          <w:tcPr>
            <w:tcW w:w="341" w:type="dxa"/>
            <w:tcBorders>
              <w:top w:val="nil"/>
              <w:left w:val="nil"/>
              <w:bottom w:val="single" w:sz="4" w:space="0" w:color="auto"/>
              <w:right w:val="single" w:sz="4" w:space="0" w:color="auto"/>
            </w:tcBorders>
            <w:shd w:val="clear" w:color="auto" w:fill="auto"/>
            <w:vAlign w:val="center"/>
            <w:hideMark/>
          </w:tcPr>
          <w:p w14:paraId="6891D16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D1B3BA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58CC4A5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04CA8D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7F5697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6CDCBB2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B04795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5B0FFF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258611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6391E90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6FA58F6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3D7C394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auto" w:fill="auto"/>
            <w:noWrap/>
            <w:vAlign w:val="bottom"/>
            <w:hideMark/>
          </w:tcPr>
          <w:p w14:paraId="61AEACEA"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1418302A"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14BCF5A2"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1.1.2.</w:t>
            </w:r>
          </w:p>
        </w:tc>
        <w:tc>
          <w:tcPr>
            <w:tcW w:w="2444" w:type="dxa"/>
            <w:tcBorders>
              <w:top w:val="nil"/>
              <w:left w:val="nil"/>
              <w:bottom w:val="single" w:sz="4" w:space="0" w:color="auto"/>
              <w:right w:val="single" w:sz="4" w:space="0" w:color="auto"/>
            </w:tcBorders>
            <w:shd w:val="clear" w:color="DDEBF7" w:fill="DDEBF7"/>
            <w:vAlign w:val="bottom"/>
            <w:hideMark/>
          </w:tcPr>
          <w:p w14:paraId="302813AE"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Implementation of action plans resulting from ICCWC Toolkit implementation </w:t>
            </w:r>
            <w:r w:rsidRPr="006F527A">
              <w:rPr>
                <w:color w:val="000000"/>
                <w:sz w:val="18"/>
                <w:szCs w:val="18"/>
                <w:lang w:val="en-GB" w:eastAsia="zh-CN"/>
              </w:rPr>
              <w:br/>
              <w:t xml:space="preserve">ICCWC partners will provide support for delivery of specific activities to the target countries where the Toolkit has been completed, through information exchange, targeted capacity building, analysis and investigative support to enhance progress on national implementation of the action plan resulting from Toolkit implementation. </w:t>
            </w:r>
          </w:p>
        </w:tc>
        <w:tc>
          <w:tcPr>
            <w:tcW w:w="341" w:type="dxa"/>
            <w:tcBorders>
              <w:top w:val="nil"/>
              <w:left w:val="nil"/>
              <w:bottom w:val="single" w:sz="4" w:space="0" w:color="auto"/>
              <w:right w:val="single" w:sz="4" w:space="0" w:color="auto"/>
            </w:tcBorders>
            <w:shd w:val="clear" w:color="auto" w:fill="auto"/>
            <w:vAlign w:val="center"/>
            <w:hideMark/>
          </w:tcPr>
          <w:p w14:paraId="0C87CD2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0D6544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496C962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5C8B53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FDC425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1FEAC5A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CAD3F4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D62708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484833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AAA1B5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0AE87E8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44BB0C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36CA908D"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2D38C874"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FC84E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1.1.3.</w:t>
            </w:r>
          </w:p>
        </w:tc>
        <w:tc>
          <w:tcPr>
            <w:tcW w:w="2444" w:type="dxa"/>
            <w:tcBorders>
              <w:top w:val="nil"/>
              <w:left w:val="nil"/>
              <w:bottom w:val="single" w:sz="4" w:space="0" w:color="auto"/>
              <w:right w:val="single" w:sz="4" w:space="0" w:color="auto"/>
            </w:tcBorders>
            <w:shd w:val="clear" w:color="auto" w:fill="auto"/>
            <w:vAlign w:val="bottom"/>
            <w:hideMark/>
          </w:tcPr>
          <w:p w14:paraId="3883CDB0"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Provide pre-operational assistance on international legal obligations, secure communications systems, intelligence gathering and management, smuggling trends etc.</w:t>
            </w:r>
          </w:p>
        </w:tc>
        <w:tc>
          <w:tcPr>
            <w:tcW w:w="341" w:type="dxa"/>
            <w:tcBorders>
              <w:top w:val="nil"/>
              <w:left w:val="nil"/>
              <w:bottom w:val="single" w:sz="4" w:space="0" w:color="auto"/>
              <w:right w:val="single" w:sz="4" w:space="0" w:color="auto"/>
            </w:tcBorders>
            <w:shd w:val="clear" w:color="auto" w:fill="auto"/>
            <w:vAlign w:val="center"/>
            <w:hideMark/>
          </w:tcPr>
          <w:p w14:paraId="3376BA4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CD4C10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38FE333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AFE85D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16154E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6E0427C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0768D5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4F18A48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F6DE20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5843B5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2CE4957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847373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3F1F422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INTERPOL</w:t>
            </w:r>
          </w:p>
        </w:tc>
      </w:tr>
      <w:tr w:rsidR="006F527A" w:rsidRPr="006F527A" w14:paraId="7A02F898"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766EC32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1.1.3.</w:t>
            </w:r>
          </w:p>
        </w:tc>
        <w:tc>
          <w:tcPr>
            <w:tcW w:w="2444" w:type="dxa"/>
            <w:tcBorders>
              <w:top w:val="nil"/>
              <w:left w:val="nil"/>
              <w:bottom w:val="single" w:sz="4" w:space="0" w:color="auto"/>
              <w:right w:val="single" w:sz="4" w:space="0" w:color="auto"/>
            </w:tcBorders>
            <w:shd w:val="clear" w:color="DDEBF7" w:fill="DDEBF7"/>
            <w:vAlign w:val="bottom"/>
            <w:hideMark/>
          </w:tcPr>
          <w:p w14:paraId="1241DE8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Specific frontline officer Training (eg Customs), specialized manuals for customs on wildlife crime</w:t>
            </w:r>
          </w:p>
        </w:tc>
        <w:tc>
          <w:tcPr>
            <w:tcW w:w="341" w:type="dxa"/>
            <w:tcBorders>
              <w:top w:val="nil"/>
              <w:left w:val="nil"/>
              <w:bottom w:val="single" w:sz="4" w:space="0" w:color="auto"/>
              <w:right w:val="single" w:sz="4" w:space="0" w:color="auto"/>
            </w:tcBorders>
            <w:shd w:val="clear" w:color="auto" w:fill="auto"/>
            <w:vAlign w:val="center"/>
            <w:hideMark/>
          </w:tcPr>
          <w:p w14:paraId="0401AFD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4FC38EB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C45F00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214DF5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5C9781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D1179A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275C1D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A99D60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AB3C51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D9D16A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E7B55A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C91654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0E6E91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2589468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1E63E98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WCO</w:t>
            </w:r>
          </w:p>
        </w:tc>
      </w:tr>
      <w:tr w:rsidR="006F527A" w:rsidRPr="006F527A" w14:paraId="65F16E9B"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07D88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1.1.3.</w:t>
            </w:r>
          </w:p>
        </w:tc>
        <w:tc>
          <w:tcPr>
            <w:tcW w:w="2444" w:type="dxa"/>
            <w:tcBorders>
              <w:top w:val="nil"/>
              <w:left w:val="nil"/>
              <w:bottom w:val="single" w:sz="4" w:space="0" w:color="auto"/>
              <w:right w:val="single" w:sz="4" w:space="0" w:color="auto"/>
            </w:tcBorders>
            <w:shd w:val="clear" w:color="auto" w:fill="auto"/>
            <w:vAlign w:val="bottom"/>
            <w:hideMark/>
          </w:tcPr>
          <w:p w14:paraId="4B0A8FE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Training on crime scene investigation and preparation of case files for court (securing the crime scene, search techniques, evidence gathering and preservation and forensics sample collection)</w:t>
            </w:r>
          </w:p>
        </w:tc>
        <w:tc>
          <w:tcPr>
            <w:tcW w:w="341" w:type="dxa"/>
            <w:tcBorders>
              <w:top w:val="nil"/>
              <w:left w:val="nil"/>
              <w:bottom w:val="single" w:sz="4" w:space="0" w:color="auto"/>
              <w:right w:val="single" w:sz="4" w:space="0" w:color="auto"/>
            </w:tcBorders>
            <w:shd w:val="clear" w:color="auto" w:fill="auto"/>
            <w:vAlign w:val="center"/>
            <w:hideMark/>
          </w:tcPr>
          <w:p w14:paraId="6F3E869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4CBE8FF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45A5143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904C7D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773386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A46C0B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75B566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60DF91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11AD5F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D8FCF2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10BFF1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6446C87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0A862BC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584AD00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auto" w:fill="auto"/>
            <w:noWrap/>
            <w:vAlign w:val="bottom"/>
            <w:hideMark/>
          </w:tcPr>
          <w:p w14:paraId="491C839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INTERPOL</w:t>
            </w:r>
          </w:p>
        </w:tc>
      </w:tr>
      <w:tr w:rsidR="006F527A" w:rsidRPr="006F527A" w14:paraId="0592AE5F"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7A2D0AF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1.1.4.</w:t>
            </w:r>
          </w:p>
        </w:tc>
        <w:tc>
          <w:tcPr>
            <w:tcW w:w="2444" w:type="dxa"/>
            <w:tcBorders>
              <w:top w:val="nil"/>
              <w:left w:val="nil"/>
              <w:bottom w:val="single" w:sz="4" w:space="0" w:color="auto"/>
              <w:right w:val="single" w:sz="4" w:space="0" w:color="auto"/>
            </w:tcBorders>
            <w:shd w:val="clear" w:color="DDEBF7" w:fill="DDEBF7"/>
            <w:vAlign w:val="bottom"/>
            <w:hideMark/>
          </w:tcPr>
          <w:p w14:paraId="2D0AC40E"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Specialized training, including the following type of training: </w:t>
            </w:r>
            <w:r w:rsidRPr="006F527A">
              <w:rPr>
                <w:color w:val="000000"/>
                <w:sz w:val="18"/>
                <w:szCs w:val="18"/>
                <w:lang w:val="en-GB" w:eastAsia="zh-CN"/>
              </w:rPr>
              <w:br/>
              <w:t xml:space="preserve">- Covert investigations, </w:t>
            </w:r>
            <w:r w:rsidRPr="006F527A">
              <w:rPr>
                <w:color w:val="000000"/>
                <w:sz w:val="18"/>
                <w:szCs w:val="18"/>
                <w:lang w:val="en-GB" w:eastAsia="zh-CN"/>
              </w:rPr>
              <w:br/>
              <w:t>- Controlled deliveries</w:t>
            </w:r>
            <w:r w:rsidRPr="006F527A">
              <w:rPr>
                <w:color w:val="000000"/>
                <w:sz w:val="18"/>
                <w:szCs w:val="18"/>
                <w:lang w:val="en-GB" w:eastAsia="zh-CN"/>
              </w:rPr>
              <w:br/>
              <w:t>- Online investigations</w:t>
            </w:r>
            <w:r w:rsidRPr="006F527A">
              <w:rPr>
                <w:color w:val="000000"/>
                <w:sz w:val="18"/>
                <w:szCs w:val="18"/>
                <w:lang w:val="en-GB" w:eastAsia="zh-CN"/>
              </w:rPr>
              <w:br/>
              <w:t>- Developing informants and covert human sources</w:t>
            </w:r>
          </w:p>
        </w:tc>
        <w:tc>
          <w:tcPr>
            <w:tcW w:w="341" w:type="dxa"/>
            <w:tcBorders>
              <w:top w:val="nil"/>
              <w:left w:val="nil"/>
              <w:bottom w:val="single" w:sz="4" w:space="0" w:color="auto"/>
              <w:right w:val="single" w:sz="4" w:space="0" w:color="auto"/>
            </w:tcBorders>
            <w:shd w:val="clear" w:color="auto" w:fill="auto"/>
            <w:vAlign w:val="center"/>
            <w:hideMark/>
          </w:tcPr>
          <w:p w14:paraId="11101F9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298707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1D1E8CA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807725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0BAFF0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0D66D9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D36D64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BC64F7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1E31F3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13211A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8DBC06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1712B2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D90403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61FB824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DDEBF7" w:fill="DDEBF7"/>
            <w:noWrap/>
            <w:vAlign w:val="bottom"/>
            <w:hideMark/>
          </w:tcPr>
          <w:p w14:paraId="08C1958B"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INTERPOL</w:t>
            </w:r>
          </w:p>
        </w:tc>
      </w:tr>
      <w:tr w:rsidR="006F527A" w:rsidRPr="006F527A" w14:paraId="35E5AB6F"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73820D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1.1.4.</w:t>
            </w:r>
          </w:p>
        </w:tc>
        <w:tc>
          <w:tcPr>
            <w:tcW w:w="2444" w:type="dxa"/>
            <w:tcBorders>
              <w:top w:val="nil"/>
              <w:left w:val="nil"/>
              <w:bottom w:val="single" w:sz="4" w:space="0" w:color="auto"/>
              <w:right w:val="single" w:sz="4" w:space="0" w:color="auto"/>
            </w:tcBorders>
            <w:shd w:val="clear" w:color="auto" w:fill="auto"/>
            <w:vAlign w:val="bottom"/>
            <w:hideMark/>
          </w:tcPr>
          <w:p w14:paraId="6F4FD581" w14:textId="77777777" w:rsidR="006F527A" w:rsidRPr="006F527A" w:rsidRDefault="006F527A" w:rsidP="006F527A">
            <w:pPr>
              <w:spacing w:after="240"/>
              <w:rPr>
                <w:color w:val="000000"/>
                <w:sz w:val="18"/>
                <w:szCs w:val="18"/>
                <w:lang w:val="en-GB" w:eastAsia="zh-CN"/>
              </w:rPr>
            </w:pPr>
            <w:r w:rsidRPr="006F527A">
              <w:rPr>
                <w:color w:val="000000"/>
                <w:sz w:val="18"/>
                <w:szCs w:val="18"/>
                <w:lang w:val="en-GB" w:eastAsia="zh-CN"/>
              </w:rPr>
              <w:t xml:space="preserve">Advanced training courses countries on the following techniques:   </w:t>
            </w:r>
            <w:r w:rsidRPr="006F527A">
              <w:rPr>
                <w:color w:val="000000"/>
                <w:sz w:val="18"/>
                <w:szCs w:val="18"/>
                <w:lang w:val="en-GB" w:eastAsia="zh-CN"/>
              </w:rPr>
              <w:br/>
              <w:t xml:space="preserve">- Online investigations </w:t>
            </w:r>
            <w:r w:rsidRPr="006F527A">
              <w:rPr>
                <w:color w:val="000000"/>
                <w:sz w:val="18"/>
                <w:szCs w:val="18"/>
                <w:lang w:val="en-GB" w:eastAsia="zh-CN"/>
              </w:rPr>
              <w:br/>
              <w:t xml:space="preserve">- Controlled deliveries </w:t>
            </w:r>
            <w:r w:rsidRPr="006F527A">
              <w:rPr>
                <w:color w:val="000000"/>
                <w:sz w:val="18"/>
                <w:szCs w:val="18"/>
                <w:lang w:val="en-GB" w:eastAsia="zh-CN"/>
              </w:rPr>
              <w:br/>
              <w:t xml:space="preserve">- Developing informants and covert human sources </w:t>
            </w:r>
            <w:r w:rsidRPr="006F527A">
              <w:rPr>
                <w:color w:val="000000"/>
                <w:sz w:val="18"/>
                <w:szCs w:val="18"/>
                <w:lang w:val="en-GB" w:eastAsia="zh-CN"/>
              </w:rPr>
              <w:br/>
              <w:t xml:space="preserve">- Crime scene management </w:t>
            </w:r>
          </w:p>
        </w:tc>
        <w:tc>
          <w:tcPr>
            <w:tcW w:w="341" w:type="dxa"/>
            <w:tcBorders>
              <w:top w:val="nil"/>
              <w:left w:val="nil"/>
              <w:bottom w:val="single" w:sz="4" w:space="0" w:color="auto"/>
              <w:right w:val="single" w:sz="4" w:space="0" w:color="auto"/>
            </w:tcBorders>
            <w:shd w:val="clear" w:color="auto" w:fill="auto"/>
            <w:vAlign w:val="center"/>
            <w:hideMark/>
          </w:tcPr>
          <w:p w14:paraId="64BE9F1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FE9038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293A10C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3A2E3D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B0B430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4A17963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5EBD0E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2B9AB2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7E78EF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9659D5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0A51B7C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7C03DE0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3B68933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5EB06AB7"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46EE891B"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1.1.4.</w:t>
            </w:r>
          </w:p>
        </w:tc>
        <w:tc>
          <w:tcPr>
            <w:tcW w:w="2444" w:type="dxa"/>
            <w:tcBorders>
              <w:top w:val="nil"/>
              <w:left w:val="nil"/>
              <w:bottom w:val="single" w:sz="4" w:space="0" w:color="auto"/>
              <w:right w:val="single" w:sz="4" w:space="0" w:color="auto"/>
            </w:tcBorders>
            <w:shd w:val="clear" w:color="DDEBF7" w:fill="DDEBF7"/>
            <w:vAlign w:val="bottom"/>
            <w:hideMark/>
          </w:tcPr>
          <w:p w14:paraId="480EAB1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Training on Anti-money laundering and asset recovery. This includes implementation of the ICCWC anti-Money laundering training programme</w:t>
            </w:r>
          </w:p>
        </w:tc>
        <w:tc>
          <w:tcPr>
            <w:tcW w:w="341" w:type="dxa"/>
            <w:tcBorders>
              <w:top w:val="nil"/>
              <w:left w:val="nil"/>
              <w:bottom w:val="single" w:sz="4" w:space="0" w:color="auto"/>
              <w:right w:val="single" w:sz="4" w:space="0" w:color="auto"/>
            </w:tcBorders>
            <w:shd w:val="clear" w:color="auto" w:fill="auto"/>
            <w:vAlign w:val="center"/>
            <w:hideMark/>
          </w:tcPr>
          <w:p w14:paraId="75C6B33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2D5928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3664222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A7E564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1BC1D40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75EF639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BCC4BE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789CC9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2C7AA2A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77BFE7A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1826772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6B55D9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46D46EEE"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WB</w:t>
            </w:r>
          </w:p>
        </w:tc>
      </w:tr>
      <w:tr w:rsidR="006F527A" w:rsidRPr="006F527A" w14:paraId="7701011B"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0FAC88C"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1.1.5.</w:t>
            </w:r>
          </w:p>
        </w:tc>
        <w:tc>
          <w:tcPr>
            <w:tcW w:w="2444" w:type="dxa"/>
            <w:tcBorders>
              <w:top w:val="nil"/>
              <w:left w:val="nil"/>
              <w:bottom w:val="single" w:sz="4" w:space="0" w:color="auto"/>
              <w:right w:val="single" w:sz="4" w:space="0" w:color="auto"/>
            </w:tcBorders>
            <w:shd w:val="clear" w:color="auto" w:fill="auto"/>
            <w:vAlign w:val="bottom"/>
            <w:hideMark/>
          </w:tcPr>
          <w:p w14:paraId="1FEC6313"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Training on Anti-money laundering and asset recovery. This includes implementation of the ICCWC anti-Money laundering training programme</w:t>
            </w:r>
          </w:p>
        </w:tc>
        <w:tc>
          <w:tcPr>
            <w:tcW w:w="341" w:type="dxa"/>
            <w:tcBorders>
              <w:top w:val="nil"/>
              <w:left w:val="nil"/>
              <w:bottom w:val="single" w:sz="4" w:space="0" w:color="auto"/>
              <w:right w:val="single" w:sz="4" w:space="0" w:color="auto"/>
            </w:tcBorders>
            <w:shd w:val="clear" w:color="auto" w:fill="auto"/>
            <w:vAlign w:val="center"/>
            <w:hideMark/>
          </w:tcPr>
          <w:p w14:paraId="4AA19CE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50E25D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ACD5DB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39269A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2EB78C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E85D0C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EA70B4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9688A6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A930CB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465C1DF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6F5E01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31A208D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303A65C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4B5EF07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auto" w:fill="auto"/>
            <w:noWrap/>
            <w:vAlign w:val="bottom"/>
            <w:hideMark/>
          </w:tcPr>
          <w:p w14:paraId="143CAE8D"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33EDBBDE"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7C945740"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1.1.6.</w:t>
            </w:r>
          </w:p>
        </w:tc>
        <w:tc>
          <w:tcPr>
            <w:tcW w:w="2444" w:type="dxa"/>
            <w:tcBorders>
              <w:top w:val="nil"/>
              <w:left w:val="nil"/>
              <w:bottom w:val="single" w:sz="4" w:space="0" w:color="auto"/>
              <w:right w:val="single" w:sz="4" w:space="0" w:color="auto"/>
            </w:tcBorders>
            <w:shd w:val="clear" w:color="DDEBF7" w:fill="DDEBF7"/>
            <w:vAlign w:val="bottom"/>
            <w:hideMark/>
          </w:tcPr>
          <w:p w14:paraId="61E4288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Implementation of anti-corruption measures and strategies, including:</w:t>
            </w:r>
            <w:r w:rsidRPr="006F527A">
              <w:rPr>
                <w:color w:val="000000"/>
                <w:sz w:val="18"/>
                <w:szCs w:val="18"/>
                <w:lang w:val="en-GB" w:eastAsia="zh-CN"/>
              </w:rPr>
              <w:br/>
              <w:t xml:space="preserve"> - Training to selected institutions on identification and prioritization of corruption risks, mitigation strategies, implementation and evaluation.</w:t>
            </w:r>
            <w:r w:rsidRPr="006F527A">
              <w:rPr>
                <w:color w:val="000000"/>
                <w:sz w:val="18"/>
                <w:szCs w:val="18"/>
                <w:lang w:val="en-GB" w:eastAsia="zh-CN"/>
              </w:rPr>
              <w:br/>
              <w:t>- Development of guidelines to promote integrity policies and assist member States to mitigate the risks of corruption in the trade chain as it relates to CITES-listed specimens.</w:t>
            </w:r>
          </w:p>
        </w:tc>
        <w:tc>
          <w:tcPr>
            <w:tcW w:w="341" w:type="dxa"/>
            <w:tcBorders>
              <w:top w:val="nil"/>
              <w:left w:val="nil"/>
              <w:bottom w:val="single" w:sz="4" w:space="0" w:color="auto"/>
              <w:right w:val="single" w:sz="4" w:space="0" w:color="auto"/>
            </w:tcBorders>
            <w:shd w:val="clear" w:color="auto" w:fill="auto"/>
            <w:vAlign w:val="center"/>
            <w:hideMark/>
          </w:tcPr>
          <w:p w14:paraId="08F4EEF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780144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4795E6F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CCB6EE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36A321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1C11641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239B33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A9D8EF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9834E5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6D62001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63A9E53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07CC5D9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DDEBF7" w:fill="DDEBF7"/>
            <w:noWrap/>
            <w:vAlign w:val="bottom"/>
            <w:hideMark/>
          </w:tcPr>
          <w:p w14:paraId="462FD43B"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60472E93"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24D04B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1.1.7.</w:t>
            </w:r>
          </w:p>
        </w:tc>
        <w:tc>
          <w:tcPr>
            <w:tcW w:w="2444" w:type="dxa"/>
            <w:tcBorders>
              <w:top w:val="nil"/>
              <w:left w:val="nil"/>
              <w:bottom w:val="single" w:sz="4" w:space="0" w:color="auto"/>
              <w:right w:val="single" w:sz="4" w:space="0" w:color="auto"/>
            </w:tcBorders>
            <w:shd w:val="clear" w:color="auto" w:fill="auto"/>
            <w:vAlign w:val="bottom"/>
            <w:hideMark/>
          </w:tcPr>
          <w:p w14:paraId="1FBAF53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Promote, support and facilitate the secondment of law enforcement officers between key countries and/or networks to address significantly affected by illicit wildlife trafficking.</w:t>
            </w:r>
          </w:p>
        </w:tc>
        <w:tc>
          <w:tcPr>
            <w:tcW w:w="4789" w:type="dxa"/>
            <w:gridSpan w:val="14"/>
            <w:tcBorders>
              <w:top w:val="single" w:sz="4" w:space="0" w:color="auto"/>
              <w:left w:val="nil"/>
              <w:bottom w:val="single" w:sz="4" w:space="0" w:color="auto"/>
              <w:right w:val="single" w:sz="4" w:space="0" w:color="auto"/>
            </w:tcBorders>
            <w:shd w:val="clear" w:color="auto" w:fill="auto"/>
            <w:vAlign w:val="center"/>
            <w:hideMark/>
          </w:tcPr>
          <w:p w14:paraId="625E07C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w:t>
            </w:r>
          </w:p>
        </w:tc>
        <w:tc>
          <w:tcPr>
            <w:tcW w:w="1132" w:type="dxa"/>
            <w:tcBorders>
              <w:top w:val="nil"/>
              <w:left w:val="nil"/>
              <w:bottom w:val="single" w:sz="4" w:space="0" w:color="auto"/>
              <w:right w:val="single" w:sz="4" w:space="0" w:color="auto"/>
            </w:tcBorders>
            <w:shd w:val="clear" w:color="auto" w:fill="auto"/>
            <w:noWrap/>
            <w:vAlign w:val="bottom"/>
            <w:hideMark/>
          </w:tcPr>
          <w:p w14:paraId="4C5E7F5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WCO</w:t>
            </w:r>
          </w:p>
        </w:tc>
      </w:tr>
      <w:tr w:rsidR="006F527A" w:rsidRPr="006F527A" w14:paraId="4D7607CD"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25D2A9AD"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1.1.7.</w:t>
            </w:r>
          </w:p>
        </w:tc>
        <w:tc>
          <w:tcPr>
            <w:tcW w:w="2444" w:type="dxa"/>
            <w:tcBorders>
              <w:top w:val="nil"/>
              <w:left w:val="nil"/>
              <w:bottom w:val="single" w:sz="4" w:space="0" w:color="auto"/>
              <w:right w:val="single" w:sz="4" w:space="0" w:color="auto"/>
            </w:tcBorders>
            <w:shd w:val="clear" w:color="DDEBF7" w:fill="DDEBF7"/>
            <w:vAlign w:val="bottom"/>
            <w:hideMark/>
          </w:tcPr>
          <w:p w14:paraId="1DC41762"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Promote and support institutional cooperation [twinning] between CITES Parties to facilitate the sharing of knowledge, skills and experiences that will enhance capacity to effectively implement CITES.  </w:t>
            </w:r>
          </w:p>
        </w:tc>
        <w:tc>
          <w:tcPr>
            <w:tcW w:w="341" w:type="dxa"/>
            <w:tcBorders>
              <w:top w:val="nil"/>
              <w:left w:val="nil"/>
              <w:bottom w:val="single" w:sz="4" w:space="0" w:color="auto"/>
              <w:right w:val="single" w:sz="4" w:space="0" w:color="auto"/>
            </w:tcBorders>
            <w:shd w:val="clear" w:color="auto" w:fill="auto"/>
            <w:vAlign w:val="center"/>
            <w:hideMark/>
          </w:tcPr>
          <w:p w14:paraId="06C1D3A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4E1B1B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716AAF1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4CBCC6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96CD34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1EF2E29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6EB04A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11F7AE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FBAB4C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08B60D5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4B2B5EC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59E1039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DDEBF7" w:fill="DDEBF7"/>
            <w:noWrap/>
            <w:vAlign w:val="bottom"/>
            <w:hideMark/>
          </w:tcPr>
          <w:p w14:paraId="285484C3"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6A839B27"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1630F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1.1.8.</w:t>
            </w:r>
          </w:p>
        </w:tc>
        <w:tc>
          <w:tcPr>
            <w:tcW w:w="2444" w:type="dxa"/>
            <w:tcBorders>
              <w:top w:val="nil"/>
              <w:left w:val="nil"/>
              <w:bottom w:val="single" w:sz="4" w:space="0" w:color="auto"/>
              <w:right w:val="single" w:sz="4" w:space="0" w:color="auto"/>
            </w:tcBorders>
            <w:shd w:val="clear" w:color="auto" w:fill="auto"/>
            <w:vAlign w:val="bottom"/>
            <w:hideMark/>
          </w:tcPr>
          <w:p w14:paraId="226075DA"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High level awareness of WLFC ICCWC will promote high level awareness of WLFC to raise political will to tackle it, and promote the use of the ICCWC tools and services at relevant fora (e.g. CITES Standing Committee, CoP etc).</w:t>
            </w:r>
          </w:p>
        </w:tc>
        <w:tc>
          <w:tcPr>
            <w:tcW w:w="341" w:type="dxa"/>
            <w:tcBorders>
              <w:top w:val="nil"/>
              <w:left w:val="nil"/>
              <w:bottom w:val="single" w:sz="4" w:space="0" w:color="auto"/>
              <w:right w:val="single" w:sz="4" w:space="0" w:color="auto"/>
            </w:tcBorders>
            <w:shd w:val="clear" w:color="auto" w:fill="auto"/>
            <w:vAlign w:val="center"/>
            <w:hideMark/>
          </w:tcPr>
          <w:p w14:paraId="6996000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A8C634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36C9D7B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864518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B998D8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0CD73EE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894C2A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DFBD33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0E1A87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6C08906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F98C1F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42552FF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591DE26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0836B85C"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55E40C2C"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1.1.8.</w:t>
            </w:r>
          </w:p>
        </w:tc>
        <w:tc>
          <w:tcPr>
            <w:tcW w:w="2444" w:type="dxa"/>
            <w:tcBorders>
              <w:top w:val="nil"/>
              <w:left w:val="nil"/>
              <w:bottom w:val="single" w:sz="4" w:space="0" w:color="auto"/>
              <w:right w:val="single" w:sz="4" w:space="0" w:color="auto"/>
            </w:tcBorders>
            <w:shd w:val="clear" w:color="DDEBF7" w:fill="DDEBF7"/>
            <w:vAlign w:val="bottom"/>
            <w:hideMark/>
          </w:tcPr>
          <w:p w14:paraId="28B3C82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High level awareness of WLFC ICCWC will promote high level awareness of WLFC to raise political will to tackle it, and promote the use of the ICCWC tools and services at relevant fora (e.g. CITES Standing Committee, CoP etc).</w:t>
            </w:r>
          </w:p>
        </w:tc>
        <w:tc>
          <w:tcPr>
            <w:tcW w:w="341" w:type="dxa"/>
            <w:tcBorders>
              <w:top w:val="nil"/>
              <w:left w:val="nil"/>
              <w:bottom w:val="single" w:sz="4" w:space="0" w:color="auto"/>
              <w:right w:val="single" w:sz="4" w:space="0" w:color="auto"/>
            </w:tcBorders>
            <w:shd w:val="clear" w:color="auto" w:fill="auto"/>
            <w:vAlign w:val="center"/>
            <w:hideMark/>
          </w:tcPr>
          <w:p w14:paraId="1411732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C7B7ED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28BE495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270F4CE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106987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4513861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190CD69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1C90057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C2F689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21CB92E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19CFE7B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57F9F12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2AA49D63"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75AE6C0D"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64B494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auto" w:fill="auto"/>
            <w:vAlign w:val="bottom"/>
            <w:hideMark/>
          </w:tcPr>
          <w:p w14:paraId="01474147" w14:textId="77777777" w:rsidR="006F527A" w:rsidRPr="006F527A" w:rsidRDefault="006F527A" w:rsidP="006F527A">
            <w:pPr>
              <w:rPr>
                <w:color w:val="000000"/>
                <w:sz w:val="18"/>
                <w:szCs w:val="18"/>
                <w:lang w:val="en-GB" w:eastAsia="zh-CN"/>
              </w:rPr>
            </w:pPr>
            <w:r w:rsidRPr="006F527A">
              <w:rPr>
                <w:color w:val="000000"/>
                <w:sz w:val="18"/>
                <w:szCs w:val="18"/>
                <w:lang w:eastAsia="zh-CN"/>
              </w:rPr>
              <w:t>Revise and reproduce ICCWC visibility materials such as brochures, banners, ensure EU visibility in the programme</w:t>
            </w:r>
          </w:p>
        </w:tc>
        <w:tc>
          <w:tcPr>
            <w:tcW w:w="341" w:type="dxa"/>
            <w:tcBorders>
              <w:top w:val="nil"/>
              <w:left w:val="nil"/>
              <w:bottom w:val="single" w:sz="4" w:space="0" w:color="auto"/>
              <w:right w:val="single" w:sz="4" w:space="0" w:color="auto"/>
            </w:tcBorders>
            <w:shd w:val="clear" w:color="auto" w:fill="auto"/>
            <w:vAlign w:val="center"/>
            <w:hideMark/>
          </w:tcPr>
          <w:p w14:paraId="259FE66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25704A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5F5ACDC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39952F9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2B4F6FF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21868AA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183010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59CBAF9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61B9D8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1C7718F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2004816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67E4706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41B91D86"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WB</w:t>
            </w:r>
          </w:p>
        </w:tc>
      </w:tr>
      <w:tr w:rsidR="006F527A" w:rsidRPr="006F527A" w14:paraId="5FDBAF3D"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3F742EC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DDEBF7" w:fill="DDEBF7"/>
            <w:vAlign w:val="bottom"/>
            <w:hideMark/>
          </w:tcPr>
          <w:p w14:paraId="67334C1A"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Regional threat assessment for West and Central Africa as per Dec 17.97 a) and b). CITES to ICCWC partners to implement in Q2/3 2018 - includes translation to French and Spanish </w:t>
            </w:r>
          </w:p>
        </w:tc>
        <w:tc>
          <w:tcPr>
            <w:tcW w:w="341" w:type="dxa"/>
            <w:tcBorders>
              <w:top w:val="nil"/>
              <w:left w:val="nil"/>
              <w:bottom w:val="single" w:sz="4" w:space="0" w:color="auto"/>
              <w:right w:val="single" w:sz="4" w:space="0" w:color="auto"/>
            </w:tcBorders>
            <w:shd w:val="clear" w:color="auto" w:fill="auto"/>
            <w:vAlign w:val="center"/>
            <w:hideMark/>
          </w:tcPr>
          <w:p w14:paraId="35FB6A0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092017B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2F3A9AA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64BC3F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3A9EFF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14:paraId="3968902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B6F20C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714A433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49029B9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041778E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1386CEC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tcBorders>
              <w:top w:val="nil"/>
              <w:left w:val="nil"/>
              <w:bottom w:val="single" w:sz="4" w:space="0" w:color="auto"/>
              <w:right w:val="single" w:sz="4" w:space="0" w:color="auto"/>
            </w:tcBorders>
            <w:shd w:val="clear" w:color="auto" w:fill="auto"/>
            <w:vAlign w:val="center"/>
            <w:hideMark/>
          </w:tcPr>
          <w:p w14:paraId="35B66D7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3293817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595F315A"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9DEA9A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auto" w:fill="auto"/>
            <w:vAlign w:val="bottom"/>
            <w:hideMark/>
          </w:tcPr>
          <w:p w14:paraId="3E1F3420"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Development of directory of laboratories as per Dec 17.83 c). CITES to request ICCWC partners to implement</w:t>
            </w:r>
          </w:p>
        </w:tc>
        <w:tc>
          <w:tcPr>
            <w:tcW w:w="341" w:type="dxa"/>
            <w:vMerge w:val="restart"/>
            <w:tcBorders>
              <w:top w:val="nil"/>
              <w:left w:val="single" w:sz="4" w:space="0" w:color="auto"/>
              <w:bottom w:val="single" w:sz="4" w:space="0" w:color="auto"/>
              <w:right w:val="single" w:sz="4" w:space="0" w:color="auto"/>
            </w:tcBorders>
            <w:shd w:val="clear" w:color="auto" w:fill="auto"/>
            <w:vAlign w:val="center"/>
            <w:hideMark/>
          </w:tcPr>
          <w:p w14:paraId="4E1F7BE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vMerge w:val="restart"/>
            <w:tcBorders>
              <w:top w:val="nil"/>
              <w:left w:val="single" w:sz="4" w:space="0" w:color="auto"/>
              <w:bottom w:val="single" w:sz="4" w:space="0" w:color="auto"/>
              <w:right w:val="single" w:sz="4" w:space="0" w:color="auto"/>
            </w:tcBorders>
            <w:shd w:val="clear" w:color="auto" w:fill="auto"/>
            <w:vAlign w:val="center"/>
            <w:hideMark/>
          </w:tcPr>
          <w:p w14:paraId="28E1235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1" w:type="dxa"/>
            <w:tcBorders>
              <w:top w:val="nil"/>
              <w:left w:val="nil"/>
              <w:bottom w:val="single" w:sz="4" w:space="0" w:color="auto"/>
              <w:right w:val="single" w:sz="4" w:space="0" w:color="auto"/>
            </w:tcBorders>
            <w:shd w:val="clear" w:color="auto" w:fill="auto"/>
            <w:vAlign w:val="center"/>
            <w:hideMark/>
          </w:tcPr>
          <w:p w14:paraId="6014781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C502E3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B0A240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F164E1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5BF48F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65FC9F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3D390C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664D9F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vMerge w:val="restart"/>
            <w:tcBorders>
              <w:top w:val="nil"/>
              <w:left w:val="single" w:sz="4" w:space="0" w:color="auto"/>
              <w:bottom w:val="single" w:sz="4" w:space="0" w:color="auto"/>
              <w:right w:val="single" w:sz="4" w:space="0" w:color="auto"/>
            </w:tcBorders>
            <w:shd w:val="clear" w:color="auto" w:fill="auto"/>
            <w:vAlign w:val="center"/>
            <w:hideMark/>
          </w:tcPr>
          <w:p w14:paraId="56098AE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14:paraId="47229B0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14:paraId="15A256F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14:paraId="0FEE885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 </w:t>
            </w:r>
          </w:p>
        </w:tc>
        <w:tc>
          <w:tcPr>
            <w:tcW w:w="1132" w:type="dxa"/>
            <w:tcBorders>
              <w:top w:val="nil"/>
              <w:left w:val="nil"/>
              <w:bottom w:val="single" w:sz="4" w:space="0" w:color="auto"/>
              <w:right w:val="single" w:sz="4" w:space="0" w:color="auto"/>
            </w:tcBorders>
            <w:shd w:val="clear" w:color="auto" w:fill="auto"/>
            <w:noWrap/>
            <w:vAlign w:val="bottom"/>
            <w:hideMark/>
          </w:tcPr>
          <w:p w14:paraId="4CF11FD6"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00354FCC"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33F53704"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DDEBF7" w:fill="DDEBF7"/>
            <w:vAlign w:val="bottom"/>
            <w:hideMark/>
          </w:tcPr>
          <w:p w14:paraId="614C6ED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Develop training materials and provide training to facilitate the use of forensic science. Design and deliver a training programme based on the ICCWC Best Practice Guide for Forensic Timber Identification. </w:t>
            </w:r>
          </w:p>
        </w:tc>
        <w:tc>
          <w:tcPr>
            <w:tcW w:w="341" w:type="dxa"/>
            <w:vMerge/>
            <w:tcBorders>
              <w:top w:val="nil"/>
              <w:left w:val="single" w:sz="4" w:space="0" w:color="auto"/>
              <w:bottom w:val="single" w:sz="4" w:space="0" w:color="auto"/>
              <w:right w:val="single" w:sz="4" w:space="0" w:color="auto"/>
            </w:tcBorders>
            <w:vAlign w:val="center"/>
            <w:hideMark/>
          </w:tcPr>
          <w:p w14:paraId="4C442403" w14:textId="77777777" w:rsidR="006F527A" w:rsidRPr="006F527A" w:rsidRDefault="006F527A" w:rsidP="006F527A">
            <w:pPr>
              <w:rPr>
                <w:color w:val="000000"/>
                <w:sz w:val="18"/>
                <w:szCs w:val="18"/>
                <w:lang w:val="en-GB" w:eastAsia="zh-CN"/>
              </w:rPr>
            </w:pPr>
          </w:p>
        </w:tc>
        <w:tc>
          <w:tcPr>
            <w:tcW w:w="341" w:type="dxa"/>
            <w:vMerge/>
            <w:tcBorders>
              <w:top w:val="nil"/>
              <w:left w:val="single" w:sz="4" w:space="0" w:color="auto"/>
              <w:bottom w:val="single" w:sz="4" w:space="0" w:color="auto"/>
              <w:right w:val="single" w:sz="4" w:space="0" w:color="auto"/>
            </w:tcBorders>
            <w:vAlign w:val="center"/>
            <w:hideMark/>
          </w:tcPr>
          <w:p w14:paraId="6D2669FE" w14:textId="77777777" w:rsidR="006F527A" w:rsidRPr="006F527A" w:rsidRDefault="006F527A" w:rsidP="006F527A">
            <w:pPr>
              <w:rPr>
                <w:color w:val="000000"/>
                <w:sz w:val="18"/>
                <w:szCs w:val="18"/>
                <w:lang w:val="en-GB" w:eastAsia="zh-CN"/>
              </w:rPr>
            </w:pPr>
          </w:p>
        </w:tc>
        <w:tc>
          <w:tcPr>
            <w:tcW w:w="341" w:type="dxa"/>
            <w:tcBorders>
              <w:top w:val="nil"/>
              <w:left w:val="nil"/>
              <w:bottom w:val="single" w:sz="4" w:space="0" w:color="auto"/>
              <w:right w:val="single" w:sz="4" w:space="0" w:color="auto"/>
            </w:tcBorders>
            <w:shd w:val="clear" w:color="auto" w:fill="auto"/>
            <w:vAlign w:val="center"/>
            <w:hideMark/>
          </w:tcPr>
          <w:p w14:paraId="75BD2C7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5606A9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EE5D8B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2B8487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2C1B2F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BFC43A4"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7BBB91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7B9021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vMerge/>
            <w:tcBorders>
              <w:top w:val="nil"/>
              <w:left w:val="single" w:sz="4" w:space="0" w:color="auto"/>
              <w:bottom w:val="single" w:sz="4" w:space="0" w:color="auto"/>
              <w:right w:val="single" w:sz="4" w:space="0" w:color="auto"/>
            </w:tcBorders>
            <w:vAlign w:val="center"/>
            <w:hideMark/>
          </w:tcPr>
          <w:p w14:paraId="1F914E66" w14:textId="77777777" w:rsidR="006F527A" w:rsidRPr="006F527A" w:rsidRDefault="006F527A" w:rsidP="006F527A">
            <w:pPr>
              <w:rPr>
                <w:color w:val="000000"/>
                <w:sz w:val="18"/>
                <w:szCs w:val="18"/>
                <w:lang w:val="en-GB" w:eastAsia="zh-CN"/>
              </w:rPr>
            </w:pPr>
          </w:p>
        </w:tc>
        <w:tc>
          <w:tcPr>
            <w:tcW w:w="346" w:type="dxa"/>
            <w:vMerge/>
            <w:tcBorders>
              <w:top w:val="nil"/>
              <w:left w:val="single" w:sz="4" w:space="0" w:color="auto"/>
              <w:bottom w:val="single" w:sz="4" w:space="0" w:color="auto"/>
              <w:right w:val="single" w:sz="4" w:space="0" w:color="auto"/>
            </w:tcBorders>
            <w:vAlign w:val="center"/>
            <w:hideMark/>
          </w:tcPr>
          <w:p w14:paraId="24795B13" w14:textId="77777777" w:rsidR="006F527A" w:rsidRPr="006F527A" w:rsidRDefault="006F527A" w:rsidP="006F527A">
            <w:pPr>
              <w:rPr>
                <w:color w:val="000000"/>
                <w:sz w:val="18"/>
                <w:szCs w:val="18"/>
                <w:lang w:val="en-GB" w:eastAsia="zh-CN"/>
              </w:rPr>
            </w:pPr>
          </w:p>
        </w:tc>
        <w:tc>
          <w:tcPr>
            <w:tcW w:w="346" w:type="dxa"/>
            <w:vMerge/>
            <w:tcBorders>
              <w:top w:val="nil"/>
              <w:left w:val="single" w:sz="4" w:space="0" w:color="auto"/>
              <w:bottom w:val="single" w:sz="4" w:space="0" w:color="auto"/>
              <w:right w:val="single" w:sz="4" w:space="0" w:color="auto"/>
            </w:tcBorders>
            <w:vAlign w:val="center"/>
            <w:hideMark/>
          </w:tcPr>
          <w:p w14:paraId="5EA7AE55" w14:textId="77777777" w:rsidR="006F527A" w:rsidRPr="006F527A" w:rsidRDefault="006F527A" w:rsidP="006F527A">
            <w:pPr>
              <w:rPr>
                <w:color w:val="000000"/>
                <w:sz w:val="18"/>
                <w:szCs w:val="18"/>
                <w:lang w:val="en-GB" w:eastAsia="zh-CN"/>
              </w:rPr>
            </w:pPr>
          </w:p>
        </w:tc>
        <w:tc>
          <w:tcPr>
            <w:tcW w:w="346" w:type="dxa"/>
            <w:vMerge/>
            <w:tcBorders>
              <w:top w:val="nil"/>
              <w:left w:val="single" w:sz="4" w:space="0" w:color="auto"/>
              <w:bottom w:val="single" w:sz="4" w:space="0" w:color="auto"/>
              <w:right w:val="single" w:sz="4" w:space="0" w:color="auto"/>
            </w:tcBorders>
            <w:vAlign w:val="center"/>
            <w:hideMark/>
          </w:tcPr>
          <w:p w14:paraId="61D7E930" w14:textId="77777777" w:rsidR="006F527A" w:rsidRPr="006F527A" w:rsidRDefault="006F527A" w:rsidP="006F527A">
            <w:pPr>
              <w:rPr>
                <w:color w:val="000000"/>
                <w:sz w:val="18"/>
                <w:szCs w:val="18"/>
                <w:lang w:val="en-GB" w:eastAsia="zh-CN"/>
              </w:rPr>
            </w:pPr>
          </w:p>
        </w:tc>
        <w:tc>
          <w:tcPr>
            <w:tcW w:w="1132" w:type="dxa"/>
            <w:tcBorders>
              <w:top w:val="nil"/>
              <w:left w:val="nil"/>
              <w:bottom w:val="single" w:sz="4" w:space="0" w:color="auto"/>
              <w:right w:val="single" w:sz="4" w:space="0" w:color="auto"/>
            </w:tcBorders>
            <w:shd w:val="clear" w:color="DDEBF7" w:fill="DDEBF7"/>
            <w:noWrap/>
            <w:vAlign w:val="bottom"/>
            <w:hideMark/>
          </w:tcPr>
          <w:p w14:paraId="3319CF5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39E0E667"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843083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auto" w:fill="auto"/>
            <w:vAlign w:val="bottom"/>
            <w:hideMark/>
          </w:tcPr>
          <w:p w14:paraId="5EA02923"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Develop a guide on legal provisions and sentencing guidelines to update national legislation and capacity building materials on wildlife crime.</w:t>
            </w:r>
          </w:p>
        </w:tc>
        <w:tc>
          <w:tcPr>
            <w:tcW w:w="341" w:type="dxa"/>
            <w:vMerge/>
            <w:tcBorders>
              <w:top w:val="nil"/>
              <w:left w:val="single" w:sz="4" w:space="0" w:color="auto"/>
              <w:bottom w:val="single" w:sz="4" w:space="0" w:color="auto"/>
              <w:right w:val="single" w:sz="4" w:space="0" w:color="auto"/>
            </w:tcBorders>
            <w:vAlign w:val="center"/>
            <w:hideMark/>
          </w:tcPr>
          <w:p w14:paraId="4156FA2A" w14:textId="77777777" w:rsidR="006F527A" w:rsidRPr="006F527A" w:rsidRDefault="006F527A" w:rsidP="006F527A">
            <w:pPr>
              <w:rPr>
                <w:color w:val="000000"/>
                <w:sz w:val="18"/>
                <w:szCs w:val="18"/>
                <w:lang w:val="en-GB" w:eastAsia="zh-CN"/>
              </w:rPr>
            </w:pPr>
          </w:p>
        </w:tc>
        <w:tc>
          <w:tcPr>
            <w:tcW w:w="341" w:type="dxa"/>
            <w:vMerge/>
            <w:tcBorders>
              <w:top w:val="nil"/>
              <w:left w:val="single" w:sz="4" w:space="0" w:color="auto"/>
              <w:bottom w:val="single" w:sz="4" w:space="0" w:color="auto"/>
              <w:right w:val="single" w:sz="4" w:space="0" w:color="auto"/>
            </w:tcBorders>
            <w:vAlign w:val="center"/>
            <w:hideMark/>
          </w:tcPr>
          <w:p w14:paraId="40C7F021" w14:textId="77777777" w:rsidR="006F527A" w:rsidRPr="006F527A" w:rsidRDefault="006F527A" w:rsidP="006F527A">
            <w:pPr>
              <w:rPr>
                <w:color w:val="000000"/>
                <w:sz w:val="18"/>
                <w:szCs w:val="18"/>
                <w:lang w:val="en-GB" w:eastAsia="zh-CN"/>
              </w:rPr>
            </w:pPr>
          </w:p>
        </w:tc>
        <w:tc>
          <w:tcPr>
            <w:tcW w:w="341" w:type="dxa"/>
            <w:tcBorders>
              <w:top w:val="nil"/>
              <w:left w:val="nil"/>
              <w:bottom w:val="single" w:sz="4" w:space="0" w:color="auto"/>
              <w:right w:val="single" w:sz="4" w:space="0" w:color="auto"/>
            </w:tcBorders>
            <w:shd w:val="clear" w:color="auto" w:fill="auto"/>
            <w:vAlign w:val="center"/>
            <w:hideMark/>
          </w:tcPr>
          <w:p w14:paraId="5153F7C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D558CA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602743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731DBC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EC9C500"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D976B11"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4F32B6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FD4685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vMerge/>
            <w:tcBorders>
              <w:top w:val="nil"/>
              <w:left w:val="single" w:sz="4" w:space="0" w:color="auto"/>
              <w:bottom w:val="single" w:sz="4" w:space="0" w:color="auto"/>
              <w:right w:val="single" w:sz="4" w:space="0" w:color="auto"/>
            </w:tcBorders>
            <w:vAlign w:val="center"/>
            <w:hideMark/>
          </w:tcPr>
          <w:p w14:paraId="12B43A69" w14:textId="77777777" w:rsidR="006F527A" w:rsidRPr="006F527A" w:rsidRDefault="006F527A" w:rsidP="006F527A">
            <w:pPr>
              <w:rPr>
                <w:color w:val="000000"/>
                <w:sz w:val="18"/>
                <w:szCs w:val="18"/>
                <w:lang w:val="en-GB" w:eastAsia="zh-CN"/>
              </w:rPr>
            </w:pPr>
          </w:p>
        </w:tc>
        <w:tc>
          <w:tcPr>
            <w:tcW w:w="346" w:type="dxa"/>
            <w:vMerge/>
            <w:tcBorders>
              <w:top w:val="nil"/>
              <w:left w:val="single" w:sz="4" w:space="0" w:color="auto"/>
              <w:bottom w:val="single" w:sz="4" w:space="0" w:color="auto"/>
              <w:right w:val="single" w:sz="4" w:space="0" w:color="auto"/>
            </w:tcBorders>
            <w:vAlign w:val="center"/>
            <w:hideMark/>
          </w:tcPr>
          <w:p w14:paraId="27318F69" w14:textId="77777777" w:rsidR="006F527A" w:rsidRPr="006F527A" w:rsidRDefault="006F527A" w:rsidP="006F527A">
            <w:pPr>
              <w:rPr>
                <w:color w:val="000000"/>
                <w:sz w:val="18"/>
                <w:szCs w:val="18"/>
                <w:lang w:val="en-GB" w:eastAsia="zh-CN"/>
              </w:rPr>
            </w:pPr>
          </w:p>
        </w:tc>
        <w:tc>
          <w:tcPr>
            <w:tcW w:w="346" w:type="dxa"/>
            <w:vMerge/>
            <w:tcBorders>
              <w:top w:val="nil"/>
              <w:left w:val="single" w:sz="4" w:space="0" w:color="auto"/>
              <w:bottom w:val="single" w:sz="4" w:space="0" w:color="auto"/>
              <w:right w:val="single" w:sz="4" w:space="0" w:color="auto"/>
            </w:tcBorders>
            <w:vAlign w:val="center"/>
            <w:hideMark/>
          </w:tcPr>
          <w:p w14:paraId="33576AA4" w14:textId="77777777" w:rsidR="006F527A" w:rsidRPr="006F527A" w:rsidRDefault="006F527A" w:rsidP="006F527A">
            <w:pPr>
              <w:rPr>
                <w:color w:val="000000"/>
                <w:sz w:val="18"/>
                <w:szCs w:val="18"/>
                <w:lang w:val="en-GB" w:eastAsia="zh-CN"/>
              </w:rPr>
            </w:pPr>
          </w:p>
        </w:tc>
        <w:tc>
          <w:tcPr>
            <w:tcW w:w="346" w:type="dxa"/>
            <w:vMerge/>
            <w:tcBorders>
              <w:top w:val="nil"/>
              <w:left w:val="single" w:sz="4" w:space="0" w:color="auto"/>
              <w:bottom w:val="single" w:sz="4" w:space="0" w:color="auto"/>
              <w:right w:val="single" w:sz="4" w:space="0" w:color="auto"/>
            </w:tcBorders>
            <w:vAlign w:val="center"/>
            <w:hideMark/>
          </w:tcPr>
          <w:p w14:paraId="3BA2D199" w14:textId="77777777" w:rsidR="006F527A" w:rsidRPr="006F527A" w:rsidRDefault="006F527A" w:rsidP="006F527A">
            <w:pPr>
              <w:rPr>
                <w:color w:val="000000"/>
                <w:sz w:val="18"/>
                <w:szCs w:val="18"/>
                <w:lang w:val="en-GB" w:eastAsia="zh-CN"/>
              </w:rPr>
            </w:pPr>
          </w:p>
        </w:tc>
        <w:tc>
          <w:tcPr>
            <w:tcW w:w="1132" w:type="dxa"/>
            <w:tcBorders>
              <w:top w:val="nil"/>
              <w:left w:val="nil"/>
              <w:bottom w:val="single" w:sz="4" w:space="0" w:color="auto"/>
              <w:right w:val="single" w:sz="4" w:space="0" w:color="auto"/>
            </w:tcBorders>
            <w:shd w:val="clear" w:color="auto" w:fill="auto"/>
            <w:noWrap/>
            <w:vAlign w:val="bottom"/>
            <w:hideMark/>
          </w:tcPr>
          <w:p w14:paraId="704FA103"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59915581"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03F3D01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DDEBF7" w:fill="DDEBF7"/>
            <w:vAlign w:val="bottom"/>
            <w:hideMark/>
          </w:tcPr>
          <w:p w14:paraId="3B81DD10"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Support further development, piloting and expansion of the Mobile Office concept- for the use of wildlife tools by front line officers</w:t>
            </w:r>
          </w:p>
        </w:tc>
        <w:tc>
          <w:tcPr>
            <w:tcW w:w="341" w:type="dxa"/>
            <w:tcBorders>
              <w:top w:val="nil"/>
              <w:left w:val="nil"/>
              <w:bottom w:val="single" w:sz="4" w:space="0" w:color="auto"/>
              <w:right w:val="single" w:sz="4" w:space="0" w:color="auto"/>
            </w:tcBorders>
            <w:shd w:val="clear" w:color="auto" w:fill="auto"/>
            <w:vAlign w:val="center"/>
            <w:hideMark/>
          </w:tcPr>
          <w:p w14:paraId="000A943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0E3EC6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2F1D62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2B1ABB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515C75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F8CA34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161C45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EB5679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053D19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A9D520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05F74E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7915D1B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51BFC2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2DA447F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1268CD1C"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5B9DE690"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78A27C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auto" w:fill="auto"/>
            <w:vAlign w:val="bottom"/>
            <w:hideMark/>
          </w:tcPr>
          <w:p w14:paraId="4A23F48C"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Develop an Environmental Guide for frontline customs officers and then to develop an Environmental Training Package (based on the Environmental Guide), which will be used for further training of frontline customs officers on environmental issues in prioritised customs administrations. </w:t>
            </w:r>
          </w:p>
        </w:tc>
        <w:tc>
          <w:tcPr>
            <w:tcW w:w="341" w:type="dxa"/>
            <w:tcBorders>
              <w:top w:val="nil"/>
              <w:left w:val="nil"/>
              <w:bottom w:val="single" w:sz="4" w:space="0" w:color="auto"/>
              <w:right w:val="single" w:sz="4" w:space="0" w:color="auto"/>
            </w:tcBorders>
            <w:shd w:val="clear" w:color="auto" w:fill="auto"/>
            <w:vAlign w:val="center"/>
            <w:hideMark/>
          </w:tcPr>
          <w:p w14:paraId="60698C1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C30BB34"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48A9A1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446939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299C26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FC3D77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72EA9B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432442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76E32A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9996B3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DB2C1D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DC3636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2BC8F10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6D49E5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35CB8444"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WCO</w:t>
            </w:r>
          </w:p>
        </w:tc>
      </w:tr>
      <w:tr w:rsidR="006F527A" w:rsidRPr="006F527A" w14:paraId="256B8811"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53A3158D"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1.1.9.</w:t>
            </w:r>
          </w:p>
        </w:tc>
        <w:tc>
          <w:tcPr>
            <w:tcW w:w="2444" w:type="dxa"/>
            <w:tcBorders>
              <w:top w:val="nil"/>
              <w:left w:val="nil"/>
              <w:bottom w:val="single" w:sz="4" w:space="0" w:color="auto"/>
              <w:right w:val="single" w:sz="4" w:space="0" w:color="auto"/>
            </w:tcBorders>
            <w:shd w:val="clear" w:color="DDEBF7" w:fill="DDEBF7"/>
            <w:vAlign w:val="bottom"/>
            <w:hideMark/>
          </w:tcPr>
          <w:p w14:paraId="327EAA00"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Translation and printing of available materials (ICCWC Toolkit, ICCWC guidelines -ivory and timber-, ICCWC Indicators, etc.) for distribution to relevant authorities.</w:t>
            </w:r>
          </w:p>
        </w:tc>
        <w:tc>
          <w:tcPr>
            <w:tcW w:w="341" w:type="dxa"/>
            <w:tcBorders>
              <w:top w:val="nil"/>
              <w:left w:val="nil"/>
              <w:bottom w:val="single" w:sz="4" w:space="0" w:color="auto"/>
              <w:right w:val="single" w:sz="4" w:space="0" w:color="auto"/>
            </w:tcBorders>
            <w:shd w:val="clear" w:color="auto" w:fill="auto"/>
            <w:vAlign w:val="center"/>
            <w:hideMark/>
          </w:tcPr>
          <w:p w14:paraId="404C8B6E"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38DD51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3350DA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558A26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45ACC6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A60F98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55206B7"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6D85D5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580C72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8656ED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65962F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E35FD5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845A0A4"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023094D7"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1CCAA6BE"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WB</w:t>
            </w:r>
          </w:p>
        </w:tc>
      </w:tr>
      <w:tr w:rsidR="006F527A" w:rsidRPr="006F527A" w14:paraId="15C0AE64"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94FB1C5"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1.2.1.</w:t>
            </w:r>
          </w:p>
        </w:tc>
        <w:tc>
          <w:tcPr>
            <w:tcW w:w="2444" w:type="dxa"/>
            <w:tcBorders>
              <w:top w:val="nil"/>
              <w:left w:val="nil"/>
              <w:bottom w:val="single" w:sz="4" w:space="0" w:color="auto"/>
              <w:right w:val="single" w:sz="4" w:space="0" w:color="auto"/>
            </w:tcBorders>
            <w:shd w:val="clear" w:color="auto" w:fill="auto"/>
            <w:vAlign w:val="bottom"/>
            <w:hideMark/>
          </w:tcPr>
          <w:p w14:paraId="716391E1"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Promote law enforcement networking and regional cooperation in identified key regions by convening regional meetings between agencies responsible for wildlife law enforcement to discuss and develop targeted responses to address identified threats, including:</w:t>
            </w:r>
            <w:r w:rsidRPr="006F527A">
              <w:rPr>
                <w:color w:val="000000"/>
                <w:sz w:val="18"/>
                <w:szCs w:val="18"/>
                <w:lang w:val="en-GB" w:eastAsia="zh-CN"/>
              </w:rPr>
              <w:br/>
              <w:t>Task Force meetings for National Ivory Action Plan (NIAP) countries and on Timber</w:t>
            </w:r>
          </w:p>
        </w:tc>
        <w:tc>
          <w:tcPr>
            <w:tcW w:w="341" w:type="dxa"/>
            <w:tcBorders>
              <w:top w:val="nil"/>
              <w:left w:val="nil"/>
              <w:bottom w:val="single" w:sz="4" w:space="0" w:color="auto"/>
              <w:right w:val="single" w:sz="4" w:space="0" w:color="auto"/>
            </w:tcBorders>
            <w:shd w:val="clear" w:color="auto" w:fill="auto"/>
            <w:vAlign w:val="center"/>
            <w:hideMark/>
          </w:tcPr>
          <w:p w14:paraId="13E0513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F99453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601F1D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3A816F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2866C6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9F9A7B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9A44B2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EE4447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623DB6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8A4EB8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9EBEC69"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4AD9609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05B890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22A3A06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7A4DCD0F"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54C5703F"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1BEEE236"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1.2.1.</w:t>
            </w:r>
          </w:p>
        </w:tc>
        <w:tc>
          <w:tcPr>
            <w:tcW w:w="2444" w:type="dxa"/>
            <w:tcBorders>
              <w:top w:val="nil"/>
              <w:left w:val="nil"/>
              <w:bottom w:val="single" w:sz="4" w:space="0" w:color="auto"/>
              <w:right w:val="single" w:sz="4" w:space="0" w:color="auto"/>
            </w:tcBorders>
            <w:shd w:val="clear" w:color="DDEBF7" w:fill="DDEBF7"/>
            <w:vAlign w:val="bottom"/>
            <w:hideMark/>
          </w:tcPr>
          <w:p w14:paraId="3668E7B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Africa/Asia Wildlife Inter-Regional Enforcement (WIRE) meetings </w:t>
            </w:r>
          </w:p>
        </w:tc>
        <w:tc>
          <w:tcPr>
            <w:tcW w:w="341" w:type="dxa"/>
            <w:tcBorders>
              <w:top w:val="nil"/>
              <w:left w:val="nil"/>
              <w:bottom w:val="single" w:sz="4" w:space="0" w:color="auto"/>
              <w:right w:val="single" w:sz="4" w:space="0" w:color="auto"/>
            </w:tcBorders>
            <w:shd w:val="clear" w:color="auto" w:fill="auto"/>
            <w:vAlign w:val="center"/>
            <w:hideMark/>
          </w:tcPr>
          <w:p w14:paraId="718E36D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7DB9EE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F6B6C2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721714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903B1D1"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DC996E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9AE54F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FFE3AA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71E12D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7C54541"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5FE9A37"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436F146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76DDCB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6CB99F5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2822A94B"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INTERPOL</w:t>
            </w:r>
          </w:p>
        </w:tc>
      </w:tr>
      <w:tr w:rsidR="006F527A" w:rsidRPr="006F527A" w14:paraId="0E2B044E" w14:textId="77777777" w:rsidTr="006F527A">
        <w:trPr>
          <w:trHeight w:val="693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56FFE1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1.2.1.</w:t>
            </w:r>
          </w:p>
        </w:tc>
        <w:tc>
          <w:tcPr>
            <w:tcW w:w="2444" w:type="dxa"/>
            <w:tcBorders>
              <w:top w:val="nil"/>
              <w:left w:val="nil"/>
              <w:bottom w:val="single" w:sz="4" w:space="0" w:color="auto"/>
              <w:right w:val="single" w:sz="4" w:space="0" w:color="auto"/>
            </w:tcBorders>
            <w:shd w:val="clear" w:color="auto" w:fill="auto"/>
            <w:vAlign w:val="bottom"/>
            <w:hideMark/>
          </w:tcPr>
          <w:p w14:paraId="2473DD6D"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Support for the development/strengthening of networks, including wildlife enforcement meetings, including</w:t>
            </w:r>
            <w:r w:rsidRPr="006F527A">
              <w:rPr>
                <w:color w:val="000000"/>
                <w:sz w:val="18"/>
                <w:szCs w:val="18"/>
                <w:lang w:val="en-GB" w:eastAsia="zh-CN"/>
              </w:rPr>
              <w:br/>
              <w:t xml:space="preserve"> Organize a continental event with the attendance of officials from selected countries in the Americas to: a) work on a common plan of action to prevent and combat illicit trafficking of wild fauna and flora b) strengthen sub-regional networks and promote coordination among them c) exchange best practices of international investigations.  </w:t>
            </w:r>
            <w:r w:rsidRPr="006F527A">
              <w:rPr>
                <w:color w:val="000000"/>
                <w:sz w:val="18"/>
                <w:szCs w:val="18"/>
                <w:lang w:val="en-GB" w:eastAsia="zh-CN"/>
              </w:rPr>
              <w:br/>
              <w:t xml:space="preserve">2/ Convene East Africa regional workshops on Mutual Legal Assistance (MLA) with law enforcement, prosecutors and judiciary officials. Support a joint exercise with WCO and INTERPOL for the transcontinental controlled delivery after which, there will be follow up exercises/workshops/meetings building off the initial exercise </w:t>
            </w:r>
            <w:r w:rsidRPr="006F527A">
              <w:rPr>
                <w:color w:val="000000"/>
                <w:sz w:val="18"/>
                <w:szCs w:val="18"/>
                <w:lang w:val="en-GB" w:eastAsia="zh-CN"/>
              </w:rPr>
              <w:br/>
              <w:t xml:space="preserve">3/ Support the Lusaka Agreement Task Force with technical assistance and capacity building on information sharing and data collection supporting investigations and intelligence and other special investigative techniques </w:t>
            </w:r>
            <w:r w:rsidRPr="006F527A">
              <w:rPr>
                <w:color w:val="000000"/>
                <w:sz w:val="18"/>
                <w:szCs w:val="18"/>
                <w:lang w:val="en-GB" w:eastAsia="zh-CN"/>
              </w:rPr>
              <w:br/>
              <w:t>4/ Convene annual conferences of the focal points of the ASEAN Senior Officials Meeting on Transnational Crime (SOMTC) and support the use of selected ICCWC Law Enforcement Indicators.</w:t>
            </w:r>
          </w:p>
        </w:tc>
        <w:tc>
          <w:tcPr>
            <w:tcW w:w="341" w:type="dxa"/>
            <w:tcBorders>
              <w:top w:val="nil"/>
              <w:left w:val="nil"/>
              <w:bottom w:val="single" w:sz="4" w:space="0" w:color="auto"/>
              <w:right w:val="single" w:sz="4" w:space="0" w:color="auto"/>
            </w:tcBorders>
            <w:shd w:val="clear" w:color="auto" w:fill="auto"/>
            <w:vAlign w:val="center"/>
            <w:hideMark/>
          </w:tcPr>
          <w:p w14:paraId="0C0257F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0F68A5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D26B22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08D6DF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CC16B5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3408A5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E08881E"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85AD68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FE55ED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D748831"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A99A614"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38524C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5E0EC7E"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0DD5D77"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175760D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26B9A16C"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2350E2E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1.2.1.</w:t>
            </w:r>
          </w:p>
        </w:tc>
        <w:tc>
          <w:tcPr>
            <w:tcW w:w="2444" w:type="dxa"/>
            <w:tcBorders>
              <w:top w:val="nil"/>
              <w:left w:val="nil"/>
              <w:bottom w:val="single" w:sz="4" w:space="0" w:color="auto"/>
              <w:right w:val="single" w:sz="4" w:space="0" w:color="auto"/>
            </w:tcBorders>
            <w:shd w:val="clear" w:color="DDEBF7" w:fill="DDEBF7"/>
            <w:vAlign w:val="bottom"/>
            <w:hideMark/>
          </w:tcPr>
          <w:p w14:paraId="711D851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Increase the use of various Regional Intelligence Liaison Offices (RILO) across the globe to focus on specific wildlife crime related crimes. This requires the RILOs to convene at a central point every third year in order to discuss wildlife related matters and to produce a work plan for the following three years.</w:t>
            </w:r>
          </w:p>
        </w:tc>
        <w:tc>
          <w:tcPr>
            <w:tcW w:w="341" w:type="dxa"/>
            <w:tcBorders>
              <w:top w:val="nil"/>
              <w:left w:val="nil"/>
              <w:bottom w:val="single" w:sz="4" w:space="0" w:color="auto"/>
              <w:right w:val="single" w:sz="4" w:space="0" w:color="auto"/>
            </w:tcBorders>
            <w:shd w:val="clear" w:color="auto" w:fill="auto"/>
            <w:vAlign w:val="center"/>
            <w:hideMark/>
          </w:tcPr>
          <w:p w14:paraId="1487C70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7EA50B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32891F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675989D"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86C829F"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5DBE175"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F651B3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4D22BC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DE5610E"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3C93D0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A377224"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C2289D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40E26B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DF003C3"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1BCD1C0B"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WCO</w:t>
            </w:r>
          </w:p>
        </w:tc>
      </w:tr>
      <w:tr w:rsidR="006F527A" w:rsidRPr="006F527A" w14:paraId="00363ABD"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A727464"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1.2.2.</w:t>
            </w:r>
          </w:p>
        </w:tc>
        <w:tc>
          <w:tcPr>
            <w:tcW w:w="2444" w:type="dxa"/>
            <w:tcBorders>
              <w:top w:val="nil"/>
              <w:left w:val="nil"/>
              <w:bottom w:val="single" w:sz="4" w:space="0" w:color="auto"/>
              <w:right w:val="single" w:sz="4" w:space="0" w:color="auto"/>
            </w:tcBorders>
            <w:shd w:val="clear" w:color="auto" w:fill="auto"/>
            <w:vAlign w:val="bottom"/>
            <w:hideMark/>
          </w:tcPr>
          <w:p w14:paraId="53E7F718"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 xml:space="preserve">Promote the implementation of CITES decisions to halt trafficking of Asian big cats, Hornbill, Decision/Resolution: Dec. 17.230 and 17.26 </w:t>
            </w:r>
          </w:p>
        </w:tc>
        <w:tc>
          <w:tcPr>
            <w:tcW w:w="341" w:type="dxa"/>
            <w:tcBorders>
              <w:top w:val="nil"/>
              <w:left w:val="nil"/>
              <w:bottom w:val="single" w:sz="4" w:space="0" w:color="auto"/>
              <w:right w:val="single" w:sz="4" w:space="0" w:color="auto"/>
            </w:tcBorders>
            <w:shd w:val="clear" w:color="auto" w:fill="auto"/>
            <w:vAlign w:val="center"/>
            <w:hideMark/>
          </w:tcPr>
          <w:p w14:paraId="04FF3A9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E77C21E"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35EDE20"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97C5AA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2AF6BA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EC1A01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528461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51593C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7D2442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88E763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C5A3690"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7BEBDB4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2248DA2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FE631EE"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1D166BE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CITES</w:t>
            </w:r>
          </w:p>
        </w:tc>
      </w:tr>
      <w:tr w:rsidR="006F527A" w:rsidRPr="006F527A" w14:paraId="33574198"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3B781284"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1.2.2.</w:t>
            </w:r>
          </w:p>
        </w:tc>
        <w:tc>
          <w:tcPr>
            <w:tcW w:w="2444" w:type="dxa"/>
            <w:tcBorders>
              <w:top w:val="nil"/>
              <w:left w:val="nil"/>
              <w:bottom w:val="single" w:sz="4" w:space="0" w:color="auto"/>
              <w:right w:val="single" w:sz="4" w:space="0" w:color="auto"/>
            </w:tcBorders>
            <w:shd w:val="clear" w:color="DDEBF7" w:fill="DDEBF7"/>
            <w:vAlign w:val="bottom"/>
            <w:hideMark/>
          </w:tcPr>
          <w:p w14:paraId="086B321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Support and deliver global and regional operations with a focus on investigative follow up, including pre-operational support as may be needed, to address wildlife and forest crime under the INTERPOL CONNEXUS initiative.</w:t>
            </w:r>
          </w:p>
        </w:tc>
        <w:tc>
          <w:tcPr>
            <w:tcW w:w="341" w:type="dxa"/>
            <w:tcBorders>
              <w:top w:val="nil"/>
              <w:left w:val="nil"/>
              <w:bottom w:val="single" w:sz="4" w:space="0" w:color="auto"/>
              <w:right w:val="single" w:sz="4" w:space="0" w:color="auto"/>
            </w:tcBorders>
            <w:shd w:val="clear" w:color="auto" w:fill="auto"/>
            <w:vAlign w:val="center"/>
            <w:hideMark/>
          </w:tcPr>
          <w:p w14:paraId="136D5FF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606743E"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0A66A9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B548E5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5E60EE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5D77A1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6734540"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3F34AF5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337AFF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A6761C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B1E626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77B2378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0B09FB2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8F50CC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0BF78FE0"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INTERPOL</w:t>
            </w:r>
          </w:p>
        </w:tc>
      </w:tr>
      <w:tr w:rsidR="006F527A" w:rsidRPr="006F527A" w14:paraId="53E1FB78"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57C270E"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1.2.2.</w:t>
            </w:r>
          </w:p>
        </w:tc>
        <w:tc>
          <w:tcPr>
            <w:tcW w:w="2444" w:type="dxa"/>
            <w:tcBorders>
              <w:top w:val="nil"/>
              <w:left w:val="nil"/>
              <w:bottom w:val="single" w:sz="4" w:space="0" w:color="auto"/>
              <w:right w:val="single" w:sz="4" w:space="0" w:color="auto"/>
            </w:tcBorders>
            <w:shd w:val="clear" w:color="auto" w:fill="auto"/>
            <w:vAlign w:val="bottom"/>
            <w:hideMark/>
          </w:tcPr>
          <w:p w14:paraId="76F31ED2"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Strengthen World Customs Operational Networks (WCON) in Africa and Asia and support operations</w:t>
            </w:r>
          </w:p>
        </w:tc>
        <w:tc>
          <w:tcPr>
            <w:tcW w:w="341" w:type="dxa"/>
            <w:tcBorders>
              <w:top w:val="nil"/>
              <w:left w:val="nil"/>
              <w:bottom w:val="single" w:sz="4" w:space="0" w:color="auto"/>
              <w:right w:val="single" w:sz="4" w:space="0" w:color="auto"/>
            </w:tcBorders>
            <w:shd w:val="clear" w:color="auto" w:fill="auto"/>
            <w:vAlign w:val="center"/>
            <w:hideMark/>
          </w:tcPr>
          <w:p w14:paraId="67F25D3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7EEFBC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63E7B68"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6110466"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5E278B2"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C3D34FC"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32665D0"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31CB43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F3B02D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5E8CFE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F7D2DBB"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30504417"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250E23A"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44038391" w14:textId="77777777" w:rsidR="006F527A" w:rsidRPr="006F527A" w:rsidRDefault="006F527A" w:rsidP="006F527A">
            <w:pPr>
              <w:jc w:val="center"/>
              <w:rPr>
                <w:color w:val="000000"/>
                <w:sz w:val="18"/>
                <w:szCs w:val="18"/>
                <w:lang w:val="en-GB" w:eastAsia="zh-CN"/>
              </w:rPr>
            </w:pPr>
            <w:r w:rsidRPr="006F527A">
              <w:rPr>
                <w:color w:val="000000"/>
                <w:sz w:val="18"/>
                <w:szCs w:val="18"/>
                <w:lang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55DB29DE"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WCO</w:t>
            </w:r>
          </w:p>
        </w:tc>
      </w:tr>
      <w:tr w:rsidR="006F527A" w:rsidRPr="006F527A" w14:paraId="47606C46" w14:textId="77777777" w:rsidTr="006F527A">
        <w:trPr>
          <w:trHeight w:val="1485"/>
        </w:trPr>
        <w:tc>
          <w:tcPr>
            <w:tcW w:w="915" w:type="dxa"/>
            <w:tcBorders>
              <w:top w:val="nil"/>
              <w:left w:val="single" w:sz="4" w:space="0" w:color="auto"/>
              <w:bottom w:val="single" w:sz="4" w:space="0" w:color="auto"/>
              <w:right w:val="single" w:sz="4" w:space="0" w:color="auto"/>
            </w:tcBorders>
            <w:shd w:val="clear" w:color="DDEBF7" w:fill="DDEBF7"/>
            <w:noWrap/>
            <w:vAlign w:val="bottom"/>
            <w:hideMark/>
          </w:tcPr>
          <w:p w14:paraId="1F7911EC"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1.2.3.</w:t>
            </w:r>
          </w:p>
        </w:tc>
        <w:tc>
          <w:tcPr>
            <w:tcW w:w="2444" w:type="dxa"/>
            <w:tcBorders>
              <w:top w:val="nil"/>
              <w:left w:val="nil"/>
              <w:bottom w:val="single" w:sz="4" w:space="0" w:color="auto"/>
              <w:right w:val="single" w:sz="4" w:space="0" w:color="auto"/>
            </w:tcBorders>
            <w:shd w:val="clear" w:color="DDEBF7" w:fill="DDEBF7"/>
            <w:vAlign w:val="bottom"/>
            <w:hideMark/>
          </w:tcPr>
          <w:p w14:paraId="02B150B9"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Arrange regional workshops to promote prosecutorial and judicial networking, in particular strengthening cooperation in identified key regions- Asia- Africa.</w:t>
            </w:r>
          </w:p>
        </w:tc>
        <w:tc>
          <w:tcPr>
            <w:tcW w:w="341" w:type="dxa"/>
            <w:tcBorders>
              <w:top w:val="nil"/>
              <w:left w:val="nil"/>
              <w:bottom w:val="single" w:sz="4" w:space="0" w:color="auto"/>
              <w:right w:val="single" w:sz="4" w:space="0" w:color="auto"/>
            </w:tcBorders>
            <w:shd w:val="clear" w:color="auto" w:fill="auto"/>
            <w:vAlign w:val="center"/>
            <w:hideMark/>
          </w:tcPr>
          <w:p w14:paraId="67726F5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C266E45"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9611BB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D72173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CF1BF53"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1458FE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64AF101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B0A68B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960895A"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7821D1C"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5A385B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1D4E002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46861A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4378530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DDEBF7" w:fill="DDEBF7"/>
            <w:noWrap/>
            <w:vAlign w:val="bottom"/>
            <w:hideMark/>
          </w:tcPr>
          <w:p w14:paraId="7A165FA6"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35B62171" w14:textId="77777777" w:rsidTr="006F527A">
        <w:trPr>
          <w:trHeight w:val="148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92694C4"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1.2.3.</w:t>
            </w:r>
          </w:p>
        </w:tc>
        <w:tc>
          <w:tcPr>
            <w:tcW w:w="2444" w:type="dxa"/>
            <w:tcBorders>
              <w:top w:val="nil"/>
              <w:left w:val="nil"/>
              <w:bottom w:val="single" w:sz="4" w:space="0" w:color="auto"/>
              <w:right w:val="single" w:sz="4" w:space="0" w:color="auto"/>
            </w:tcBorders>
            <w:shd w:val="clear" w:color="auto" w:fill="auto"/>
            <w:vAlign w:val="bottom"/>
            <w:hideMark/>
          </w:tcPr>
          <w:p w14:paraId="38260D27"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Support and strengthen prosecutorial networks on wildlife and forest crime and encourage sanctions appropriate to the nature and gravity of the crime, including developing networks of specialized prosecutors, in parallel to networks of police and customs officers</w:t>
            </w:r>
          </w:p>
        </w:tc>
        <w:tc>
          <w:tcPr>
            <w:tcW w:w="341" w:type="dxa"/>
            <w:tcBorders>
              <w:top w:val="nil"/>
              <w:left w:val="nil"/>
              <w:bottom w:val="single" w:sz="4" w:space="0" w:color="auto"/>
              <w:right w:val="single" w:sz="4" w:space="0" w:color="auto"/>
            </w:tcBorders>
            <w:shd w:val="clear" w:color="auto" w:fill="auto"/>
            <w:vAlign w:val="center"/>
            <w:hideMark/>
          </w:tcPr>
          <w:p w14:paraId="26D364DD"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6D1480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75C42068"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01C3204"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4B77D39"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E4BCF4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5D5B70F1"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1808B674"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214C3F0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0519F26B"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1" w:type="dxa"/>
            <w:tcBorders>
              <w:top w:val="nil"/>
              <w:left w:val="nil"/>
              <w:bottom w:val="single" w:sz="4" w:space="0" w:color="auto"/>
              <w:right w:val="single" w:sz="4" w:space="0" w:color="auto"/>
            </w:tcBorders>
            <w:shd w:val="clear" w:color="auto" w:fill="auto"/>
            <w:vAlign w:val="center"/>
            <w:hideMark/>
          </w:tcPr>
          <w:p w14:paraId="4F75994F"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6D874C81"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7A8EE4C6"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346" w:type="dxa"/>
            <w:tcBorders>
              <w:top w:val="nil"/>
              <w:left w:val="nil"/>
              <w:bottom w:val="single" w:sz="4" w:space="0" w:color="auto"/>
              <w:right w:val="single" w:sz="4" w:space="0" w:color="auto"/>
            </w:tcBorders>
            <w:shd w:val="clear" w:color="auto" w:fill="auto"/>
            <w:vAlign w:val="center"/>
            <w:hideMark/>
          </w:tcPr>
          <w:p w14:paraId="56EB8022" w14:textId="77777777" w:rsidR="006F527A" w:rsidRPr="006F527A" w:rsidRDefault="006F527A" w:rsidP="006F527A">
            <w:pPr>
              <w:jc w:val="center"/>
              <w:rPr>
                <w:color w:val="000000"/>
                <w:sz w:val="18"/>
                <w:szCs w:val="18"/>
                <w:lang w:val="en-GB" w:eastAsia="zh-CN"/>
              </w:rPr>
            </w:pPr>
            <w:r w:rsidRPr="006F527A">
              <w:rPr>
                <w:color w:val="000000"/>
                <w:sz w:val="18"/>
                <w:szCs w:val="18"/>
                <w:lang w:val="en-GB" w:eastAsia="zh-CN"/>
              </w:rPr>
              <w:t>X</w:t>
            </w:r>
          </w:p>
        </w:tc>
        <w:tc>
          <w:tcPr>
            <w:tcW w:w="1132" w:type="dxa"/>
            <w:tcBorders>
              <w:top w:val="nil"/>
              <w:left w:val="nil"/>
              <w:bottom w:val="single" w:sz="4" w:space="0" w:color="auto"/>
              <w:right w:val="single" w:sz="4" w:space="0" w:color="auto"/>
            </w:tcBorders>
            <w:shd w:val="clear" w:color="auto" w:fill="auto"/>
            <w:noWrap/>
            <w:vAlign w:val="bottom"/>
            <w:hideMark/>
          </w:tcPr>
          <w:p w14:paraId="239F6A1A" w14:textId="77777777" w:rsidR="006F527A" w:rsidRPr="006F527A" w:rsidRDefault="006F527A" w:rsidP="006F527A">
            <w:pPr>
              <w:rPr>
                <w:color w:val="000000"/>
                <w:sz w:val="18"/>
                <w:szCs w:val="18"/>
                <w:lang w:val="en-GB" w:eastAsia="zh-CN"/>
              </w:rPr>
            </w:pPr>
            <w:r w:rsidRPr="006F527A">
              <w:rPr>
                <w:color w:val="000000"/>
                <w:sz w:val="18"/>
                <w:szCs w:val="18"/>
                <w:lang w:val="en-GB" w:eastAsia="zh-CN"/>
              </w:rPr>
              <w:t>UNODC</w:t>
            </w:r>
          </w:p>
        </w:tc>
      </w:tr>
      <w:tr w:rsidR="006F527A" w:rsidRPr="006F527A" w14:paraId="3C34156E" w14:textId="77777777" w:rsidTr="006F527A">
        <w:trPr>
          <w:trHeight w:val="300"/>
        </w:trPr>
        <w:tc>
          <w:tcPr>
            <w:tcW w:w="915" w:type="dxa"/>
            <w:tcBorders>
              <w:top w:val="nil"/>
              <w:left w:val="nil"/>
              <w:bottom w:val="nil"/>
              <w:right w:val="nil"/>
            </w:tcBorders>
            <w:shd w:val="clear" w:color="auto" w:fill="auto"/>
            <w:noWrap/>
            <w:vAlign w:val="bottom"/>
            <w:hideMark/>
          </w:tcPr>
          <w:p w14:paraId="272DB628" w14:textId="77777777" w:rsidR="006F527A" w:rsidRPr="006F527A" w:rsidRDefault="006F527A" w:rsidP="006F527A">
            <w:pPr>
              <w:rPr>
                <w:color w:val="000000"/>
                <w:sz w:val="18"/>
                <w:szCs w:val="18"/>
                <w:lang w:val="en-GB" w:eastAsia="zh-CN"/>
              </w:rPr>
            </w:pPr>
          </w:p>
        </w:tc>
        <w:tc>
          <w:tcPr>
            <w:tcW w:w="2444" w:type="dxa"/>
            <w:tcBorders>
              <w:top w:val="nil"/>
              <w:left w:val="nil"/>
              <w:bottom w:val="nil"/>
              <w:right w:val="nil"/>
            </w:tcBorders>
            <w:shd w:val="clear" w:color="auto" w:fill="auto"/>
            <w:noWrap/>
            <w:vAlign w:val="bottom"/>
            <w:hideMark/>
          </w:tcPr>
          <w:p w14:paraId="1FB1E8A9"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073763DB"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72FE6E78"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25E0EE5A"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4124B6CE"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3885DAF2"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022D5527"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2028677A"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4916708A"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7CE837F8"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73B81D20"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79425486" w14:textId="77777777" w:rsidR="006F527A" w:rsidRPr="006F527A" w:rsidRDefault="006F527A" w:rsidP="006F527A">
            <w:pPr>
              <w:rPr>
                <w:sz w:val="18"/>
                <w:szCs w:val="18"/>
                <w:lang w:val="en-GB" w:eastAsia="zh-CN"/>
              </w:rPr>
            </w:pPr>
          </w:p>
        </w:tc>
        <w:tc>
          <w:tcPr>
            <w:tcW w:w="346" w:type="dxa"/>
            <w:tcBorders>
              <w:top w:val="nil"/>
              <w:left w:val="nil"/>
              <w:bottom w:val="nil"/>
              <w:right w:val="nil"/>
            </w:tcBorders>
            <w:shd w:val="clear" w:color="auto" w:fill="auto"/>
            <w:noWrap/>
            <w:vAlign w:val="bottom"/>
            <w:hideMark/>
          </w:tcPr>
          <w:p w14:paraId="00B19B49" w14:textId="77777777" w:rsidR="006F527A" w:rsidRPr="006F527A" w:rsidRDefault="006F527A" w:rsidP="006F527A">
            <w:pPr>
              <w:rPr>
                <w:sz w:val="18"/>
                <w:szCs w:val="18"/>
                <w:lang w:val="en-GB" w:eastAsia="zh-CN"/>
              </w:rPr>
            </w:pPr>
          </w:p>
        </w:tc>
        <w:tc>
          <w:tcPr>
            <w:tcW w:w="346" w:type="dxa"/>
            <w:tcBorders>
              <w:top w:val="nil"/>
              <w:left w:val="nil"/>
              <w:bottom w:val="nil"/>
              <w:right w:val="nil"/>
            </w:tcBorders>
            <w:shd w:val="clear" w:color="auto" w:fill="auto"/>
            <w:noWrap/>
            <w:vAlign w:val="bottom"/>
            <w:hideMark/>
          </w:tcPr>
          <w:p w14:paraId="389EE3B6" w14:textId="77777777" w:rsidR="006F527A" w:rsidRPr="006F527A" w:rsidRDefault="006F527A" w:rsidP="006F527A">
            <w:pPr>
              <w:rPr>
                <w:sz w:val="18"/>
                <w:szCs w:val="18"/>
                <w:lang w:val="en-GB" w:eastAsia="zh-CN"/>
              </w:rPr>
            </w:pPr>
          </w:p>
        </w:tc>
        <w:tc>
          <w:tcPr>
            <w:tcW w:w="346" w:type="dxa"/>
            <w:tcBorders>
              <w:top w:val="nil"/>
              <w:left w:val="nil"/>
              <w:bottom w:val="nil"/>
              <w:right w:val="nil"/>
            </w:tcBorders>
            <w:shd w:val="clear" w:color="auto" w:fill="auto"/>
            <w:noWrap/>
            <w:vAlign w:val="bottom"/>
            <w:hideMark/>
          </w:tcPr>
          <w:p w14:paraId="42928CB1" w14:textId="77777777" w:rsidR="006F527A" w:rsidRPr="006F527A" w:rsidRDefault="006F527A" w:rsidP="006F527A">
            <w:pPr>
              <w:rPr>
                <w:sz w:val="18"/>
                <w:szCs w:val="18"/>
                <w:lang w:val="en-GB" w:eastAsia="zh-CN"/>
              </w:rPr>
            </w:pPr>
          </w:p>
        </w:tc>
        <w:tc>
          <w:tcPr>
            <w:tcW w:w="1132" w:type="dxa"/>
            <w:tcBorders>
              <w:top w:val="nil"/>
              <w:left w:val="nil"/>
              <w:bottom w:val="nil"/>
              <w:right w:val="nil"/>
            </w:tcBorders>
            <w:shd w:val="clear" w:color="auto" w:fill="auto"/>
            <w:noWrap/>
            <w:vAlign w:val="bottom"/>
            <w:hideMark/>
          </w:tcPr>
          <w:p w14:paraId="0B2C43DC" w14:textId="77777777" w:rsidR="006F527A" w:rsidRPr="006F527A" w:rsidRDefault="006F527A" w:rsidP="006F527A">
            <w:pPr>
              <w:rPr>
                <w:sz w:val="18"/>
                <w:szCs w:val="18"/>
                <w:lang w:val="en-GB" w:eastAsia="zh-CN"/>
              </w:rPr>
            </w:pPr>
          </w:p>
        </w:tc>
      </w:tr>
      <w:tr w:rsidR="006F527A" w:rsidRPr="006F527A" w14:paraId="385DAF73" w14:textId="77777777" w:rsidTr="006F527A">
        <w:trPr>
          <w:trHeight w:val="300"/>
        </w:trPr>
        <w:tc>
          <w:tcPr>
            <w:tcW w:w="915" w:type="dxa"/>
            <w:tcBorders>
              <w:top w:val="nil"/>
              <w:left w:val="nil"/>
              <w:bottom w:val="nil"/>
              <w:right w:val="nil"/>
            </w:tcBorders>
            <w:shd w:val="clear" w:color="auto" w:fill="auto"/>
            <w:noWrap/>
            <w:vAlign w:val="bottom"/>
            <w:hideMark/>
          </w:tcPr>
          <w:p w14:paraId="3526F3E1" w14:textId="77777777" w:rsidR="006F527A" w:rsidRPr="006F527A" w:rsidRDefault="006F527A" w:rsidP="006F527A">
            <w:pPr>
              <w:rPr>
                <w:sz w:val="18"/>
                <w:szCs w:val="18"/>
                <w:lang w:val="en-GB" w:eastAsia="zh-CN"/>
              </w:rPr>
            </w:pPr>
          </w:p>
        </w:tc>
        <w:tc>
          <w:tcPr>
            <w:tcW w:w="2444" w:type="dxa"/>
            <w:tcBorders>
              <w:top w:val="nil"/>
              <w:left w:val="nil"/>
              <w:bottom w:val="nil"/>
              <w:right w:val="nil"/>
            </w:tcBorders>
            <w:shd w:val="clear" w:color="auto" w:fill="auto"/>
            <w:noWrap/>
            <w:vAlign w:val="bottom"/>
            <w:hideMark/>
          </w:tcPr>
          <w:p w14:paraId="3266CD30"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2CDA8B19"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5716FDB2"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280F77AC"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746ECB70"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597F6C3D"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08685760"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25ECB0FA"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044E3C05"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48612D16"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530B7158" w14:textId="77777777" w:rsidR="006F527A" w:rsidRPr="006F527A" w:rsidRDefault="006F527A" w:rsidP="006F527A">
            <w:pPr>
              <w:rPr>
                <w:sz w:val="18"/>
                <w:szCs w:val="18"/>
                <w:lang w:val="en-GB" w:eastAsia="zh-CN"/>
              </w:rPr>
            </w:pPr>
          </w:p>
        </w:tc>
        <w:tc>
          <w:tcPr>
            <w:tcW w:w="341" w:type="dxa"/>
            <w:tcBorders>
              <w:top w:val="nil"/>
              <w:left w:val="nil"/>
              <w:bottom w:val="nil"/>
              <w:right w:val="nil"/>
            </w:tcBorders>
            <w:shd w:val="clear" w:color="auto" w:fill="auto"/>
            <w:noWrap/>
            <w:vAlign w:val="bottom"/>
            <w:hideMark/>
          </w:tcPr>
          <w:p w14:paraId="79081A54" w14:textId="77777777" w:rsidR="006F527A" w:rsidRPr="006F527A" w:rsidRDefault="006F527A" w:rsidP="006F527A">
            <w:pPr>
              <w:rPr>
                <w:sz w:val="18"/>
                <w:szCs w:val="18"/>
                <w:lang w:val="en-GB" w:eastAsia="zh-CN"/>
              </w:rPr>
            </w:pPr>
          </w:p>
        </w:tc>
        <w:tc>
          <w:tcPr>
            <w:tcW w:w="346" w:type="dxa"/>
            <w:tcBorders>
              <w:top w:val="nil"/>
              <w:left w:val="nil"/>
              <w:bottom w:val="nil"/>
              <w:right w:val="nil"/>
            </w:tcBorders>
            <w:shd w:val="clear" w:color="auto" w:fill="auto"/>
            <w:noWrap/>
            <w:vAlign w:val="bottom"/>
            <w:hideMark/>
          </w:tcPr>
          <w:p w14:paraId="46E6EECB" w14:textId="77777777" w:rsidR="006F527A" w:rsidRPr="006F527A" w:rsidRDefault="006F527A" w:rsidP="006F527A">
            <w:pPr>
              <w:rPr>
                <w:sz w:val="18"/>
                <w:szCs w:val="18"/>
                <w:lang w:val="en-GB" w:eastAsia="zh-CN"/>
              </w:rPr>
            </w:pPr>
          </w:p>
        </w:tc>
        <w:tc>
          <w:tcPr>
            <w:tcW w:w="346" w:type="dxa"/>
            <w:tcBorders>
              <w:top w:val="nil"/>
              <w:left w:val="nil"/>
              <w:bottom w:val="nil"/>
              <w:right w:val="nil"/>
            </w:tcBorders>
            <w:shd w:val="clear" w:color="auto" w:fill="auto"/>
            <w:noWrap/>
            <w:vAlign w:val="bottom"/>
            <w:hideMark/>
          </w:tcPr>
          <w:p w14:paraId="2463B957" w14:textId="77777777" w:rsidR="006F527A" w:rsidRPr="006F527A" w:rsidRDefault="006F527A" w:rsidP="006F527A">
            <w:pPr>
              <w:rPr>
                <w:sz w:val="18"/>
                <w:szCs w:val="18"/>
                <w:lang w:val="en-GB" w:eastAsia="zh-CN"/>
              </w:rPr>
            </w:pPr>
          </w:p>
        </w:tc>
        <w:tc>
          <w:tcPr>
            <w:tcW w:w="346" w:type="dxa"/>
            <w:tcBorders>
              <w:top w:val="nil"/>
              <w:left w:val="nil"/>
              <w:bottom w:val="nil"/>
              <w:right w:val="nil"/>
            </w:tcBorders>
            <w:shd w:val="clear" w:color="auto" w:fill="auto"/>
            <w:noWrap/>
            <w:vAlign w:val="bottom"/>
            <w:hideMark/>
          </w:tcPr>
          <w:p w14:paraId="20C9FF0C" w14:textId="77777777" w:rsidR="006F527A" w:rsidRPr="006F527A" w:rsidRDefault="006F527A" w:rsidP="006F527A">
            <w:pPr>
              <w:rPr>
                <w:sz w:val="18"/>
                <w:szCs w:val="18"/>
                <w:lang w:val="en-GB" w:eastAsia="zh-CN"/>
              </w:rPr>
            </w:pPr>
          </w:p>
        </w:tc>
        <w:tc>
          <w:tcPr>
            <w:tcW w:w="1132" w:type="dxa"/>
            <w:tcBorders>
              <w:top w:val="nil"/>
              <w:left w:val="nil"/>
              <w:bottom w:val="nil"/>
              <w:right w:val="nil"/>
            </w:tcBorders>
            <w:shd w:val="clear" w:color="auto" w:fill="auto"/>
            <w:noWrap/>
            <w:vAlign w:val="bottom"/>
            <w:hideMark/>
          </w:tcPr>
          <w:p w14:paraId="004A2AEE" w14:textId="77777777" w:rsidR="006F527A" w:rsidRPr="006F527A" w:rsidRDefault="006F527A" w:rsidP="006F527A">
            <w:pPr>
              <w:rPr>
                <w:sz w:val="18"/>
                <w:szCs w:val="18"/>
                <w:lang w:val="en-GB" w:eastAsia="zh-CN"/>
              </w:rPr>
            </w:pPr>
          </w:p>
        </w:tc>
      </w:tr>
    </w:tbl>
    <w:p w14:paraId="280650CF" w14:textId="293CB655" w:rsidR="00E06F03" w:rsidRDefault="006F527A" w:rsidP="00E06F03">
      <w:pPr>
        <w:jc w:val="both"/>
        <w:rPr>
          <w:b/>
          <w:sz w:val="22"/>
          <w:szCs w:val="22"/>
        </w:rPr>
      </w:pPr>
      <w:r>
        <w:rPr>
          <w:b/>
          <w:sz w:val="22"/>
          <w:szCs w:val="22"/>
        </w:rPr>
        <w:fldChar w:fldCharType="end"/>
      </w:r>
    </w:p>
    <w:p w14:paraId="2D2D36BC" w14:textId="77777777" w:rsidR="00680819" w:rsidRPr="006854F1" w:rsidRDefault="00680819" w:rsidP="00E06F03">
      <w:pPr>
        <w:jc w:val="both"/>
        <w:rPr>
          <w:b/>
          <w:sz w:val="22"/>
          <w:szCs w:val="22"/>
        </w:rPr>
      </w:pPr>
    </w:p>
    <w:p w14:paraId="11539B11" w14:textId="77777777" w:rsidR="00CB07BC" w:rsidRPr="006854F1" w:rsidRDefault="00CB07BC" w:rsidP="00E06F03">
      <w:pPr>
        <w:jc w:val="both"/>
        <w:rPr>
          <w:b/>
          <w:sz w:val="22"/>
          <w:szCs w:val="22"/>
        </w:rPr>
      </w:pPr>
    </w:p>
    <w:p w14:paraId="3F58AB04" w14:textId="77777777" w:rsidR="00503E86" w:rsidRDefault="00503E86" w:rsidP="00502FBB">
      <w:pPr>
        <w:jc w:val="both"/>
        <w:rPr>
          <w:b/>
          <w:sz w:val="22"/>
          <w:szCs w:val="22"/>
        </w:rPr>
      </w:pPr>
    </w:p>
    <w:p w14:paraId="34F99E32" w14:textId="77777777" w:rsidR="00397116" w:rsidRPr="005F4158" w:rsidRDefault="00397116" w:rsidP="00397116">
      <w:pPr>
        <w:spacing w:before="100" w:beforeAutospacing="1" w:after="100" w:afterAutospacing="1"/>
        <w:jc w:val="both"/>
        <w:rPr>
          <w:sz w:val="22"/>
          <w:szCs w:val="22"/>
        </w:rPr>
      </w:pPr>
    </w:p>
    <w:p w14:paraId="6736B755" w14:textId="653363B4" w:rsidR="00397116" w:rsidRPr="006854F1" w:rsidRDefault="00397116" w:rsidP="00397116">
      <w:pPr>
        <w:pStyle w:val="Heading3"/>
      </w:pPr>
      <w:bookmarkStart w:id="14" w:name="_Toc497992281"/>
      <w:r>
        <w:t>Methodology for implementation of activities</w:t>
      </w:r>
      <w:bookmarkEnd w:id="14"/>
    </w:p>
    <w:p w14:paraId="0C321F04" w14:textId="77777777" w:rsidR="00397116" w:rsidRPr="00397116" w:rsidRDefault="00397116" w:rsidP="00397116">
      <w:pPr>
        <w:pStyle w:val="Text2"/>
        <w:spacing w:before="0" w:after="0"/>
        <w:ind w:left="0"/>
        <w:rPr>
          <w:lang w:val="en-US"/>
        </w:rPr>
      </w:pPr>
    </w:p>
    <w:p w14:paraId="79DC97A5" w14:textId="77777777" w:rsidR="00397116" w:rsidRPr="00051CFB" w:rsidRDefault="00397116" w:rsidP="00397116">
      <w:pPr>
        <w:pStyle w:val="Text2"/>
        <w:spacing w:before="0" w:after="0"/>
        <w:ind w:left="0"/>
        <w:rPr>
          <w:b/>
        </w:rPr>
      </w:pPr>
      <w:r w:rsidRPr="00051CFB">
        <w:rPr>
          <w:b/>
        </w:rPr>
        <w:t>Methodology:</w:t>
      </w:r>
    </w:p>
    <w:p w14:paraId="1EB281D1" w14:textId="77777777" w:rsidR="00397116" w:rsidRDefault="00397116" w:rsidP="00397116">
      <w:pPr>
        <w:pStyle w:val="Text2"/>
        <w:ind w:left="0"/>
      </w:pPr>
      <w:r>
        <w:t xml:space="preserve">This result will be guided by assessments using the International Consortium on Combatting Wildlife Crime Analytical Toolkit (ICCWC Toolkit). </w:t>
      </w:r>
    </w:p>
    <w:p w14:paraId="412ADF8E" w14:textId="77777777" w:rsidR="00397116" w:rsidRDefault="00397116" w:rsidP="00397116">
      <w:pPr>
        <w:spacing w:before="120" w:after="120"/>
        <w:jc w:val="both"/>
      </w:pPr>
      <w:r w:rsidRPr="005B2E24">
        <w:rPr>
          <w:b/>
          <w:u w:val="single"/>
        </w:rPr>
        <w:t>The ICCWC Toolkit</w:t>
      </w:r>
      <w:r>
        <w:t xml:space="preserve"> is a technical resource which assists a government in understanding the main issues relating to environmental crime in their country, and analyzing the country’s preventive and criminal justice responses. Implementation of the ICCWC Toolkit will be led by UNODC to identify key areas to strengthen national responses to wildlife and forest crimes, develop tailor made work plans for capacity building and technical assistance that reflects national needs, and pave the way for more effective and sustainable infrastructure to address the crime. To date, UNODC has completed Toolkit analysis in 13 countries. Not surprisingly, the challenges identified in different countries have often been common- weak capacity to investigate and prosecute wildlife crime requiring systemic changes at the national level, corruption facilitating wildlife crime along the entire crime chain, laundered proceeds from environmental crime and lack of financial investigations, poor wildlife forensic capacity and crime scene management, to name a few.</w:t>
      </w:r>
    </w:p>
    <w:p w14:paraId="24CF2002" w14:textId="28B72AD2" w:rsidR="00397116" w:rsidRDefault="00397116" w:rsidP="00397116">
      <w:pPr>
        <w:spacing w:before="120" w:after="120"/>
        <w:jc w:val="both"/>
      </w:pPr>
      <w:r>
        <w:t xml:space="preserve">Based on the gaps identified, </w:t>
      </w:r>
      <w:r w:rsidR="0093729E">
        <w:t xml:space="preserve">the </w:t>
      </w:r>
      <w:r>
        <w:t>UNODC G</w:t>
      </w:r>
      <w:r w:rsidR="0093729E">
        <w:t xml:space="preserve">lobal </w:t>
      </w:r>
      <w:r>
        <w:t>P</w:t>
      </w:r>
      <w:r w:rsidR="0093729E">
        <w:t>rogramme and ICCWC partner agencies</w:t>
      </w:r>
      <w:r>
        <w:t xml:space="preserve"> supported on the ground long-term programmes or short-term specific activities addressing concrete gaps. </w:t>
      </w:r>
    </w:p>
    <w:p w14:paraId="390BA2E7" w14:textId="77777777" w:rsidR="00397116" w:rsidRPr="005B2E24" w:rsidRDefault="00397116" w:rsidP="00397116">
      <w:pPr>
        <w:pStyle w:val="Text2"/>
        <w:ind w:left="0"/>
        <w:rPr>
          <w:u w:val="single"/>
        </w:rPr>
      </w:pPr>
      <w:r w:rsidRPr="005B2E24">
        <w:rPr>
          <w:b/>
          <w:u w:val="single"/>
        </w:rPr>
        <w:t>Law enforcement support</w:t>
      </w:r>
    </w:p>
    <w:p w14:paraId="0E7537E9" w14:textId="167AF36C" w:rsidR="00397116" w:rsidRDefault="00877F27" w:rsidP="00397116">
      <w:pPr>
        <w:pStyle w:val="Text2"/>
        <w:ind w:left="0"/>
      </w:pPr>
      <w:r>
        <w:t>ICCWC</w:t>
      </w:r>
      <w:r w:rsidR="00397116">
        <w:t xml:space="preserve"> recognizes that one-off trainings do not yield positive results and sets to establish a recurrent training practice of law enforcement/front line officers (vetted and selected) who will be guided through both the mentorship and on the ground training in intelligence and investigative capacity building, crime scene management, intel gathering and analysis. </w:t>
      </w:r>
    </w:p>
    <w:p w14:paraId="41EE9DC4" w14:textId="49C6752F" w:rsidR="00397116" w:rsidRDefault="00397116" w:rsidP="0076370E">
      <w:pPr>
        <w:spacing w:before="120" w:after="120"/>
        <w:jc w:val="both"/>
      </w:pPr>
      <w:r>
        <w:t xml:space="preserve">Under this project, with respect to </w:t>
      </w:r>
      <w:r w:rsidRPr="00247D1D">
        <w:rPr>
          <w:b/>
        </w:rPr>
        <w:t>law enforcement strengthening</w:t>
      </w:r>
      <w:r>
        <w:rPr>
          <w:b/>
        </w:rPr>
        <w:t xml:space="preserve"> comprehensive long term support</w:t>
      </w:r>
      <w:r>
        <w:t xml:space="preserve">, </w:t>
      </w:r>
      <w:r w:rsidR="00877F27">
        <w:t>ICCWC</w:t>
      </w:r>
      <w:r>
        <w:t xml:space="preserve"> will undertake training in line with its </w:t>
      </w:r>
      <w:r w:rsidRPr="0011204E">
        <w:t>scenario-based</w:t>
      </w:r>
      <w:r>
        <w:t xml:space="preserve"> comprehensive training curricula, which will be followed up by the practical application by trainees of methods in the work settings and overseen with mentorship support. </w:t>
      </w:r>
    </w:p>
    <w:p w14:paraId="7A2743EA" w14:textId="47BB96C9" w:rsidR="00397116" w:rsidRDefault="00397116" w:rsidP="0093729E">
      <w:pPr>
        <w:spacing w:before="120" w:after="120"/>
        <w:jc w:val="both"/>
        <w:rPr>
          <w:b/>
        </w:rPr>
      </w:pPr>
      <w:r>
        <w:t xml:space="preserve">The principles of training delivery: </w:t>
      </w:r>
      <w:r>
        <w:rPr>
          <w:b/>
        </w:rPr>
        <w:t>comprehensive, long-term (up to two weeks), tailored to the country needs, conducted by international expert</w:t>
      </w:r>
      <w:r w:rsidR="0093729E">
        <w:rPr>
          <w:b/>
        </w:rPr>
        <w:t>s</w:t>
      </w:r>
      <w:r>
        <w:rPr>
          <w:b/>
        </w:rPr>
        <w:t xml:space="preserve"> in partnership with national experts, practical exercises undertaken by trainees, contact with an international expert</w:t>
      </w:r>
      <w:r w:rsidR="0093729E">
        <w:rPr>
          <w:b/>
        </w:rPr>
        <w:t>s</w:t>
      </w:r>
      <w:r>
        <w:rPr>
          <w:b/>
        </w:rPr>
        <w:t xml:space="preserve">, follow up and evaluation.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397116" w:rsidRPr="00E73D4C" w14:paraId="38B9180B" w14:textId="77777777" w:rsidTr="00D164A2">
        <w:tc>
          <w:tcPr>
            <w:tcW w:w="10008" w:type="dxa"/>
            <w:shd w:val="clear" w:color="auto" w:fill="auto"/>
          </w:tcPr>
          <w:p w14:paraId="4F654E6F" w14:textId="77777777" w:rsidR="00397116" w:rsidRPr="00E73D4C" w:rsidRDefault="00397116" w:rsidP="00D164A2">
            <w:pPr>
              <w:spacing w:before="120" w:after="120"/>
              <w:jc w:val="both"/>
              <w:rPr>
                <w:b/>
              </w:rPr>
            </w:pPr>
            <w:r w:rsidRPr="00E73D4C">
              <w:rPr>
                <w:b/>
              </w:rPr>
              <w:t>Summary of sample trainings/mentorships to be conducted</w:t>
            </w:r>
          </w:p>
          <w:p w14:paraId="7C7EDDD9" w14:textId="77777777" w:rsidR="00397116" w:rsidRDefault="00397116" w:rsidP="00D164A2">
            <w:pPr>
              <w:spacing w:before="120" w:after="120"/>
              <w:jc w:val="both"/>
            </w:pPr>
            <w:r w:rsidRPr="00E73D4C">
              <w:rPr>
                <w:b/>
              </w:rPr>
              <w:t xml:space="preserve">Crime scene management training course sample (two weeks) </w:t>
            </w:r>
          </w:p>
          <w:p w14:paraId="2A11D2C2"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Investigating a scene of crime</w:t>
            </w:r>
          </w:p>
          <w:p w14:paraId="08CF18F3"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First person to a scene of crime</w:t>
            </w:r>
          </w:p>
          <w:p w14:paraId="0BFCC5CC"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Observing a scene of crime</w:t>
            </w:r>
          </w:p>
          <w:p w14:paraId="7B3CDA54"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Compilation of scene of crime photo album</w:t>
            </w:r>
          </w:p>
          <w:p w14:paraId="6890C3B2"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Taking and compiling witness statements</w:t>
            </w:r>
          </w:p>
          <w:p w14:paraId="14B0752F"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General case file compilation</w:t>
            </w:r>
          </w:p>
          <w:p w14:paraId="508C46AB"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Various types of evidence and evidence collection</w:t>
            </w:r>
          </w:p>
          <w:p w14:paraId="307FE99C"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 xml:space="preserve">Footprint casting </w:t>
            </w:r>
          </w:p>
          <w:p w14:paraId="3631D732"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 xml:space="preserve">Crime scene debrief </w:t>
            </w:r>
          </w:p>
          <w:p w14:paraId="3119649E"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Practical exercises on theories taught</w:t>
            </w:r>
          </w:p>
          <w:p w14:paraId="3635D7DE" w14:textId="77777777" w:rsidR="00397116" w:rsidRPr="00E73D4C" w:rsidRDefault="00397116" w:rsidP="00D164A2">
            <w:pPr>
              <w:widowControl w:val="0"/>
              <w:spacing w:before="120" w:after="120"/>
              <w:ind w:left="360"/>
              <w:jc w:val="both"/>
              <w:rPr>
                <w:rFonts w:eastAsia="SimSun"/>
                <w:sz w:val="22"/>
                <w:szCs w:val="22"/>
                <w:lang w:eastAsia="en-US"/>
              </w:rPr>
            </w:pPr>
          </w:p>
          <w:p w14:paraId="4AA72AA7" w14:textId="77777777" w:rsidR="00397116" w:rsidRPr="00E73D4C" w:rsidRDefault="00397116" w:rsidP="00D164A2">
            <w:pPr>
              <w:spacing w:before="120" w:after="120"/>
              <w:jc w:val="both"/>
              <w:rPr>
                <w:rFonts w:eastAsia="Arial Unicode MS"/>
                <w:b/>
                <w:color w:val="000000"/>
                <w:u w:color="000000"/>
                <w:lang w:eastAsia="en-US"/>
              </w:rPr>
            </w:pPr>
            <w:r w:rsidRPr="00E73D4C">
              <w:rPr>
                <w:rFonts w:eastAsia="Arial Unicode MS"/>
                <w:b/>
                <w:color w:val="000000"/>
                <w:u w:color="000000"/>
                <w:lang w:eastAsia="en-US"/>
              </w:rPr>
              <w:t>Criminal intelligence support/training (from 2 weeks)</w:t>
            </w:r>
          </w:p>
          <w:p w14:paraId="0A1C1BB1"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Introduce a standardised methodology (model) in promoting an intelligence led response to wildlife and environmetal crimes;</w:t>
            </w:r>
          </w:p>
          <w:p w14:paraId="735F12AA"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 xml:space="preserve">Develop a cadre of criminal intelligence analysts within responsive agencies; </w:t>
            </w:r>
          </w:p>
          <w:p w14:paraId="215BFAE5"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Equip analysts with suitable software for intelligence analysis purposes;</w:t>
            </w:r>
          </w:p>
          <w:p w14:paraId="60B4F5D6"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Encourage regular working meetings of case officers and intelligence analysts to address practical issues;</w:t>
            </w:r>
          </w:p>
          <w:p w14:paraId="1947F9FF"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Promote the use of existing international and regional law enforcement cooperation platforms for the purposes of sharing information on specific targets and with a view to potential joint/coordinated operations;</w:t>
            </w:r>
          </w:p>
          <w:p w14:paraId="794E6AA6"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Provide on-the job training for the tools to be used</w:t>
            </w:r>
          </w:p>
          <w:p w14:paraId="505E594A" w14:textId="77777777" w:rsidR="00397116" w:rsidRPr="00E73D4C" w:rsidRDefault="00397116" w:rsidP="00D164A2">
            <w:pPr>
              <w:widowControl w:val="0"/>
              <w:spacing w:before="120" w:after="120"/>
              <w:ind w:left="360"/>
              <w:jc w:val="both"/>
              <w:rPr>
                <w:rFonts w:eastAsia="SimSun"/>
                <w:sz w:val="22"/>
                <w:szCs w:val="22"/>
                <w:lang w:eastAsia="en-US"/>
              </w:rPr>
            </w:pPr>
          </w:p>
          <w:p w14:paraId="4E9456CE" w14:textId="77777777" w:rsidR="00397116" w:rsidRPr="00E73D4C" w:rsidRDefault="00397116" w:rsidP="00D164A2">
            <w:pPr>
              <w:widowControl w:val="0"/>
              <w:spacing w:before="120" w:after="120"/>
              <w:jc w:val="both"/>
              <w:rPr>
                <w:rFonts w:eastAsia="Arial Unicode MS"/>
                <w:color w:val="000000"/>
                <w:u w:color="000000"/>
                <w:lang w:eastAsia="en-US"/>
              </w:rPr>
            </w:pPr>
            <w:r w:rsidRPr="00E73D4C">
              <w:rPr>
                <w:rFonts w:eastAsia="Arial Unicode MS"/>
                <w:b/>
                <w:color w:val="000000"/>
                <w:u w:color="000000"/>
                <w:lang w:eastAsia="en-US"/>
              </w:rPr>
              <w:t>Intel/investigative mentorship programme sample</w:t>
            </w:r>
            <w:r w:rsidRPr="00E73D4C">
              <w:rPr>
                <w:rFonts w:eastAsia="Arial Unicode MS"/>
                <w:color w:val="000000"/>
                <w:u w:color="000000"/>
                <w:lang w:eastAsia="en-US"/>
              </w:rPr>
              <w:t>:</w:t>
            </w:r>
          </w:p>
          <w:p w14:paraId="2BD2FE65" w14:textId="77777777" w:rsidR="00397116" w:rsidRPr="00E73D4C" w:rsidRDefault="00397116" w:rsidP="00D164A2">
            <w:pPr>
              <w:widowControl w:val="0"/>
              <w:spacing w:before="120" w:after="120"/>
              <w:ind w:right="454"/>
              <w:jc w:val="both"/>
              <w:rPr>
                <w:rFonts w:eastAsia="SimSun"/>
                <w:sz w:val="22"/>
                <w:szCs w:val="22"/>
                <w:lang w:eastAsia="en-US"/>
              </w:rPr>
            </w:pPr>
          </w:p>
          <w:p w14:paraId="58762F33"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Develop and strengthen partnerships with other agencies concerned with prevention, detection and prosecution of environmental crime aimed at strengthening investigative and investigative capacity</w:t>
            </w:r>
          </w:p>
          <w:p w14:paraId="48FD8E72"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Deliver the training to the criminal analysts, investigators to strengthen their technical and operational skills;</w:t>
            </w:r>
          </w:p>
          <w:p w14:paraId="424E79DD"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 xml:space="preserve">Oversee operationalizing of the criminal intelligence database, develop standard operating procedures, train personnel on its use; </w:t>
            </w:r>
          </w:p>
          <w:p w14:paraId="57A5F3F1"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Supervise the activities of the criminal intelligence analyst and ensure quality assurance of the work;</w:t>
            </w:r>
          </w:p>
          <w:p w14:paraId="148C4A88"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Manage anti-poaching activities and investigations to ensure are intelligence driven and professionally managed.</w:t>
            </w:r>
          </w:p>
          <w:p w14:paraId="6513FF0C" w14:textId="77777777" w:rsidR="00397116" w:rsidRPr="00E73D4C" w:rsidRDefault="00397116" w:rsidP="00397116">
            <w:pPr>
              <w:widowControl w:val="0"/>
              <w:numPr>
                <w:ilvl w:val="0"/>
                <w:numId w:val="49"/>
              </w:numPr>
              <w:spacing w:before="120" w:after="120"/>
              <w:jc w:val="both"/>
              <w:rPr>
                <w:rFonts w:eastAsia="SimSun"/>
                <w:sz w:val="22"/>
                <w:szCs w:val="22"/>
                <w:lang w:eastAsia="en-US"/>
              </w:rPr>
            </w:pPr>
            <w:r w:rsidRPr="00E73D4C">
              <w:rPr>
                <w:rFonts w:eastAsia="SimSun"/>
                <w:sz w:val="22"/>
                <w:szCs w:val="22"/>
                <w:lang w:eastAsia="en-US"/>
              </w:rPr>
              <w:t>Recommendations and advice.</w:t>
            </w:r>
          </w:p>
          <w:p w14:paraId="4B2C5FAD" w14:textId="77777777" w:rsidR="00397116" w:rsidRPr="00E73D4C" w:rsidRDefault="00397116" w:rsidP="00D164A2">
            <w:pPr>
              <w:widowControl w:val="0"/>
              <w:spacing w:before="120" w:after="120"/>
              <w:ind w:right="454"/>
              <w:jc w:val="both"/>
              <w:rPr>
                <w:rFonts w:eastAsia="SimSun"/>
                <w:sz w:val="22"/>
                <w:lang w:eastAsia="en-US"/>
              </w:rPr>
            </w:pPr>
          </w:p>
          <w:p w14:paraId="005F5468" w14:textId="77777777" w:rsidR="00397116" w:rsidRPr="00E73D4C" w:rsidRDefault="00397116" w:rsidP="00D164A2">
            <w:pPr>
              <w:widowControl w:val="0"/>
              <w:spacing w:before="120" w:after="120"/>
              <w:ind w:right="454" w:firstLine="360"/>
              <w:jc w:val="both"/>
              <w:rPr>
                <w:rFonts w:eastAsia="SimSun"/>
                <w:b/>
                <w:sz w:val="22"/>
                <w:lang w:eastAsia="en-US"/>
              </w:rPr>
            </w:pPr>
            <w:r w:rsidRPr="00E73D4C">
              <w:rPr>
                <w:rFonts w:eastAsia="SimSun"/>
                <w:b/>
                <w:sz w:val="22"/>
                <w:lang w:eastAsia="en-US"/>
              </w:rPr>
              <w:t>Expected tangible and measurable output(s)/deliverable(s):</w:t>
            </w:r>
          </w:p>
          <w:p w14:paraId="6435C41D" w14:textId="77777777" w:rsidR="00397116" w:rsidRPr="00E73D4C" w:rsidRDefault="00397116" w:rsidP="00D164A2">
            <w:pPr>
              <w:widowControl w:val="0"/>
              <w:spacing w:before="120" w:after="120"/>
              <w:jc w:val="both"/>
              <w:rPr>
                <w:rFonts w:eastAsia="SimSun"/>
                <w:sz w:val="22"/>
                <w:lang w:eastAsia="en-US"/>
              </w:rPr>
            </w:pPr>
          </w:p>
          <w:p w14:paraId="7DB17E6D"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szCs w:val="22"/>
                <w:lang w:eastAsia="en-US"/>
              </w:rPr>
              <w:t>Provision of mentorship and training on anti-poaching operations.</w:t>
            </w:r>
          </w:p>
          <w:p w14:paraId="1D4C076C"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szCs w:val="22"/>
                <w:lang w:eastAsia="en-US"/>
              </w:rPr>
              <w:t>Operationalization of criminal intelligence cell at the institution and IT installation.</w:t>
            </w:r>
          </w:p>
          <w:p w14:paraId="08C57C66"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szCs w:val="22"/>
                <w:lang w:eastAsia="en-US"/>
              </w:rPr>
              <w:t>Development of criminal database.</w:t>
            </w:r>
          </w:p>
          <w:p w14:paraId="1B421772"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szCs w:val="22"/>
                <w:lang w:eastAsia="en-US"/>
              </w:rPr>
              <w:t>Mentoring of criminal analysts/investigators.</w:t>
            </w:r>
          </w:p>
          <w:p w14:paraId="518A2157"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szCs w:val="22"/>
                <w:lang w:eastAsia="en-US"/>
              </w:rPr>
              <w:t>Mentoring of Eco guards/rangers.</w:t>
            </w:r>
          </w:p>
          <w:p w14:paraId="3B2DF7E6"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szCs w:val="22"/>
                <w:lang w:eastAsia="en-US"/>
              </w:rPr>
              <w:t>Ongoing Mentorship and assessment of activities and investigations on poaching incidents of elephants/other protected species.</w:t>
            </w:r>
          </w:p>
          <w:p w14:paraId="6D8BFE9B" w14:textId="77777777" w:rsidR="00397116" w:rsidRPr="00E73D4C" w:rsidRDefault="00397116" w:rsidP="00397116">
            <w:pPr>
              <w:numPr>
                <w:ilvl w:val="0"/>
                <w:numId w:val="50"/>
              </w:numPr>
              <w:spacing w:before="120" w:after="120"/>
              <w:jc w:val="both"/>
              <w:rPr>
                <w:rFonts w:eastAsia="SimSun"/>
                <w:sz w:val="22"/>
                <w:szCs w:val="22"/>
                <w:lang w:eastAsia="en-US"/>
              </w:rPr>
            </w:pPr>
            <w:r w:rsidRPr="00E73D4C">
              <w:rPr>
                <w:rFonts w:eastAsia="SimSun"/>
                <w:sz w:val="22"/>
                <w:lang w:eastAsia="en-US"/>
              </w:rPr>
              <w:t>Development of SOPs, Follow up of SOPs integrated and recommendations given.</w:t>
            </w:r>
          </w:p>
          <w:p w14:paraId="2EB36829" w14:textId="77777777" w:rsidR="00397116" w:rsidRPr="00E73D4C" w:rsidRDefault="00397116" w:rsidP="00397116">
            <w:pPr>
              <w:numPr>
                <w:ilvl w:val="0"/>
                <w:numId w:val="50"/>
              </w:numPr>
              <w:spacing w:before="120" w:after="120"/>
              <w:jc w:val="both"/>
              <w:rPr>
                <w:rFonts w:eastAsia="SimSun"/>
                <w:sz w:val="22"/>
                <w:lang w:eastAsia="en-US"/>
              </w:rPr>
            </w:pPr>
            <w:r w:rsidRPr="00E73D4C">
              <w:rPr>
                <w:rFonts w:eastAsia="SimSun"/>
                <w:sz w:val="22"/>
                <w:lang w:eastAsia="en-US"/>
              </w:rPr>
              <w:t>Ongoing Mentorship of Anti-poaching activities and investigations;</w:t>
            </w:r>
          </w:p>
          <w:p w14:paraId="33AFBD72" w14:textId="77777777" w:rsidR="00397116" w:rsidRPr="00E73D4C" w:rsidRDefault="00397116" w:rsidP="00397116">
            <w:pPr>
              <w:numPr>
                <w:ilvl w:val="0"/>
                <w:numId w:val="50"/>
              </w:numPr>
              <w:spacing w:before="120" w:after="120"/>
              <w:jc w:val="both"/>
              <w:rPr>
                <w:rFonts w:eastAsia="SimSun"/>
                <w:sz w:val="22"/>
                <w:lang w:eastAsia="en-US"/>
              </w:rPr>
            </w:pPr>
            <w:r w:rsidRPr="00E73D4C">
              <w:rPr>
                <w:rFonts w:eastAsia="SimSun"/>
                <w:sz w:val="22"/>
                <w:lang w:eastAsia="en-US"/>
              </w:rPr>
              <w:t xml:space="preserve">Working with the team of selected professionals on building investigation cases and evidence collection, conducting analytical work, reacting immediately to the new poaching incidents, taking part in crime scene management and ensuring that the cases prepared for prosecution have sufficient evidence, preserve chain of custody and can ensure admission to court. </w:t>
            </w:r>
          </w:p>
          <w:p w14:paraId="78037C01" w14:textId="77777777" w:rsidR="00397116" w:rsidRPr="00E73D4C" w:rsidRDefault="00397116" w:rsidP="00D164A2">
            <w:pPr>
              <w:spacing w:before="120" w:after="120"/>
              <w:ind w:left="360"/>
              <w:jc w:val="both"/>
              <w:rPr>
                <w:b/>
              </w:rPr>
            </w:pPr>
          </w:p>
        </w:tc>
      </w:tr>
    </w:tbl>
    <w:p w14:paraId="2FDC2435" w14:textId="77777777" w:rsidR="00397116" w:rsidRDefault="00397116" w:rsidP="00397116">
      <w:pPr>
        <w:ind w:left="360"/>
        <w:jc w:val="both"/>
        <w:rPr>
          <w:rFonts w:eastAsia="Arial Unicode MS"/>
          <w:b/>
          <w:color w:val="000000"/>
          <w:u w:color="000000"/>
          <w:lang w:eastAsia="en-US"/>
        </w:rPr>
      </w:pPr>
    </w:p>
    <w:p w14:paraId="2B65C04D" w14:textId="6151928F" w:rsidR="00397116" w:rsidRDefault="0076370E" w:rsidP="0076370E">
      <w:pPr>
        <w:jc w:val="both"/>
        <w:rPr>
          <w:rFonts w:eastAsia="Arial Unicode MS"/>
          <w:b/>
          <w:color w:val="000000"/>
          <w:u w:color="000000"/>
          <w:lang w:eastAsia="en-US"/>
        </w:rPr>
      </w:pPr>
      <w:r w:rsidRPr="00931182">
        <w:rPr>
          <w:b/>
          <w:u w:val="single"/>
        </w:rPr>
        <w:t>Law enforcement operations support</w:t>
      </w:r>
    </w:p>
    <w:p w14:paraId="46701C76" w14:textId="77777777" w:rsidR="00931182" w:rsidRDefault="00931182" w:rsidP="0076370E">
      <w:pPr>
        <w:spacing w:after="180"/>
        <w:jc w:val="both"/>
        <w:rPr>
          <w:rFonts w:cs="Calibri"/>
          <w:sz w:val="22"/>
          <w:szCs w:val="22"/>
          <w:lang w:val="en-GB"/>
        </w:rPr>
      </w:pPr>
    </w:p>
    <w:p w14:paraId="41316818" w14:textId="3450C081" w:rsidR="0076370E" w:rsidRPr="008624FD" w:rsidRDefault="0076370E" w:rsidP="0076370E">
      <w:pPr>
        <w:spacing w:after="180"/>
        <w:jc w:val="both"/>
        <w:rPr>
          <w:rFonts w:cs="Calibri"/>
          <w:sz w:val="22"/>
          <w:szCs w:val="22"/>
        </w:rPr>
      </w:pPr>
      <w:r>
        <w:rPr>
          <w:rFonts w:cs="Calibri"/>
          <w:sz w:val="22"/>
          <w:szCs w:val="22"/>
          <w:lang w:val="en-GB"/>
        </w:rPr>
        <w:t xml:space="preserve">The activities under 1.2.2 will target law enforcement operations. The approach </w:t>
      </w:r>
      <w:r w:rsidR="006E5B06">
        <w:rPr>
          <w:rFonts w:cs="Calibri"/>
          <w:sz w:val="22"/>
          <w:szCs w:val="22"/>
          <w:lang w:val="en-GB"/>
        </w:rPr>
        <w:t xml:space="preserve">is </w:t>
      </w:r>
      <w:r>
        <w:rPr>
          <w:rFonts w:cs="Calibri"/>
          <w:sz w:val="22"/>
          <w:szCs w:val="22"/>
          <w:lang w:val="en-GB"/>
        </w:rPr>
        <w:t xml:space="preserve">to ensure meaningful time-bound results is that </w:t>
      </w:r>
      <w:r w:rsidRPr="008624FD">
        <w:rPr>
          <w:rFonts w:cs="Calibri"/>
          <w:sz w:val="22"/>
          <w:szCs w:val="22"/>
          <w:lang w:val="en-GB"/>
        </w:rPr>
        <w:t>INTERPOL</w:t>
      </w:r>
      <w:r w:rsidR="0093729E">
        <w:rPr>
          <w:rFonts w:cs="Calibri"/>
          <w:sz w:val="22"/>
          <w:szCs w:val="22"/>
          <w:lang w:val="en-GB"/>
        </w:rPr>
        <w:t xml:space="preserve"> </w:t>
      </w:r>
      <w:r>
        <w:rPr>
          <w:rFonts w:cs="Calibri"/>
          <w:sz w:val="22"/>
          <w:szCs w:val="22"/>
          <w:lang w:val="en-GB"/>
        </w:rPr>
        <w:t>will establish a time-bound</w:t>
      </w:r>
      <w:r w:rsidRPr="008624FD">
        <w:rPr>
          <w:rFonts w:cs="Calibri"/>
          <w:sz w:val="22"/>
          <w:szCs w:val="22"/>
          <w:lang w:val="en-GB"/>
        </w:rPr>
        <w:t xml:space="preserve"> plan between sub-Saharan Africa and Asia to effectively disrupt/dismantle the major transnational criminal networks engaged in the illegal wildlife trade.</w:t>
      </w:r>
      <w:r w:rsidRPr="008624FD">
        <w:t xml:space="preserve"> </w:t>
      </w:r>
      <w:r w:rsidRPr="008624FD">
        <w:rPr>
          <w:rFonts w:cs="Calibri"/>
          <w:sz w:val="22"/>
          <w:szCs w:val="22"/>
          <w:lang w:val="en-GB"/>
        </w:rPr>
        <w:t>Most of the effort will be put on providing INTERPOL member countries with effective and efficient support in the described area. Through products and services assisting the identification and enforcement of criminal laws against implicated traffickers, the plan will promote and aim at developing a sustainable “intelligence led law enforcement” programme in all of the affected countries in Africa as well as in transit and destination countries in Asia.</w:t>
      </w:r>
    </w:p>
    <w:p w14:paraId="1F733637" w14:textId="77777777" w:rsidR="0076370E" w:rsidRDefault="0076370E" w:rsidP="0076370E">
      <w:pPr>
        <w:spacing w:after="180"/>
        <w:jc w:val="both"/>
        <w:rPr>
          <w:rFonts w:cs="Calibri"/>
          <w:sz w:val="22"/>
          <w:szCs w:val="22"/>
        </w:rPr>
      </w:pPr>
      <w:r w:rsidRPr="00EE4F3F">
        <w:rPr>
          <w:rFonts w:cs="Calibri"/>
          <w:sz w:val="22"/>
          <w:szCs w:val="22"/>
        </w:rPr>
        <w:t>Most of the effort will be put on providing INTERPOL member countries with effective and efficient support in the described area. Through products and services assisting the identification and enforcement of criminal laws against implicated traffickers, the plan will promote and aim at developing a sustainable “intelligence led law enforcement” programme in all of the affected countries in Africa as well as in transit and destination countries in Asia.</w:t>
      </w:r>
    </w:p>
    <w:p w14:paraId="21F39920" w14:textId="02948746" w:rsidR="0076370E" w:rsidRDefault="0076370E" w:rsidP="0093729E">
      <w:pPr>
        <w:pStyle w:val="Default"/>
        <w:jc w:val="both"/>
        <w:rPr>
          <w:sz w:val="22"/>
          <w:szCs w:val="22"/>
        </w:rPr>
      </w:pPr>
      <w:r>
        <w:rPr>
          <w:sz w:val="22"/>
          <w:szCs w:val="22"/>
        </w:rPr>
        <w:t>The Project will expand on an already existing team within INTERPOL project Wisdom to serve the wider needs of the ICCWC project.</w:t>
      </w:r>
    </w:p>
    <w:p w14:paraId="19461C7F" w14:textId="77777777" w:rsidR="0076370E" w:rsidRDefault="0076370E" w:rsidP="0076370E">
      <w:pPr>
        <w:pStyle w:val="Default"/>
        <w:ind w:left="720"/>
        <w:jc w:val="both"/>
        <w:rPr>
          <w:sz w:val="22"/>
          <w:szCs w:val="22"/>
        </w:rPr>
      </w:pPr>
    </w:p>
    <w:p w14:paraId="31BFECA2" w14:textId="089F91D2" w:rsidR="0076370E" w:rsidRDefault="0076370E" w:rsidP="006E5B06">
      <w:pPr>
        <w:pStyle w:val="Default"/>
        <w:jc w:val="both"/>
        <w:rPr>
          <w:sz w:val="22"/>
          <w:szCs w:val="22"/>
        </w:rPr>
      </w:pPr>
      <w:r>
        <w:rPr>
          <w:sz w:val="22"/>
          <w:szCs w:val="22"/>
        </w:rPr>
        <w:t xml:space="preserve">In the initial phase of the project, East Africa was selected as the first geographical area to be covered on the grounds that it </w:t>
      </w:r>
      <w:r w:rsidR="00614D95">
        <w:rPr>
          <w:sz w:val="22"/>
          <w:szCs w:val="22"/>
        </w:rPr>
        <w:t>is</w:t>
      </w:r>
      <w:r>
        <w:rPr>
          <w:sz w:val="22"/>
          <w:szCs w:val="22"/>
        </w:rPr>
        <w:t xml:space="preserve"> facing the most serious poaching and trafficking problems, with the most urgent need that needed to be addressed, and had among the more sophisticated wildlife law enforcement agencies. </w:t>
      </w:r>
      <w:r w:rsidR="006E5B06">
        <w:rPr>
          <w:sz w:val="22"/>
          <w:szCs w:val="22"/>
        </w:rPr>
        <w:t>INTERPOL</w:t>
      </w:r>
      <w:r>
        <w:rPr>
          <w:sz w:val="22"/>
          <w:szCs w:val="22"/>
        </w:rPr>
        <w:t xml:space="preserve"> recognizes that high rates of poaching and entrenched operations of large-scale ivory traffickers operating from and through East Africa also involve engagement by traffickers outside of the region. For instance, ivory traffickers shipping illicit ivory through the East African ports sometimes source their ivory from regional neighbours such as the Democratic Republic of Congo or the Central African Republic and the ivory trafficking routes include every African region where some engagement is therefore crucial. </w:t>
      </w:r>
    </w:p>
    <w:p w14:paraId="2AE5DB0B" w14:textId="77777777" w:rsidR="0076370E" w:rsidRDefault="0076370E" w:rsidP="0076370E">
      <w:pPr>
        <w:pStyle w:val="Default"/>
        <w:jc w:val="both"/>
        <w:rPr>
          <w:sz w:val="22"/>
          <w:szCs w:val="22"/>
        </w:rPr>
      </w:pPr>
    </w:p>
    <w:p w14:paraId="4F1106D1" w14:textId="4886E1AA" w:rsidR="0076370E" w:rsidRDefault="0076370E" w:rsidP="00614D95">
      <w:pPr>
        <w:pStyle w:val="Default"/>
        <w:jc w:val="both"/>
        <w:rPr>
          <w:sz w:val="22"/>
          <w:szCs w:val="22"/>
        </w:rPr>
      </w:pPr>
      <w:r>
        <w:rPr>
          <w:sz w:val="22"/>
          <w:szCs w:val="22"/>
        </w:rPr>
        <w:t>The ICCWC Project will apply its strategy of support to communications, criminal intelligence analysis, mentoring and specialized training to countries affected by WLFC. Cooperation initiatives and support to investigations will be promoted and facilitated by the team, in order to add value to the law enforcement activities across affected countries.</w:t>
      </w:r>
    </w:p>
    <w:p w14:paraId="5B3F6740" w14:textId="77777777" w:rsidR="0076370E" w:rsidRDefault="0076370E" w:rsidP="0076370E">
      <w:pPr>
        <w:pStyle w:val="Default"/>
        <w:jc w:val="both"/>
        <w:rPr>
          <w:sz w:val="22"/>
          <w:szCs w:val="22"/>
        </w:rPr>
      </w:pPr>
    </w:p>
    <w:p w14:paraId="2A68EE99" w14:textId="77777777" w:rsidR="0076370E" w:rsidRPr="00F051F5" w:rsidRDefault="0076370E" w:rsidP="0076370E">
      <w:pPr>
        <w:jc w:val="distribute"/>
        <w:rPr>
          <w:color w:val="000000"/>
          <w:sz w:val="22"/>
          <w:szCs w:val="22"/>
          <w:lang w:val="en-GB"/>
        </w:rPr>
      </w:pPr>
      <w:r w:rsidRPr="00F051F5">
        <w:rPr>
          <w:color w:val="000000"/>
          <w:sz w:val="22"/>
          <w:szCs w:val="22"/>
          <w:lang w:val="en-GB"/>
        </w:rPr>
        <w:t>Upon country support request, or on initiative, the Project field-based teams will initiate, monitor, develop and pursue cases of significant wildlife trafficking emanating from or transiting through the sub-regions. Each team will be comprised of criminal intelligence officers supported by criminal intelligence analysts. INTERPOL will provide constant support and mentoring to national law enforcement authorities concerning the conduct of complex transnational investigations, as well as analysis of all evidence associated with individual cases, to enable successful prosecutions.</w:t>
      </w:r>
    </w:p>
    <w:p w14:paraId="16963016" w14:textId="77777777" w:rsidR="0076370E" w:rsidRDefault="0076370E" w:rsidP="0076370E">
      <w:pPr>
        <w:spacing w:after="180"/>
        <w:jc w:val="both"/>
        <w:rPr>
          <w:rFonts w:cs="Calibri"/>
          <w:b/>
          <w:bCs/>
          <w:sz w:val="22"/>
          <w:szCs w:val="22"/>
          <w:lang w:val="en-GB"/>
        </w:rPr>
      </w:pPr>
    </w:p>
    <w:p w14:paraId="1ABF80EE" w14:textId="1FA7A1F5" w:rsidR="0076370E" w:rsidRPr="00263CC1" w:rsidRDefault="0076370E" w:rsidP="0076370E">
      <w:pPr>
        <w:jc w:val="both"/>
        <w:rPr>
          <w:color w:val="000000"/>
          <w:sz w:val="22"/>
          <w:szCs w:val="22"/>
        </w:rPr>
      </w:pPr>
      <w:r>
        <w:rPr>
          <w:color w:val="000000"/>
          <w:sz w:val="22"/>
          <w:szCs w:val="22"/>
        </w:rPr>
        <w:t>Further on, the project will support WCO work with the</w:t>
      </w:r>
      <w:r w:rsidRPr="00263CC1">
        <w:rPr>
          <w:color w:val="000000"/>
          <w:sz w:val="22"/>
          <w:szCs w:val="22"/>
        </w:rPr>
        <w:t xml:space="preserve"> continuation of the previously launched </w:t>
      </w:r>
      <w:r w:rsidRPr="00263CC1">
        <w:rPr>
          <w:b/>
          <w:color w:val="000000"/>
          <w:sz w:val="22"/>
          <w:szCs w:val="22"/>
        </w:rPr>
        <w:t>Operation FLYAWAY</w:t>
      </w:r>
      <w:r w:rsidRPr="00263CC1">
        <w:rPr>
          <w:color w:val="000000"/>
          <w:sz w:val="22"/>
          <w:szCs w:val="22"/>
        </w:rPr>
        <w:t>. The Operation will encourage members from South America, as well as selected members from Europe, to actively participate in the Operation that focuses on planning and executing a major operation against illegal trade in wildlife. The Operation will be coordinated through the</w:t>
      </w:r>
      <w:r w:rsidR="000E0046">
        <w:rPr>
          <w:color w:val="000000"/>
          <w:sz w:val="22"/>
          <w:szCs w:val="22"/>
        </w:rPr>
        <w:t xml:space="preserve"> WCO</w:t>
      </w:r>
      <w:r w:rsidRPr="00263CC1">
        <w:rPr>
          <w:color w:val="000000"/>
          <w:sz w:val="22"/>
          <w:szCs w:val="22"/>
        </w:rPr>
        <w:t xml:space="preserve"> RILOs in South America, supported by the various National Contact Points (NCPs). It is foreseen that the Operation will last for two to three months.</w:t>
      </w:r>
    </w:p>
    <w:p w14:paraId="3FC1E222" w14:textId="77777777" w:rsidR="0076370E" w:rsidRPr="00263CC1" w:rsidRDefault="0076370E" w:rsidP="0076370E">
      <w:pPr>
        <w:jc w:val="both"/>
        <w:rPr>
          <w:color w:val="000000"/>
          <w:sz w:val="22"/>
          <w:szCs w:val="22"/>
        </w:rPr>
      </w:pPr>
    </w:p>
    <w:p w14:paraId="0C0D0A9F" w14:textId="77777777" w:rsidR="0076370E" w:rsidRPr="00263CC1" w:rsidRDefault="0076370E" w:rsidP="0076370E">
      <w:pPr>
        <w:jc w:val="both"/>
        <w:rPr>
          <w:color w:val="000000"/>
          <w:sz w:val="22"/>
          <w:szCs w:val="22"/>
        </w:rPr>
      </w:pPr>
      <w:r>
        <w:rPr>
          <w:color w:val="000000"/>
          <w:sz w:val="22"/>
          <w:szCs w:val="22"/>
        </w:rPr>
        <w:t xml:space="preserve">The project will also support the continuation of </w:t>
      </w:r>
      <w:r w:rsidRPr="00263CC1">
        <w:rPr>
          <w:color w:val="000000"/>
          <w:sz w:val="22"/>
          <w:szCs w:val="22"/>
        </w:rPr>
        <w:t xml:space="preserve">the previously launched </w:t>
      </w:r>
      <w:r w:rsidRPr="00263CC1">
        <w:rPr>
          <w:b/>
          <w:color w:val="000000"/>
          <w:sz w:val="22"/>
          <w:szCs w:val="22"/>
        </w:rPr>
        <w:t>Operation SESHA</w:t>
      </w:r>
      <w:r w:rsidRPr="00263CC1">
        <w:rPr>
          <w:color w:val="000000"/>
          <w:sz w:val="22"/>
          <w:szCs w:val="22"/>
        </w:rPr>
        <w:t>. The Operation will encourage members from South America, Europe, Asia and India in specific to actively participate in the Operation that focuses on planning and executing a major operation against the shipping of illegally logged trees (hardwood / red sanders) via sea freight. The Operation will be coordinated through the RILOs in South America, supported by the various National Contact Points (NCPs). It is foreseen that the Operation will last for two to three months.</w:t>
      </w:r>
    </w:p>
    <w:p w14:paraId="6B5D2830" w14:textId="77777777" w:rsidR="0076370E" w:rsidRPr="00263CC1" w:rsidRDefault="0076370E" w:rsidP="0076370E">
      <w:pPr>
        <w:jc w:val="both"/>
        <w:rPr>
          <w:color w:val="000000"/>
          <w:sz w:val="22"/>
          <w:szCs w:val="22"/>
        </w:rPr>
      </w:pPr>
    </w:p>
    <w:p w14:paraId="6FDB9CA4" w14:textId="2D08DA81" w:rsidR="0076370E" w:rsidRPr="00263CC1" w:rsidRDefault="0076370E" w:rsidP="000E0046">
      <w:pPr>
        <w:jc w:val="both"/>
        <w:rPr>
          <w:color w:val="000000"/>
          <w:sz w:val="22"/>
          <w:szCs w:val="22"/>
        </w:rPr>
      </w:pPr>
      <w:r w:rsidRPr="00263CC1">
        <w:rPr>
          <w:color w:val="000000"/>
          <w:sz w:val="22"/>
          <w:szCs w:val="22"/>
        </w:rPr>
        <w:t>S</w:t>
      </w:r>
      <w:r w:rsidR="000E0046">
        <w:rPr>
          <w:color w:val="000000"/>
          <w:sz w:val="22"/>
          <w:szCs w:val="22"/>
        </w:rPr>
        <w:t>ESHA</w:t>
      </w:r>
      <w:r w:rsidRPr="00263CC1">
        <w:rPr>
          <w:color w:val="000000"/>
          <w:sz w:val="22"/>
          <w:szCs w:val="22"/>
        </w:rPr>
        <w:t xml:space="preserve"> and F</w:t>
      </w:r>
      <w:r w:rsidR="000E0046">
        <w:rPr>
          <w:color w:val="000000"/>
          <w:sz w:val="22"/>
          <w:szCs w:val="22"/>
        </w:rPr>
        <w:t>LYAWAY</w:t>
      </w:r>
      <w:r w:rsidRPr="00263CC1">
        <w:rPr>
          <w:color w:val="000000"/>
          <w:sz w:val="22"/>
          <w:szCs w:val="22"/>
        </w:rPr>
        <w:t xml:space="preserve"> may be substituted focused operations in Africa.  The WCO E</w:t>
      </w:r>
      <w:r w:rsidR="000E0046">
        <w:rPr>
          <w:color w:val="000000"/>
          <w:sz w:val="22"/>
          <w:szCs w:val="22"/>
        </w:rPr>
        <w:t xml:space="preserve">nvironmental </w:t>
      </w:r>
      <w:r w:rsidRPr="00263CC1">
        <w:rPr>
          <w:color w:val="000000"/>
          <w:sz w:val="22"/>
          <w:szCs w:val="22"/>
        </w:rPr>
        <w:t>P</w:t>
      </w:r>
      <w:r w:rsidR="000E0046">
        <w:rPr>
          <w:color w:val="000000"/>
          <w:sz w:val="22"/>
          <w:szCs w:val="22"/>
        </w:rPr>
        <w:t>rogramme (EP)</w:t>
      </w:r>
      <w:r w:rsidRPr="00263CC1">
        <w:rPr>
          <w:color w:val="000000"/>
          <w:sz w:val="22"/>
          <w:szCs w:val="22"/>
        </w:rPr>
        <w:t xml:space="preserve"> may execute two focused operations (i.e. one in the first half of 201</w:t>
      </w:r>
      <w:r w:rsidR="008D6426">
        <w:rPr>
          <w:color w:val="000000"/>
          <w:sz w:val="22"/>
          <w:szCs w:val="22"/>
        </w:rPr>
        <w:t>8</w:t>
      </w:r>
      <w:r w:rsidRPr="00263CC1">
        <w:rPr>
          <w:color w:val="000000"/>
          <w:sz w:val="22"/>
          <w:szCs w:val="22"/>
        </w:rPr>
        <w:t xml:space="preserve">, and the second in the second half – provided funds are made available on time) in various African countries. These Operations will focus on the IWT where CITES protected animals or plants (and parts thereof) are smuggled out of African countries through (i) </w:t>
      </w:r>
      <w:r w:rsidRPr="00263CC1">
        <w:rPr>
          <w:b/>
          <w:color w:val="000000"/>
          <w:sz w:val="22"/>
          <w:szCs w:val="22"/>
        </w:rPr>
        <w:t>international mail and</w:t>
      </w:r>
      <w:r w:rsidRPr="00263CC1">
        <w:rPr>
          <w:color w:val="000000"/>
          <w:sz w:val="22"/>
          <w:szCs w:val="22"/>
        </w:rPr>
        <w:t xml:space="preserve"> (ii) </w:t>
      </w:r>
      <w:r w:rsidRPr="00263CC1">
        <w:rPr>
          <w:b/>
          <w:color w:val="000000"/>
          <w:sz w:val="22"/>
          <w:szCs w:val="22"/>
        </w:rPr>
        <w:t>courier companies</w:t>
      </w:r>
      <w:r w:rsidRPr="00263CC1">
        <w:rPr>
          <w:color w:val="000000"/>
          <w:sz w:val="22"/>
          <w:szCs w:val="22"/>
        </w:rPr>
        <w:t>. It if foreseen that INTERPOL, through the ICCWC will play a major role in these operations where arrests and prosecutions will be imperative.</w:t>
      </w:r>
    </w:p>
    <w:p w14:paraId="57152C4C" w14:textId="77777777" w:rsidR="0076370E" w:rsidRPr="00263CC1" w:rsidRDefault="0076370E" w:rsidP="0076370E">
      <w:pPr>
        <w:jc w:val="both"/>
        <w:rPr>
          <w:color w:val="000000"/>
          <w:sz w:val="22"/>
          <w:szCs w:val="22"/>
        </w:rPr>
      </w:pPr>
    </w:p>
    <w:p w14:paraId="7E616DA7" w14:textId="5C78D3AD" w:rsidR="00397116" w:rsidRPr="00C72DDA" w:rsidRDefault="0076370E" w:rsidP="00397116">
      <w:pPr>
        <w:ind w:left="360"/>
        <w:jc w:val="both"/>
        <w:rPr>
          <w:rFonts w:eastAsia="Arial Unicode MS"/>
          <w:b/>
          <w:color w:val="000000"/>
          <w:u w:color="000000"/>
          <w:lang w:eastAsia="en-US"/>
        </w:rPr>
      </w:pPr>
      <w:r w:rsidRPr="00263CC1">
        <w:rPr>
          <w:color w:val="000000"/>
          <w:sz w:val="22"/>
          <w:szCs w:val="22"/>
        </w:rPr>
        <w:t xml:space="preserve">The objectives of the above proposed operations are therefore to (i) address, through targeted operations, the smuggling of </w:t>
      </w:r>
      <w:r>
        <w:rPr>
          <w:color w:val="000000"/>
          <w:sz w:val="22"/>
          <w:szCs w:val="22"/>
        </w:rPr>
        <w:t>wildlife and timber products</w:t>
      </w:r>
      <w:r w:rsidRPr="00263CC1">
        <w:rPr>
          <w:color w:val="000000"/>
          <w:sz w:val="22"/>
          <w:szCs w:val="22"/>
        </w:rPr>
        <w:t xml:space="preserve">; (ii) to bring prominence to e-commerce transaction; (iii) ensure that IWT operations also cover the lesser prominent ‘means of transportation’, such as international mail and international couriers; (iv) to raise awareness with customs administrations that international mail and courier shipments are of similar importance in relation to of </w:t>
      </w:r>
      <w:r>
        <w:rPr>
          <w:color w:val="000000"/>
          <w:sz w:val="22"/>
          <w:szCs w:val="22"/>
        </w:rPr>
        <w:t>wildlife and timber products</w:t>
      </w:r>
      <w:r w:rsidRPr="00263CC1">
        <w:rPr>
          <w:color w:val="000000"/>
          <w:sz w:val="22"/>
          <w:szCs w:val="22"/>
        </w:rPr>
        <w:t xml:space="preserve">; (v) to raise awareness in relation </w:t>
      </w:r>
      <w:r>
        <w:rPr>
          <w:color w:val="000000"/>
          <w:sz w:val="22"/>
          <w:szCs w:val="22"/>
        </w:rPr>
        <w:t>WLFC</w:t>
      </w:r>
      <w:r w:rsidRPr="00263CC1">
        <w:rPr>
          <w:color w:val="000000"/>
          <w:sz w:val="22"/>
          <w:szCs w:val="22"/>
        </w:rPr>
        <w:t xml:space="preserve"> in general; and (vi) to reaffirms the WCO’s commitment to prevent smuggling in source (or range) countries, and not only in destination countries.</w:t>
      </w:r>
      <w:r>
        <w:rPr>
          <w:color w:val="000000"/>
          <w:sz w:val="22"/>
          <w:szCs w:val="22"/>
        </w:rPr>
        <w:t xml:space="preserve"> </w:t>
      </w:r>
      <w:r w:rsidRPr="00263CC1">
        <w:rPr>
          <w:color w:val="000000"/>
          <w:sz w:val="22"/>
          <w:szCs w:val="22"/>
        </w:rPr>
        <w:t xml:space="preserve">As part of this Operation, some of the courier companies that have signed up to the Royal Foundation’s United for Wildlife Transport Taskforce Buckingham Palace Declaration (e.g. DHL), will be lobbied for support and cooperation during the execution of these operations. The participating customs administrations will, therefore, work closely with the international mail and courier companies. It is, however, important to first analyse the data in order to determine which countries in Africa pose the biggest risk and based on such an assessment invitation will be extended for participation, but early indications are that </w:t>
      </w:r>
      <w:r w:rsidR="004E50FF">
        <w:rPr>
          <w:color w:val="000000"/>
          <w:sz w:val="22"/>
          <w:szCs w:val="22"/>
        </w:rPr>
        <w:t xml:space="preserve">Kenya, Guinea, </w:t>
      </w:r>
      <w:r w:rsidRPr="00263CC1">
        <w:rPr>
          <w:color w:val="000000"/>
          <w:sz w:val="22"/>
          <w:szCs w:val="22"/>
        </w:rPr>
        <w:t xml:space="preserve">Malawi, Zambia, Botswana, Namibia, </w:t>
      </w:r>
      <w:r w:rsidR="008D22F3">
        <w:rPr>
          <w:color w:val="000000"/>
          <w:sz w:val="22"/>
          <w:szCs w:val="22"/>
        </w:rPr>
        <w:t xml:space="preserve">Nigeria, </w:t>
      </w:r>
      <w:r w:rsidRPr="00263CC1">
        <w:rPr>
          <w:color w:val="000000"/>
          <w:sz w:val="22"/>
          <w:szCs w:val="22"/>
        </w:rPr>
        <w:t>Mozambique</w:t>
      </w:r>
      <w:r w:rsidR="008D22F3">
        <w:rPr>
          <w:color w:val="000000"/>
          <w:sz w:val="22"/>
          <w:szCs w:val="22"/>
        </w:rPr>
        <w:t>, Sierra Leone</w:t>
      </w:r>
      <w:r w:rsidRPr="00263CC1">
        <w:rPr>
          <w:color w:val="000000"/>
          <w:sz w:val="22"/>
          <w:szCs w:val="22"/>
        </w:rPr>
        <w:t xml:space="preserve"> and South Africa may be </w:t>
      </w:r>
      <w:r w:rsidRPr="00EF34C4">
        <w:rPr>
          <w:rFonts w:asciiTheme="majorBidi" w:hAnsiTheme="majorBidi" w:cstheme="majorBidi"/>
          <w:color w:val="000000"/>
          <w:sz w:val="22"/>
          <w:szCs w:val="22"/>
        </w:rPr>
        <w:t>relevant to Operation Fast Parcel.</w:t>
      </w:r>
    </w:p>
    <w:p w14:paraId="267659AC" w14:textId="77777777" w:rsidR="00502FBB" w:rsidRPr="006854F1" w:rsidRDefault="00502FBB" w:rsidP="00E06F03">
      <w:pPr>
        <w:jc w:val="both"/>
        <w:rPr>
          <w:b/>
          <w:sz w:val="22"/>
          <w:szCs w:val="22"/>
        </w:rPr>
      </w:pPr>
    </w:p>
    <w:p w14:paraId="12C48AAF" w14:textId="6375A749" w:rsidR="00B45B15" w:rsidRPr="006854F1" w:rsidRDefault="00B45B15" w:rsidP="00230D62">
      <w:pPr>
        <w:pStyle w:val="Heading3"/>
      </w:pPr>
      <w:bookmarkStart w:id="15" w:name="_Toc497992282"/>
      <w:r w:rsidRPr="006854F1">
        <w:t xml:space="preserve">Sustainability of the </w:t>
      </w:r>
      <w:r w:rsidR="00E4551B">
        <w:t>Programme</w:t>
      </w:r>
      <w:bookmarkEnd w:id="15"/>
      <w:r w:rsidRPr="006854F1">
        <w:t xml:space="preserve"> </w:t>
      </w:r>
    </w:p>
    <w:p w14:paraId="3C50A246" w14:textId="77777777" w:rsidR="00E0012C" w:rsidRPr="006854F1" w:rsidRDefault="00E0012C" w:rsidP="00E0012C"/>
    <w:p w14:paraId="7C6E1E3C" w14:textId="278AD697" w:rsidR="00E0012C" w:rsidRPr="006854F1" w:rsidRDefault="00E0012C" w:rsidP="00230D62">
      <w:pPr>
        <w:pStyle w:val="Heading4"/>
      </w:pPr>
      <w:bookmarkStart w:id="16" w:name="_Toc497992283"/>
      <w:r w:rsidRPr="006854F1">
        <w:t>Sustainability</w:t>
      </w:r>
      <w:bookmarkEnd w:id="16"/>
    </w:p>
    <w:p w14:paraId="3CEE3A7F" w14:textId="77777777" w:rsidR="00633036" w:rsidRPr="00633036" w:rsidRDefault="00633036" w:rsidP="00633036">
      <w:pPr>
        <w:jc w:val="both"/>
        <w:rPr>
          <w:sz w:val="22"/>
          <w:szCs w:val="22"/>
        </w:rPr>
      </w:pPr>
      <w:r w:rsidRPr="00633036">
        <w:rPr>
          <w:sz w:val="22"/>
          <w:szCs w:val="22"/>
        </w:rPr>
        <w:t xml:space="preserve">ICCWC’s work fighting wildlife crime is a strong contributor to achieving sustainable development.  ICCWC’s work contributes to delivering Sustainable Development Goal 15 (Life on Land), and SDG 16 (Peace, Justice and Strong Institutions).  By delivering its work ICCWC is helping to protect a wide range of animal, plant and aquatic species from poaching and illegal trade, and this is protecting some of them from extinction. </w:t>
      </w:r>
    </w:p>
    <w:p w14:paraId="1A46E538" w14:textId="77777777" w:rsidR="00633036" w:rsidRPr="00633036" w:rsidRDefault="00633036" w:rsidP="00633036">
      <w:pPr>
        <w:jc w:val="both"/>
        <w:rPr>
          <w:sz w:val="22"/>
          <w:szCs w:val="22"/>
        </w:rPr>
      </w:pPr>
    </w:p>
    <w:p w14:paraId="2CD448F9" w14:textId="015B7B7A" w:rsidR="00633036" w:rsidRPr="00633036" w:rsidRDefault="00633036" w:rsidP="00633036">
      <w:pPr>
        <w:jc w:val="both"/>
        <w:rPr>
          <w:sz w:val="22"/>
          <w:szCs w:val="22"/>
        </w:rPr>
      </w:pPr>
      <w:r w:rsidRPr="00633036">
        <w:rPr>
          <w:sz w:val="22"/>
          <w:szCs w:val="22"/>
        </w:rPr>
        <w:t>Environmental benefits come from ICCWC’s work protecting species whose existence is threatened.  By protecting species from extinction, or even slowing the rapid decline, ICCWC is contributing to global</w:t>
      </w:r>
      <w:r w:rsidR="00CB713E">
        <w:rPr>
          <w:sz w:val="22"/>
          <w:szCs w:val="22"/>
        </w:rPr>
        <w:t>, regional</w:t>
      </w:r>
      <w:r w:rsidRPr="00633036">
        <w:rPr>
          <w:sz w:val="22"/>
          <w:szCs w:val="22"/>
        </w:rPr>
        <w:t xml:space="preserve"> and national efforts to halt biodiversity loss.  As species decline the ecosystem balance changes, and the loss of major species such as elephants causes related changes to habitats which adversely affects other wildlife ability to thrive.  In countries where there is poor environmental management, and when poaching is threatening the numbers and existence of some species, a region’s natural capital is degraded. </w:t>
      </w:r>
    </w:p>
    <w:p w14:paraId="670031B3" w14:textId="77777777" w:rsidR="00633036" w:rsidRPr="00633036" w:rsidRDefault="00633036" w:rsidP="00633036">
      <w:pPr>
        <w:jc w:val="both"/>
        <w:rPr>
          <w:sz w:val="22"/>
          <w:szCs w:val="22"/>
        </w:rPr>
      </w:pPr>
    </w:p>
    <w:p w14:paraId="0D7F978B" w14:textId="77777777" w:rsidR="00633036" w:rsidRPr="00633036" w:rsidRDefault="00633036" w:rsidP="00633036">
      <w:pPr>
        <w:jc w:val="both"/>
        <w:rPr>
          <w:sz w:val="22"/>
          <w:szCs w:val="22"/>
        </w:rPr>
      </w:pPr>
      <w:r w:rsidRPr="00633036">
        <w:rPr>
          <w:sz w:val="22"/>
          <w:szCs w:val="22"/>
        </w:rPr>
        <w:t>ICCWC contributes to social benefits within the country receiving help.  Communities are adversely affected by criminal activity such as wildlife poaching and trafficking. By improving a country’s ability to tackle wildlife crime ICCWC is helping upskill the country’s wildlife, security and border control teams in a wide range of techniques.  Many of these techniques are also useful for wider security and anti-crime issues.</w:t>
      </w:r>
    </w:p>
    <w:p w14:paraId="72E5581B" w14:textId="77777777" w:rsidR="00633036" w:rsidRPr="00633036" w:rsidRDefault="00633036" w:rsidP="00633036">
      <w:pPr>
        <w:jc w:val="both"/>
        <w:rPr>
          <w:sz w:val="22"/>
          <w:szCs w:val="22"/>
        </w:rPr>
      </w:pPr>
    </w:p>
    <w:p w14:paraId="6371EEE1" w14:textId="386039FB" w:rsidR="00633036" w:rsidRPr="00633036" w:rsidRDefault="00633036" w:rsidP="004C20DE">
      <w:pPr>
        <w:jc w:val="both"/>
        <w:rPr>
          <w:sz w:val="22"/>
          <w:szCs w:val="22"/>
        </w:rPr>
      </w:pPr>
      <w:r w:rsidRPr="00633036">
        <w:rPr>
          <w:sz w:val="22"/>
          <w:szCs w:val="22"/>
        </w:rPr>
        <w:t xml:space="preserve">Economic benefits are realised when the anti-corruption work that ICCWC offers is recognized as useful for strengthening a country’s institutions on issues wider than just wildlife crime.  As institutions learn new ways of identifying and guarding against corruption related to wildlife crime, there is the prospect that other institutions within the country will also benefit from this knowledge.  Stronger institutions can more readily overcome corruption and criminality in other sectors. </w:t>
      </w:r>
      <w:r w:rsidR="004C20DE">
        <w:rPr>
          <w:sz w:val="22"/>
          <w:szCs w:val="22"/>
        </w:rPr>
        <w:t xml:space="preserve">Further, ICCWC’s work on anti-money laundering and asset recovery ensures that criminals do not benefit from the proceeds of their crimes, and prevents organized crime groups from growing more powerful and expanding their activities by re-investing their illegal proceeds in similar or other crimes.  </w:t>
      </w:r>
    </w:p>
    <w:p w14:paraId="24E61D4F" w14:textId="77777777" w:rsidR="00633036" w:rsidRPr="00633036" w:rsidRDefault="00633036" w:rsidP="00633036">
      <w:pPr>
        <w:jc w:val="both"/>
        <w:rPr>
          <w:sz w:val="22"/>
          <w:szCs w:val="22"/>
        </w:rPr>
      </w:pPr>
    </w:p>
    <w:p w14:paraId="2AFF24EF" w14:textId="76D9E262" w:rsidR="00633036" w:rsidRDefault="00633036" w:rsidP="004C20DE">
      <w:pPr>
        <w:jc w:val="both"/>
      </w:pPr>
      <w:r w:rsidRPr="00633036">
        <w:rPr>
          <w:sz w:val="22"/>
          <w:szCs w:val="22"/>
        </w:rPr>
        <w:t xml:space="preserve">As wildlife is protected, and areas become more biodiverse, opportunities for wildlife related tourism projects </w:t>
      </w:r>
      <w:r w:rsidR="004C20DE" w:rsidRPr="004C20DE">
        <w:rPr>
          <w:sz w:val="22"/>
          <w:szCs w:val="22"/>
        </w:rPr>
        <w:t xml:space="preserve">for example, </w:t>
      </w:r>
      <w:r w:rsidRPr="00633036">
        <w:rPr>
          <w:sz w:val="22"/>
          <w:szCs w:val="22"/>
        </w:rPr>
        <w:t>could bring direct economic benefits to the communities</w:t>
      </w:r>
      <w:r>
        <w:t xml:space="preserve">.  </w:t>
      </w:r>
    </w:p>
    <w:p w14:paraId="6F5A28AB" w14:textId="77777777" w:rsidR="00962D15" w:rsidRPr="006854F1" w:rsidRDefault="00962D15" w:rsidP="00D65B6B">
      <w:pPr>
        <w:spacing w:before="120"/>
        <w:jc w:val="both"/>
        <w:rPr>
          <w:sz w:val="22"/>
          <w:szCs w:val="22"/>
        </w:rPr>
      </w:pPr>
    </w:p>
    <w:p w14:paraId="7736270D" w14:textId="71DA8323" w:rsidR="00E0012C" w:rsidRPr="006854F1" w:rsidRDefault="00D55B5F" w:rsidP="00D55B5F">
      <w:pPr>
        <w:pStyle w:val="Heading3"/>
      </w:pPr>
      <w:bookmarkStart w:id="17" w:name="_Toc497992284"/>
      <w:r>
        <w:t>Risk</w:t>
      </w:r>
      <w:r w:rsidR="00E0012C" w:rsidRPr="006854F1">
        <w:t xml:space="preserve"> </w:t>
      </w:r>
      <w:r>
        <w:t>management</w:t>
      </w:r>
      <w:bookmarkEnd w:id="17"/>
    </w:p>
    <w:p w14:paraId="7385172E" w14:textId="77777777" w:rsidR="00E0012C" w:rsidRPr="006854F1" w:rsidRDefault="00E0012C" w:rsidP="006618C4">
      <w:pPr>
        <w:jc w:val="both"/>
        <w:rPr>
          <w:sz w:val="22"/>
          <w:szCs w:val="22"/>
        </w:rPr>
      </w:pPr>
    </w:p>
    <w:p w14:paraId="6662D58E" w14:textId="735103C0" w:rsidR="006618C4" w:rsidRDefault="006618C4" w:rsidP="006618C4">
      <w:pPr>
        <w:jc w:val="both"/>
        <w:rPr>
          <w:rFonts w:eastAsia="MS Mincho"/>
          <w:sz w:val="22"/>
          <w:szCs w:val="22"/>
          <w:lang w:eastAsia="ja-JP"/>
        </w:rPr>
      </w:pPr>
      <w:r w:rsidRPr="006854F1">
        <w:rPr>
          <w:rFonts w:eastAsia="MS Mincho"/>
          <w:sz w:val="22"/>
          <w:szCs w:val="22"/>
          <w:lang w:eastAsia="ja-JP"/>
        </w:rPr>
        <w:t xml:space="preserve">The table below describes the key risks that have been identified that could adversely affect the achievement of the </w:t>
      </w:r>
      <w:r w:rsidRPr="006854F1">
        <w:rPr>
          <w:rFonts w:eastAsia="MS Mincho"/>
          <w:lang w:eastAsia="ja-JP"/>
        </w:rPr>
        <w:t>action</w:t>
      </w:r>
      <w:r w:rsidRPr="006854F1">
        <w:rPr>
          <w:rFonts w:eastAsia="MS Mincho"/>
          <w:sz w:val="22"/>
          <w:szCs w:val="22"/>
          <w:lang w:eastAsia="ja-JP"/>
        </w:rPr>
        <w:t>’s objectives and activities, including an assessment of their possible impact severity and likelihood, and strategies that can be used to manage and mitigate risk.</w:t>
      </w:r>
    </w:p>
    <w:p w14:paraId="0609DCBB" w14:textId="080B5FA5" w:rsidR="00633036" w:rsidRDefault="00633036" w:rsidP="006618C4">
      <w:pPr>
        <w:jc w:val="both"/>
        <w:rPr>
          <w:rFonts w:eastAsia="MS Mincho"/>
          <w:sz w:val="22"/>
          <w:szCs w:val="22"/>
          <w:lang w:eastAsia="ja-JP"/>
        </w:rPr>
      </w:pPr>
    </w:p>
    <w:p w14:paraId="11483457" w14:textId="69E0F44B" w:rsidR="00633036" w:rsidRDefault="00633036" w:rsidP="005F7B59">
      <w:pPr>
        <w:ind w:left="360"/>
      </w:pPr>
    </w:p>
    <w:p w14:paraId="7608DD2D" w14:textId="77777777" w:rsidR="006F7E5C" w:rsidRDefault="006F7E5C" w:rsidP="005F7B59">
      <w:pPr>
        <w:ind w:left="360"/>
      </w:pPr>
    </w:p>
    <w:p w14:paraId="57A82987" w14:textId="02FA4F20" w:rsidR="005F7B59" w:rsidRDefault="005F7B59" w:rsidP="005F7B59">
      <w:pPr>
        <w:ind w:left="360"/>
      </w:pPr>
    </w:p>
    <w:p w14:paraId="57BA27D6" w14:textId="77777777" w:rsidR="005F7B59" w:rsidRDefault="005F7B59" w:rsidP="005F7B59">
      <w:pPr>
        <w:ind w:left="360"/>
      </w:pPr>
    </w:p>
    <w:p w14:paraId="1A0CA8BA" w14:textId="77777777" w:rsidR="00633036" w:rsidRDefault="00633036" w:rsidP="00633036"/>
    <w:tbl>
      <w:tblPr>
        <w:tblStyle w:val="TableGrid"/>
        <w:tblW w:w="0" w:type="auto"/>
        <w:tblLook w:val="04A0" w:firstRow="1" w:lastRow="0" w:firstColumn="1" w:lastColumn="0" w:noHBand="0" w:noVBand="1"/>
      </w:tblPr>
      <w:tblGrid>
        <w:gridCol w:w="3221"/>
        <w:gridCol w:w="1216"/>
        <w:gridCol w:w="1027"/>
        <w:gridCol w:w="2536"/>
        <w:gridCol w:w="1045"/>
      </w:tblGrid>
      <w:tr w:rsidR="00633036" w:rsidRPr="00D55B5F" w14:paraId="46FBBDC4" w14:textId="77777777" w:rsidTr="00F051F5">
        <w:tc>
          <w:tcPr>
            <w:tcW w:w="5464" w:type="dxa"/>
            <w:gridSpan w:val="3"/>
            <w:shd w:val="clear" w:color="auto" w:fill="365F91" w:themeFill="accent1" w:themeFillShade="BF"/>
          </w:tcPr>
          <w:p w14:paraId="72B1A71B" w14:textId="77777777" w:rsidR="00633036" w:rsidRPr="00D55B5F" w:rsidRDefault="00633036" w:rsidP="00F051F5">
            <w:pPr>
              <w:jc w:val="center"/>
              <w:rPr>
                <w:color w:val="FFFFFF" w:themeColor="background1"/>
                <w:sz w:val="22"/>
                <w:szCs w:val="22"/>
              </w:rPr>
            </w:pPr>
            <w:r w:rsidRPr="00D55B5F">
              <w:rPr>
                <w:color w:val="FFFFFF" w:themeColor="background1"/>
                <w:sz w:val="22"/>
                <w:szCs w:val="22"/>
              </w:rPr>
              <w:t>Risk</w:t>
            </w:r>
          </w:p>
        </w:tc>
        <w:tc>
          <w:tcPr>
            <w:tcW w:w="3581" w:type="dxa"/>
            <w:gridSpan w:val="2"/>
            <w:shd w:val="clear" w:color="auto" w:fill="365F91" w:themeFill="accent1" w:themeFillShade="BF"/>
          </w:tcPr>
          <w:p w14:paraId="2464B836" w14:textId="77777777" w:rsidR="00633036" w:rsidRPr="00D55B5F" w:rsidRDefault="00633036" w:rsidP="00F051F5">
            <w:pPr>
              <w:jc w:val="center"/>
              <w:rPr>
                <w:color w:val="FFFFFF" w:themeColor="background1"/>
                <w:sz w:val="22"/>
                <w:szCs w:val="22"/>
              </w:rPr>
            </w:pPr>
            <w:r w:rsidRPr="00D55B5F">
              <w:rPr>
                <w:color w:val="FFFFFF" w:themeColor="background1"/>
                <w:sz w:val="22"/>
                <w:szCs w:val="22"/>
              </w:rPr>
              <w:t>Mitigation</w:t>
            </w:r>
          </w:p>
        </w:tc>
      </w:tr>
      <w:tr w:rsidR="00633036" w:rsidRPr="00D55B5F" w14:paraId="133F8C73" w14:textId="77777777" w:rsidTr="00F051F5">
        <w:tc>
          <w:tcPr>
            <w:tcW w:w="3221" w:type="dxa"/>
            <w:shd w:val="clear" w:color="auto" w:fill="365F91" w:themeFill="accent1" w:themeFillShade="BF"/>
          </w:tcPr>
          <w:p w14:paraId="42ABF35A" w14:textId="77777777" w:rsidR="00633036" w:rsidRPr="00D55B5F" w:rsidRDefault="00633036" w:rsidP="00F051F5">
            <w:pPr>
              <w:rPr>
                <w:color w:val="FFFFFF" w:themeColor="background1"/>
                <w:sz w:val="22"/>
                <w:szCs w:val="22"/>
              </w:rPr>
            </w:pPr>
            <w:r w:rsidRPr="00D55B5F">
              <w:rPr>
                <w:color w:val="FFFFFF" w:themeColor="background1"/>
                <w:sz w:val="22"/>
                <w:szCs w:val="22"/>
              </w:rPr>
              <w:t>Identification</w:t>
            </w:r>
          </w:p>
        </w:tc>
        <w:tc>
          <w:tcPr>
            <w:tcW w:w="1216" w:type="dxa"/>
            <w:shd w:val="clear" w:color="auto" w:fill="365F91" w:themeFill="accent1" w:themeFillShade="BF"/>
          </w:tcPr>
          <w:p w14:paraId="59A393CB" w14:textId="77777777" w:rsidR="00633036" w:rsidRPr="00D55B5F" w:rsidRDefault="00633036" w:rsidP="00F051F5">
            <w:pPr>
              <w:rPr>
                <w:color w:val="FFFFFF" w:themeColor="background1"/>
                <w:sz w:val="22"/>
                <w:szCs w:val="22"/>
              </w:rPr>
            </w:pPr>
            <w:r w:rsidRPr="00D55B5F">
              <w:rPr>
                <w:color w:val="FFFFFF" w:themeColor="background1"/>
                <w:sz w:val="22"/>
                <w:szCs w:val="22"/>
              </w:rPr>
              <w:t>Likelihood</w:t>
            </w:r>
          </w:p>
        </w:tc>
        <w:tc>
          <w:tcPr>
            <w:tcW w:w="1027" w:type="dxa"/>
            <w:shd w:val="clear" w:color="auto" w:fill="365F91" w:themeFill="accent1" w:themeFillShade="BF"/>
          </w:tcPr>
          <w:p w14:paraId="7369B340" w14:textId="77777777" w:rsidR="00633036" w:rsidRPr="00D55B5F" w:rsidRDefault="00633036" w:rsidP="00F051F5">
            <w:pPr>
              <w:rPr>
                <w:color w:val="FFFFFF" w:themeColor="background1"/>
                <w:sz w:val="22"/>
                <w:szCs w:val="22"/>
              </w:rPr>
            </w:pPr>
            <w:r w:rsidRPr="00D55B5F">
              <w:rPr>
                <w:color w:val="FFFFFF" w:themeColor="background1"/>
                <w:sz w:val="22"/>
                <w:szCs w:val="22"/>
              </w:rPr>
              <w:t>Impact</w:t>
            </w:r>
          </w:p>
        </w:tc>
        <w:tc>
          <w:tcPr>
            <w:tcW w:w="2536" w:type="dxa"/>
            <w:shd w:val="clear" w:color="auto" w:fill="365F91" w:themeFill="accent1" w:themeFillShade="BF"/>
          </w:tcPr>
          <w:p w14:paraId="390E9CA8" w14:textId="77777777" w:rsidR="00633036" w:rsidRPr="00D55B5F" w:rsidRDefault="00633036" w:rsidP="00F051F5">
            <w:pPr>
              <w:rPr>
                <w:color w:val="FFFFFF" w:themeColor="background1"/>
                <w:sz w:val="22"/>
                <w:szCs w:val="22"/>
              </w:rPr>
            </w:pPr>
            <w:r w:rsidRPr="00D55B5F">
              <w:rPr>
                <w:color w:val="FFFFFF" w:themeColor="background1"/>
                <w:sz w:val="22"/>
                <w:szCs w:val="22"/>
              </w:rPr>
              <w:t>Mitigation strategy</w:t>
            </w:r>
          </w:p>
        </w:tc>
        <w:tc>
          <w:tcPr>
            <w:tcW w:w="1045" w:type="dxa"/>
            <w:shd w:val="clear" w:color="auto" w:fill="365F91" w:themeFill="accent1" w:themeFillShade="BF"/>
          </w:tcPr>
          <w:p w14:paraId="009C9CFF" w14:textId="77777777" w:rsidR="00633036" w:rsidRPr="00D55B5F" w:rsidRDefault="00633036" w:rsidP="00F051F5">
            <w:pPr>
              <w:rPr>
                <w:color w:val="FFFFFF" w:themeColor="background1"/>
                <w:sz w:val="22"/>
                <w:szCs w:val="22"/>
              </w:rPr>
            </w:pPr>
            <w:r w:rsidRPr="00D55B5F">
              <w:rPr>
                <w:color w:val="FFFFFF" w:themeColor="background1"/>
                <w:sz w:val="22"/>
                <w:szCs w:val="22"/>
              </w:rPr>
              <w:t>Owner</w:t>
            </w:r>
          </w:p>
        </w:tc>
      </w:tr>
      <w:tr w:rsidR="00633036" w:rsidRPr="00D55B5F" w14:paraId="7B30C53C" w14:textId="77777777" w:rsidTr="00F051F5">
        <w:tc>
          <w:tcPr>
            <w:tcW w:w="3221" w:type="dxa"/>
          </w:tcPr>
          <w:p w14:paraId="07FBD8E5" w14:textId="77777777" w:rsidR="00633036" w:rsidRPr="00D55B5F" w:rsidRDefault="00633036" w:rsidP="00F051F5">
            <w:pPr>
              <w:rPr>
                <w:sz w:val="22"/>
                <w:szCs w:val="22"/>
              </w:rPr>
            </w:pPr>
            <w:r w:rsidRPr="00D55B5F">
              <w:rPr>
                <w:sz w:val="22"/>
                <w:szCs w:val="22"/>
              </w:rPr>
              <w:t>1: That high level political focus on IWT will diminish, and outcomes won’t be achieved.</w:t>
            </w:r>
          </w:p>
        </w:tc>
        <w:tc>
          <w:tcPr>
            <w:tcW w:w="1216" w:type="dxa"/>
          </w:tcPr>
          <w:p w14:paraId="63BC823F" w14:textId="77777777" w:rsidR="00633036" w:rsidRPr="00D55B5F" w:rsidRDefault="00633036" w:rsidP="00F051F5">
            <w:pPr>
              <w:rPr>
                <w:sz w:val="22"/>
                <w:szCs w:val="22"/>
              </w:rPr>
            </w:pPr>
            <w:r w:rsidRPr="00D55B5F">
              <w:rPr>
                <w:sz w:val="22"/>
                <w:szCs w:val="22"/>
              </w:rPr>
              <w:t>Medium</w:t>
            </w:r>
          </w:p>
        </w:tc>
        <w:tc>
          <w:tcPr>
            <w:tcW w:w="1027" w:type="dxa"/>
          </w:tcPr>
          <w:p w14:paraId="51DDA428" w14:textId="77777777" w:rsidR="00633036" w:rsidRPr="00D55B5F" w:rsidRDefault="00633036" w:rsidP="00F051F5">
            <w:pPr>
              <w:rPr>
                <w:sz w:val="22"/>
                <w:szCs w:val="22"/>
              </w:rPr>
            </w:pPr>
            <w:r w:rsidRPr="00D55B5F">
              <w:rPr>
                <w:sz w:val="22"/>
                <w:szCs w:val="22"/>
              </w:rPr>
              <w:t>High</w:t>
            </w:r>
          </w:p>
        </w:tc>
        <w:tc>
          <w:tcPr>
            <w:tcW w:w="2536" w:type="dxa"/>
          </w:tcPr>
          <w:p w14:paraId="3EEF7F07" w14:textId="77777777" w:rsidR="00633036" w:rsidRPr="00D55B5F" w:rsidRDefault="00633036" w:rsidP="00F051F5">
            <w:pPr>
              <w:rPr>
                <w:sz w:val="22"/>
                <w:szCs w:val="22"/>
              </w:rPr>
            </w:pPr>
            <w:r w:rsidRPr="00D55B5F">
              <w:rPr>
                <w:sz w:val="22"/>
                <w:szCs w:val="22"/>
              </w:rPr>
              <w:t>1: ICCWC’s profile at international events sufficient to generate further momentum, commitment and funding.</w:t>
            </w:r>
          </w:p>
        </w:tc>
        <w:tc>
          <w:tcPr>
            <w:tcW w:w="1045" w:type="dxa"/>
          </w:tcPr>
          <w:p w14:paraId="04E909FC" w14:textId="77777777" w:rsidR="00633036" w:rsidRPr="00D55B5F" w:rsidRDefault="00633036" w:rsidP="00F051F5">
            <w:pPr>
              <w:rPr>
                <w:sz w:val="22"/>
                <w:szCs w:val="22"/>
              </w:rPr>
            </w:pPr>
            <w:r w:rsidRPr="00D55B5F">
              <w:rPr>
                <w:sz w:val="22"/>
                <w:szCs w:val="22"/>
              </w:rPr>
              <w:t>All ICCWC partners</w:t>
            </w:r>
          </w:p>
        </w:tc>
      </w:tr>
      <w:tr w:rsidR="00633036" w:rsidRPr="00D55B5F" w14:paraId="6D116F33" w14:textId="77777777" w:rsidTr="00F051F5">
        <w:tc>
          <w:tcPr>
            <w:tcW w:w="3221" w:type="dxa"/>
          </w:tcPr>
          <w:p w14:paraId="190B93F2" w14:textId="77777777" w:rsidR="00633036" w:rsidRPr="00D55B5F" w:rsidRDefault="00633036" w:rsidP="00F051F5">
            <w:pPr>
              <w:rPr>
                <w:sz w:val="22"/>
                <w:szCs w:val="22"/>
              </w:rPr>
            </w:pPr>
            <w:r w:rsidRPr="00D55B5F">
              <w:rPr>
                <w:sz w:val="22"/>
                <w:szCs w:val="22"/>
              </w:rPr>
              <w:t xml:space="preserve">2: That ICCWC stimulates demand for its services which it cannot meet due to inadequate resourcing.  </w:t>
            </w:r>
          </w:p>
        </w:tc>
        <w:tc>
          <w:tcPr>
            <w:tcW w:w="1216" w:type="dxa"/>
          </w:tcPr>
          <w:p w14:paraId="6C377C35" w14:textId="77777777" w:rsidR="00633036" w:rsidRPr="00D55B5F" w:rsidRDefault="00633036" w:rsidP="00F051F5">
            <w:pPr>
              <w:rPr>
                <w:sz w:val="22"/>
                <w:szCs w:val="22"/>
              </w:rPr>
            </w:pPr>
            <w:r w:rsidRPr="00D55B5F">
              <w:rPr>
                <w:sz w:val="22"/>
                <w:szCs w:val="22"/>
              </w:rPr>
              <w:t>High</w:t>
            </w:r>
          </w:p>
        </w:tc>
        <w:tc>
          <w:tcPr>
            <w:tcW w:w="1027" w:type="dxa"/>
          </w:tcPr>
          <w:p w14:paraId="27A50088" w14:textId="77777777" w:rsidR="00633036" w:rsidRPr="00D55B5F" w:rsidRDefault="00633036" w:rsidP="00F051F5">
            <w:pPr>
              <w:rPr>
                <w:sz w:val="22"/>
                <w:szCs w:val="22"/>
              </w:rPr>
            </w:pPr>
            <w:r w:rsidRPr="00D55B5F">
              <w:rPr>
                <w:sz w:val="22"/>
                <w:szCs w:val="22"/>
              </w:rPr>
              <w:t>High</w:t>
            </w:r>
          </w:p>
        </w:tc>
        <w:tc>
          <w:tcPr>
            <w:tcW w:w="2536" w:type="dxa"/>
          </w:tcPr>
          <w:p w14:paraId="00121DE1" w14:textId="77777777" w:rsidR="00633036" w:rsidRPr="00D55B5F" w:rsidRDefault="00633036" w:rsidP="00F051F5">
            <w:pPr>
              <w:rPr>
                <w:sz w:val="22"/>
                <w:szCs w:val="22"/>
              </w:rPr>
            </w:pPr>
            <w:r w:rsidRPr="00D55B5F">
              <w:rPr>
                <w:sz w:val="22"/>
                <w:szCs w:val="22"/>
              </w:rPr>
              <w:t>2: Continued efforts to raise further funding from a broader base of donors (countries, foundations)</w:t>
            </w:r>
          </w:p>
        </w:tc>
        <w:tc>
          <w:tcPr>
            <w:tcW w:w="1045" w:type="dxa"/>
          </w:tcPr>
          <w:p w14:paraId="5210E441" w14:textId="77777777" w:rsidR="00633036" w:rsidRPr="00D55B5F" w:rsidRDefault="00633036" w:rsidP="00F051F5">
            <w:pPr>
              <w:rPr>
                <w:sz w:val="22"/>
                <w:szCs w:val="22"/>
              </w:rPr>
            </w:pPr>
            <w:r w:rsidRPr="00D55B5F">
              <w:rPr>
                <w:sz w:val="22"/>
                <w:szCs w:val="22"/>
              </w:rPr>
              <w:t>All ICCWC partners</w:t>
            </w:r>
          </w:p>
        </w:tc>
      </w:tr>
      <w:tr w:rsidR="00633036" w:rsidRPr="00D55B5F" w14:paraId="4D1B8E02" w14:textId="77777777" w:rsidTr="00F051F5">
        <w:tc>
          <w:tcPr>
            <w:tcW w:w="3221" w:type="dxa"/>
          </w:tcPr>
          <w:p w14:paraId="50E3D9FC" w14:textId="77777777" w:rsidR="00633036" w:rsidRPr="00D55B5F" w:rsidRDefault="00633036" w:rsidP="00F051F5">
            <w:pPr>
              <w:rPr>
                <w:sz w:val="22"/>
                <w:szCs w:val="22"/>
              </w:rPr>
            </w:pPr>
            <w:r w:rsidRPr="00D55B5F">
              <w:rPr>
                <w:sz w:val="22"/>
                <w:szCs w:val="22"/>
              </w:rPr>
              <w:t>3: That recipient countries will randomly select from the services offered, thereby minimising the impact of ICCWC’s work</w:t>
            </w:r>
          </w:p>
        </w:tc>
        <w:tc>
          <w:tcPr>
            <w:tcW w:w="1216" w:type="dxa"/>
          </w:tcPr>
          <w:p w14:paraId="502E6619" w14:textId="77777777" w:rsidR="00633036" w:rsidRPr="00D55B5F" w:rsidRDefault="00633036" w:rsidP="00F051F5">
            <w:pPr>
              <w:rPr>
                <w:sz w:val="22"/>
                <w:szCs w:val="22"/>
              </w:rPr>
            </w:pPr>
            <w:r w:rsidRPr="00D55B5F">
              <w:rPr>
                <w:sz w:val="22"/>
                <w:szCs w:val="22"/>
              </w:rPr>
              <w:t>Medium</w:t>
            </w:r>
          </w:p>
        </w:tc>
        <w:tc>
          <w:tcPr>
            <w:tcW w:w="1027" w:type="dxa"/>
          </w:tcPr>
          <w:p w14:paraId="1F0FA6D9" w14:textId="77777777" w:rsidR="00633036" w:rsidRPr="00D55B5F" w:rsidRDefault="00633036" w:rsidP="00F051F5">
            <w:pPr>
              <w:rPr>
                <w:sz w:val="22"/>
                <w:szCs w:val="22"/>
              </w:rPr>
            </w:pPr>
            <w:r w:rsidRPr="00D55B5F">
              <w:rPr>
                <w:sz w:val="22"/>
                <w:szCs w:val="22"/>
              </w:rPr>
              <w:t>Medium</w:t>
            </w:r>
          </w:p>
        </w:tc>
        <w:tc>
          <w:tcPr>
            <w:tcW w:w="2536" w:type="dxa"/>
          </w:tcPr>
          <w:p w14:paraId="36809D89" w14:textId="77777777" w:rsidR="00633036" w:rsidRPr="00D55B5F" w:rsidRDefault="00633036" w:rsidP="00F051F5">
            <w:pPr>
              <w:rPr>
                <w:sz w:val="22"/>
                <w:szCs w:val="22"/>
              </w:rPr>
            </w:pPr>
            <w:r w:rsidRPr="00D55B5F">
              <w:rPr>
                <w:sz w:val="22"/>
                <w:szCs w:val="22"/>
              </w:rPr>
              <w:t>3: Guidance on most suitable solutions obtained through Toolkit implementation and technical guidance from ICCWC partners.</w:t>
            </w:r>
          </w:p>
        </w:tc>
        <w:tc>
          <w:tcPr>
            <w:tcW w:w="1045" w:type="dxa"/>
          </w:tcPr>
          <w:p w14:paraId="7F286E47" w14:textId="77777777" w:rsidR="00633036" w:rsidRPr="00D55B5F" w:rsidRDefault="00633036" w:rsidP="00F051F5">
            <w:pPr>
              <w:rPr>
                <w:sz w:val="22"/>
                <w:szCs w:val="22"/>
              </w:rPr>
            </w:pPr>
            <w:r w:rsidRPr="00D55B5F">
              <w:rPr>
                <w:sz w:val="22"/>
                <w:szCs w:val="22"/>
              </w:rPr>
              <w:t>All ICCWC partners</w:t>
            </w:r>
          </w:p>
        </w:tc>
      </w:tr>
      <w:tr w:rsidR="00633036" w:rsidRPr="00D55B5F" w14:paraId="318D6C58" w14:textId="77777777" w:rsidTr="00F051F5">
        <w:tc>
          <w:tcPr>
            <w:tcW w:w="3221" w:type="dxa"/>
          </w:tcPr>
          <w:p w14:paraId="3523B214" w14:textId="77777777" w:rsidR="00633036" w:rsidRPr="00D55B5F" w:rsidRDefault="00633036" w:rsidP="00F051F5">
            <w:pPr>
              <w:rPr>
                <w:sz w:val="22"/>
                <w:szCs w:val="22"/>
              </w:rPr>
            </w:pPr>
            <w:r w:rsidRPr="00D55B5F">
              <w:rPr>
                <w:sz w:val="22"/>
                <w:szCs w:val="22"/>
              </w:rPr>
              <w:t>4: That recipient countries avoid ICCWC interventions that will un-earth corruption</w:t>
            </w:r>
          </w:p>
        </w:tc>
        <w:tc>
          <w:tcPr>
            <w:tcW w:w="1216" w:type="dxa"/>
          </w:tcPr>
          <w:p w14:paraId="35736A74" w14:textId="77777777" w:rsidR="00633036" w:rsidRPr="00D55B5F" w:rsidRDefault="00633036" w:rsidP="00F051F5">
            <w:pPr>
              <w:rPr>
                <w:sz w:val="22"/>
                <w:szCs w:val="22"/>
              </w:rPr>
            </w:pPr>
            <w:r w:rsidRPr="00D55B5F">
              <w:rPr>
                <w:sz w:val="22"/>
                <w:szCs w:val="22"/>
              </w:rPr>
              <w:t>Medium</w:t>
            </w:r>
          </w:p>
        </w:tc>
        <w:tc>
          <w:tcPr>
            <w:tcW w:w="1027" w:type="dxa"/>
          </w:tcPr>
          <w:p w14:paraId="27C7BF08" w14:textId="77777777" w:rsidR="00633036" w:rsidRPr="00D55B5F" w:rsidRDefault="00633036" w:rsidP="00F051F5">
            <w:pPr>
              <w:rPr>
                <w:sz w:val="22"/>
                <w:szCs w:val="22"/>
              </w:rPr>
            </w:pPr>
            <w:r w:rsidRPr="00D55B5F">
              <w:rPr>
                <w:sz w:val="22"/>
                <w:szCs w:val="22"/>
              </w:rPr>
              <w:t>High</w:t>
            </w:r>
          </w:p>
        </w:tc>
        <w:tc>
          <w:tcPr>
            <w:tcW w:w="2536" w:type="dxa"/>
          </w:tcPr>
          <w:p w14:paraId="34F8560C" w14:textId="77777777" w:rsidR="00633036" w:rsidRPr="00D55B5F" w:rsidRDefault="00633036" w:rsidP="00F051F5">
            <w:pPr>
              <w:rPr>
                <w:sz w:val="22"/>
                <w:szCs w:val="22"/>
              </w:rPr>
            </w:pPr>
            <w:r w:rsidRPr="00D55B5F">
              <w:rPr>
                <w:sz w:val="22"/>
                <w:szCs w:val="22"/>
              </w:rPr>
              <w:t>4: ICCWC partners to triangulate information about the country from multiple sources, to identify where corruption is being concealed, before, during and after working within that country.</w:t>
            </w:r>
          </w:p>
        </w:tc>
        <w:tc>
          <w:tcPr>
            <w:tcW w:w="1045" w:type="dxa"/>
          </w:tcPr>
          <w:p w14:paraId="3609D06B" w14:textId="77777777" w:rsidR="00633036" w:rsidRPr="00D55B5F" w:rsidRDefault="00633036" w:rsidP="00F051F5">
            <w:pPr>
              <w:rPr>
                <w:sz w:val="22"/>
                <w:szCs w:val="22"/>
              </w:rPr>
            </w:pPr>
            <w:r w:rsidRPr="00D55B5F">
              <w:rPr>
                <w:sz w:val="22"/>
                <w:szCs w:val="22"/>
              </w:rPr>
              <w:t>All ICCWC partners</w:t>
            </w:r>
          </w:p>
        </w:tc>
      </w:tr>
      <w:tr w:rsidR="00633036" w:rsidRPr="00D55B5F" w14:paraId="32814EE4" w14:textId="77777777" w:rsidTr="00F051F5">
        <w:tc>
          <w:tcPr>
            <w:tcW w:w="3221" w:type="dxa"/>
          </w:tcPr>
          <w:p w14:paraId="19822CC9" w14:textId="77777777" w:rsidR="00633036" w:rsidRPr="00D55B5F" w:rsidRDefault="00633036" w:rsidP="00F051F5">
            <w:pPr>
              <w:rPr>
                <w:sz w:val="22"/>
                <w:szCs w:val="22"/>
              </w:rPr>
            </w:pPr>
            <w:r w:rsidRPr="00D55B5F">
              <w:rPr>
                <w:sz w:val="22"/>
                <w:szCs w:val="22"/>
              </w:rPr>
              <w:t>5: That officials who receive ICCWC training will be moved to other duties, minimising impact of the ICCWC programme</w:t>
            </w:r>
          </w:p>
        </w:tc>
        <w:tc>
          <w:tcPr>
            <w:tcW w:w="1216" w:type="dxa"/>
          </w:tcPr>
          <w:p w14:paraId="31FCD311" w14:textId="77777777" w:rsidR="00633036" w:rsidRPr="00D55B5F" w:rsidRDefault="00633036" w:rsidP="00F051F5">
            <w:pPr>
              <w:rPr>
                <w:sz w:val="22"/>
                <w:szCs w:val="22"/>
              </w:rPr>
            </w:pPr>
            <w:r w:rsidRPr="00D55B5F">
              <w:rPr>
                <w:sz w:val="22"/>
                <w:szCs w:val="22"/>
              </w:rPr>
              <w:t>Medium</w:t>
            </w:r>
          </w:p>
        </w:tc>
        <w:tc>
          <w:tcPr>
            <w:tcW w:w="1027" w:type="dxa"/>
          </w:tcPr>
          <w:p w14:paraId="4B3A07EB" w14:textId="77777777" w:rsidR="00633036" w:rsidRPr="00D55B5F" w:rsidRDefault="00633036" w:rsidP="00F051F5">
            <w:pPr>
              <w:rPr>
                <w:sz w:val="22"/>
                <w:szCs w:val="22"/>
              </w:rPr>
            </w:pPr>
            <w:r w:rsidRPr="00D55B5F">
              <w:rPr>
                <w:sz w:val="22"/>
                <w:szCs w:val="22"/>
              </w:rPr>
              <w:t>Medium</w:t>
            </w:r>
          </w:p>
        </w:tc>
        <w:tc>
          <w:tcPr>
            <w:tcW w:w="2536" w:type="dxa"/>
          </w:tcPr>
          <w:p w14:paraId="0C4EACEC" w14:textId="77777777" w:rsidR="00633036" w:rsidRPr="00D55B5F" w:rsidRDefault="00633036" w:rsidP="00F051F5">
            <w:pPr>
              <w:rPr>
                <w:sz w:val="22"/>
                <w:szCs w:val="22"/>
              </w:rPr>
            </w:pPr>
            <w:r w:rsidRPr="00D55B5F">
              <w:rPr>
                <w:sz w:val="22"/>
                <w:szCs w:val="22"/>
              </w:rPr>
              <w:t>5: ICCWC partner activities developed and implemented with a focus on building long-term sustainable capacity, e.g. through mentorship programmes.</w:t>
            </w:r>
          </w:p>
        </w:tc>
        <w:tc>
          <w:tcPr>
            <w:tcW w:w="1045" w:type="dxa"/>
          </w:tcPr>
          <w:p w14:paraId="414C9873" w14:textId="77777777" w:rsidR="00633036" w:rsidRPr="00D55B5F" w:rsidRDefault="00633036" w:rsidP="00F051F5">
            <w:pPr>
              <w:rPr>
                <w:sz w:val="22"/>
                <w:szCs w:val="22"/>
              </w:rPr>
            </w:pPr>
            <w:r w:rsidRPr="00D55B5F">
              <w:rPr>
                <w:sz w:val="22"/>
                <w:szCs w:val="22"/>
              </w:rPr>
              <w:t>All ICCWC partners</w:t>
            </w:r>
          </w:p>
        </w:tc>
      </w:tr>
      <w:tr w:rsidR="00633036" w:rsidRPr="00D55B5F" w14:paraId="10FABF4E" w14:textId="77777777" w:rsidTr="00F051F5">
        <w:tc>
          <w:tcPr>
            <w:tcW w:w="3221" w:type="dxa"/>
          </w:tcPr>
          <w:p w14:paraId="25BC55E0" w14:textId="77777777" w:rsidR="00633036" w:rsidRPr="00D55B5F" w:rsidRDefault="00633036" w:rsidP="00F051F5">
            <w:pPr>
              <w:rPr>
                <w:sz w:val="22"/>
                <w:szCs w:val="22"/>
              </w:rPr>
            </w:pPr>
            <w:r w:rsidRPr="00D55B5F">
              <w:rPr>
                <w:sz w:val="22"/>
                <w:szCs w:val="22"/>
              </w:rPr>
              <w:t>6: That some areas of ICCWC’s work programme are neglected due to funding constraints.</w:t>
            </w:r>
          </w:p>
        </w:tc>
        <w:tc>
          <w:tcPr>
            <w:tcW w:w="1216" w:type="dxa"/>
          </w:tcPr>
          <w:p w14:paraId="45372C12" w14:textId="77777777" w:rsidR="00633036" w:rsidRPr="00D55B5F" w:rsidRDefault="00633036" w:rsidP="00F051F5">
            <w:pPr>
              <w:rPr>
                <w:sz w:val="22"/>
                <w:szCs w:val="22"/>
              </w:rPr>
            </w:pPr>
            <w:r w:rsidRPr="00D55B5F">
              <w:rPr>
                <w:sz w:val="22"/>
                <w:szCs w:val="22"/>
              </w:rPr>
              <w:t>Low</w:t>
            </w:r>
          </w:p>
        </w:tc>
        <w:tc>
          <w:tcPr>
            <w:tcW w:w="1027" w:type="dxa"/>
          </w:tcPr>
          <w:p w14:paraId="70A28321" w14:textId="77777777" w:rsidR="00633036" w:rsidRPr="00D55B5F" w:rsidRDefault="00633036" w:rsidP="00F051F5">
            <w:pPr>
              <w:rPr>
                <w:sz w:val="22"/>
                <w:szCs w:val="22"/>
              </w:rPr>
            </w:pPr>
            <w:r w:rsidRPr="00D55B5F">
              <w:rPr>
                <w:sz w:val="22"/>
                <w:szCs w:val="22"/>
              </w:rPr>
              <w:t>Low</w:t>
            </w:r>
          </w:p>
        </w:tc>
        <w:tc>
          <w:tcPr>
            <w:tcW w:w="2536" w:type="dxa"/>
          </w:tcPr>
          <w:p w14:paraId="258D8BF7" w14:textId="77777777" w:rsidR="00633036" w:rsidRPr="00D55B5F" w:rsidRDefault="00633036" w:rsidP="00F051F5">
            <w:pPr>
              <w:rPr>
                <w:sz w:val="22"/>
                <w:szCs w:val="22"/>
              </w:rPr>
            </w:pPr>
            <w:r w:rsidRPr="00D55B5F">
              <w:rPr>
                <w:sz w:val="22"/>
                <w:szCs w:val="22"/>
              </w:rPr>
              <w:t xml:space="preserve">6: ICCWC SEG ensure funding is fairly distributed between countries and to cover all aspects of ICCWC’s work programme. </w:t>
            </w:r>
          </w:p>
        </w:tc>
        <w:tc>
          <w:tcPr>
            <w:tcW w:w="1045" w:type="dxa"/>
          </w:tcPr>
          <w:p w14:paraId="423F49B0" w14:textId="77777777" w:rsidR="00633036" w:rsidRPr="00D55B5F" w:rsidRDefault="00633036" w:rsidP="00F051F5">
            <w:pPr>
              <w:rPr>
                <w:sz w:val="22"/>
                <w:szCs w:val="22"/>
              </w:rPr>
            </w:pPr>
            <w:r w:rsidRPr="00D55B5F">
              <w:rPr>
                <w:sz w:val="22"/>
                <w:szCs w:val="22"/>
              </w:rPr>
              <w:t>ICCWC SEG</w:t>
            </w:r>
          </w:p>
        </w:tc>
      </w:tr>
    </w:tbl>
    <w:p w14:paraId="7E89C90E" w14:textId="77777777" w:rsidR="00633036" w:rsidRDefault="00633036" w:rsidP="00633036"/>
    <w:p w14:paraId="06F3275C" w14:textId="77777777" w:rsidR="00633036" w:rsidRDefault="00633036" w:rsidP="00633036"/>
    <w:p w14:paraId="24F5AB5D" w14:textId="77777777" w:rsidR="006618C4" w:rsidRPr="006854F1" w:rsidRDefault="006618C4" w:rsidP="006618C4">
      <w:pPr>
        <w:jc w:val="both"/>
        <w:rPr>
          <w:rFonts w:ascii="Arial" w:eastAsia="MS Mincho" w:hAnsi="Arial" w:cs="Arial"/>
          <w:bCs/>
          <w:sz w:val="20"/>
          <w:szCs w:val="20"/>
          <w:lang w:eastAsia="ja-JP"/>
        </w:rPr>
      </w:pPr>
    </w:p>
    <w:p w14:paraId="6FABA110" w14:textId="4CDABB0F" w:rsidR="00A54096" w:rsidRPr="00E2744D" w:rsidRDefault="00A54096" w:rsidP="00736D78">
      <w:pPr>
        <w:pStyle w:val="Heading3"/>
        <w:numPr>
          <w:ilvl w:val="0"/>
          <w:numId w:val="28"/>
        </w:numPr>
      </w:pPr>
      <w:bookmarkStart w:id="18" w:name="_Toc497992285"/>
      <w:r w:rsidRPr="00E2744D">
        <w:t>Implementation Modalities</w:t>
      </w:r>
      <w:bookmarkEnd w:id="18"/>
    </w:p>
    <w:p w14:paraId="7E471F70" w14:textId="77777777" w:rsidR="00736D78" w:rsidRPr="00E2744D" w:rsidRDefault="00736D78" w:rsidP="00736D78"/>
    <w:p w14:paraId="264ED95A" w14:textId="77777777" w:rsidR="00A54096" w:rsidRPr="00E2744D" w:rsidRDefault="00A54096" w:rsidP="00A54096">
      <w:pPr>
        <w:pStyle w:val="Heading4"/>
      </w:pPr>
      <w:bookmarkStart w:id="19" w:name="OLE_LINK45"/>
      <w:bookmarkStart w:id="20" w:name="OLE_LINK46"/>
      <w:bookmarkStart w:id="21" w:name="_Toc497992286"/>
      <w:r w:rsidRPr="00E2744D">
        <w:t>Institutional implementation</w:t>
      </w:r>
      <w:bookmarkEnd w:id="21"/>
    </w:p>
    <w:p w14:paraId="6444D86E" w14:textId="77777777" w:rsidR="00106064" w:rsidRPr="00106064" w:rsidRDefault="00A54096" w:rsidP="00106064">
      <w:pPr>
        <w:tabs>
          <w:tab w:val="left" w:pos="709"/>
        </w:tabs>
        <w:spacing w:before="120"/>
        <w:jc w:val="both"/>
        <w:rPr>
          <w:rFonts w:asciiTheme="majorBidi" w:hAnsiTheme="majorBidi" w:cstheme="majorBidi"/>
          <w:sz w:val="22"/>
          <w:szCs w:val="22"/>
          <w:lang w:val="en-GB"/>
        </w:rPr>
      </w:pPr>
      <w:r w:rsidRPr="00106064">
        <w:rPr>
          <w:rFonts w:asciiTheme="majorBidi" w:hAnsiTheme="majorBidi" w:cstheme="majorBidi"/>
          <w:sz w:val="22"/>
          <w:szCs w:val="22"/>
          <w:lang w:val="en-GB"/>
        </w:rPr>
        <w:t xml:space="preserve">The Action will be implemented by </w:t>
      </w:r>
      <w:r w:rsidR="00106064" w:rsidRPr="00106064">
        <w:rPr>
          <w:rFonts w:asciiTheme="majorBidi" w:hAnsiTheme="majorBidi" w:cstheme="majorBidi"/>
          <w:sz w:val="22"/>
          <w:szCs w:val="22"/>
          <w:lang w:val="en-GB"/>
        </w:rPr>
        <w:t>5 ICCWC partners through the following modality:</w:t>
      </w:r>
    </w:p>
    <w:p w14:paraId="3B87980F" w14:textId="1F354F39" w:rsidR="00106064" w:rsidRPr="005F7B59" w:rsidRDefault="00106064" w:rsidP="00A33871">
      <w:pPr>
        <w:pStyle w:val="ListParagraph"/>
        <w:numPr>
          <w:ilvl w:val="0"/>
          <w:numId w:val="38"/>
        </w:numPr>
        <w:tabs>
          <w:tab w:val="left" w:pos="709"/>
        </w:tabs>
        <w:spacing w:before="120"/>
        <w:jc w:val="both"/>
        <w:rPr>
          <w:rFonts w:asciiTheme="majorBidi" w:hAnsiTheme="majorBidi" w:cstheme="majorBidi"/>
          <w:highlight w:val="yellow"/>
          <w:lang w:val="en-GB"/>
        </w:rPr>
      </w:pPr>
      <w:r w:rsidRPr="00106064">
        <w:rPr>
          <w:rFonts w:asciiTheme="majorBidi" w:hAnsiTheme="majorBidi" w:cstheme="majorBidi"/>
          <w:lang w:val="en-GB"/>
        </w:rPr>
        <w:t>Indirect management with UNODC (</w:t>
      </w:r>
      <w:r w:rsidRPr="005F7B59">
        <w:rPr>
          <w:rFonts w:asciiTheme="majorBidi" w:hAnsiTheme="majorBidi" w:cstheme="majorBidi"/>
          <w:highlight w:val="yellow"/>
          <w:lang w:val="en-GB"/>
        </w:rPr>
        <w:t>CITES and the World Bank- sub-delegatees)</w:t>
      </w:r>
    </w:p>
    <w:p w14:paraId="7895E2F3" w14:textId="635A252C" w:rsidR="00106064" w:rsidRPr="005F7B59" w:rsidRDefault="00106064" w:rsidP="00A33871">
      <w:pPr>
        <w:pStyle w:val="ListParagraph"/>
        <w:numPr>
          <w:ilvl w:val="0"/>
          <w:numId w:val="38"/>
        </w:numPr>
        <w:tabs>
          <w:tab w:val="left" w:pos="709"/>
        </w:tabs>
        <w:spacing w:before="120"/>
        <w:jc w:val="both"/>
        <w:rPr>
          <w:rFonts w:asciiTheme="majorBidi" w:hAnsiTheme="majorBidi" w:cstheme="majorBidi"/>
          <w:highlight w:val="yellow"/>
          <w:lang w:val="en-GB"/>
        </w:rPr>
      </w:pPr>
      <w:r w:rsidRPr="005F7B59">
        <w:rPr>
          <w:rFonts w:asciiTheme="majorBidi" w:hAnsiTheme="majorBidi" w:cstheme="majorBidi"/>
          <w:highlight w:val="yellow"/>
          <w:lang w:val="en-GB"/>
        </w:rPr>
        <w:t>Indirect management with INTERPOL (WCO- sub-delegatee)</w:t>
      </w:r>
    </w:p>
    <w:p w14:paraId="184B58C8" w14:textId="37AA5B22" w:rsidR="00A54096" w:rsidRPr="00106064" w:rsidRDefault="00106064" w:rsidP="00106064">
      <w:pPr>
        <w:tabs>
          <w:tab w:val="left" w:pos="709"/>
        </w:tabs>
        <w:spacing w:before="120"/>
        <w:jc w:val="both"/>
        <w:rPr>
          <w:rFonts w:asciiTheme="majorBidi" w:hAnsiTheme="majorBidi" w:cstheme="majorBidi"/>
          <w:sz w:val="22"/>
          <w:szCs w:val="22"/>
          <w:lang w:val="en-GB"/>
        </w:rPr>
      </w:pPr>
      <w:r>
        <w:rPr>
          <w:rFonts w:asciiTheme="majorBidi" w:hAnsiTheme="majorBidi" w:cstheme="majorBidi"/>
          <w:sz w:val="22"/>
          <w:szCs w:val="22"/>
        </w:rPr>
        <w:t xml:space="preserve">Both UNODC and INTERPOL have been EU Pillar assessed. </w:t>
      </w:r>
      <w:r w:rsidRPr="00106064">
        <w:rPr>
          <w:rFonts w:asciiTheme="majorBidi" w:hAnsiTheme="majorBidi" w:cstheme="majorBidi"/>
          <w:sz w:val="22"/>
          <w:szCs w:val="22"/>
        </w:rPr>
        <w:t>The</w:t>
      </w:r>
      <w:r>
        <w:rPr>
          <w:rFonts w:asciiTheme="majorBidi" w:hAnsiTheme="majorBidi" w:cstheme="majorBidi"/>
          <w:sz w:val="22"/>
          <w:szCs w:val="22"/>
        </w:rPr>
        <w:t xml:space="preserve"> ICCWC</w:t>
      </w:r>
      <w:r w:rsidRPr="00106064">
        <w:rPr>
          <w:rFonts w:asciiTheme="majorBidi" w:hAnsiTheme="majorBidi" w:cstheme="majorBidi"/>
          <w:sz w:val="22"/>
          <w:szCs w:val="22"/>
        </w:rPr>
        <w:t xml:space="preserve"> partner organizations will </w:t>
      </w:r>
      <w:r w:rsidR="00A54096" w:rsidRPr="00106064">
        <w:rPr>
          <w:rFonts w:asciiTheme="majorBidi" w:hAnsiTheme="majorBidi" w:cstheme="majorBidi"/>
          <w:sz w:val="22"/>
          <w:szCs w:val="22"/>
        </w:rPr>
        <w:t xml:space="preserve">ensure the </w:t>
      </w:r>
      <w:r w:rsidR="00A54096" w:rsidRPr="00106064">
        <w:rPr>
          <w:rFonts w:asciiTheme="majorBidi" w:hAnsiTheme="majorBidi" w:cstheme="majorBidi"/>
          <w:sz w:val="22"/>
          <w:szCs w:val="22"/>
          <w:lang w:val="en-GB"/>
        </w:rPr>
        <w:t xml:space="preserve">efficient delivery or their respective components, and will ensure </w:t>
      </w:r>
      <w:r w:rsidR="00A54096" w:rsidRPr="00106064">
        <w:rPr>
          <w:rFonts w:asciiTheme="majorBidi" w:hAnsiTheme="majorBidi" w:cstheme="majorBidi"/>
          <w:sz w:val="22"/>
          <w:szCs w:val="22"/>
        </w:rPr>
        <w:t xml:space="preserve">that all information </w:t>
      </w:r>
      <w:r w:rsidRPr="00106064">
        <w:rPr>
          <w:rFonts w:asciiTheme="majorBidi" w:hAnsiTheme="majorBidi" w:cstheme="majorBidi"/>
          <w:sz w:val="22"/>
          <w:szCs w:val="22"/>
        </w:rPr>
        <w:t>is</w:t>
      </w:r>
      <w:r w:rsidR="00A54096" w:rsidRPr="00106064">
        <w:rPr>
          <w:rFonts w:asciiTheme="majorBidi" w:hAnsiTheme="majorBidi" w:cstheme="majorBidi"/>
          <w:sz w:val="22"/>
          <w:szCs w:val="22"/>
        </w:rPr>
        <w:t xml:space="preserve"> provided and r</w:t>
      </w:r>
      <w:r w:rsidRPr="00106064">
        <w:rPr>
          <w:rFonts w:asciiTheme="majorBidi" w:hAnsiTheme="majorBidi" w:cstheme="majorBidi"/>
          <w:sz w:val="22"/>
          <w:szCs w:val="22"/>
        </w:rPr>
        <w:t>equests made to the Commission</w:t>
      </w:r>
      <w:r w:rsidR="00A54096" w:rsidRPr="00106064">
        <w:rPr>
          <w:rFonts w:asciiTheme="majorBidi" w:hAnsiTheme="majorBidi" w:cstheme="majorBidi"/>
          <w:sz w:val="22"/>
          <w:szCs w:val="22"/>
        </w:rPr>
        <w:t xml:space="preserve"> via UNODC </w:t>
      </w:r>
      <w:r w:rsidRPr="00106064">
        <w:rPr>
          <w:rFonts w:asciiTheme="majorBidi" w:hAnsiTheme="majorBidi" w:cstheme="majorBidi"/>
          <w:sz w:val="22"/>
          <w:szCs w:val="22"/>
        </w:rPr>
        <w:t xml:space="preserve">and INTERPOL </w:t>
      </w:r>
      <w:r w:rsidR="00A54096" w:rsidRPr="00106064">
        <w:rPr>
          <w:rFonts w:asciiTheme="majorBidi" w:hAnsiTheme="majorBidi" w:cstheme="majorBidi"/>
          <w:sz w:val="22"/>
          <w:szCs w:val="22"/>
        </w:rPr>
        <w:t xml:space="preserve">supporting the </w:t>
      </w:r>
      <w:r w:rsidR="00A54096" w:rsidRPr="00106064">
        <w:rPr>
          <w:rFonts w:asciiTheme="majorBidi" w:hAnsiTheme="majorBidi" w:cstheme="majorBidi"/>
          <w:sz w:val="22"/>
          <w:szCs w:val="22"/>
          <w:lang w:val="en-GB"/>
        </w:rPr>
        <w:t xml:space="preserve">timely reporting of </w:t>
      </w:r>
      <w:r w:rsidRPr="00106064">
        <w:rPr>
          <w:rFonts w:asciiTheme="majorBidi" w:hAnsiTheme="majorBidi" w:cstheme="majorBidi"/>
          <w:sz w:val="22"/>
          <w:szCs w:val="22"/>
          <w:lang w:val="en-GB"/>
        </w:rPr>
        <w:t>A</w:t>
      </w:r>
      <w:r w:rsidR="00A54096" w:rsidRPr="00106064">
        <w:rPr>
          <w:rFonts w:asciiTheme="majorBidi" w:hAnsiTheme="majorBidi" w:cstheme="majorBidi"/>
          <w:sz w:val="22"/>
          <w:szCs w:val="22"/>
          <w:lang w:val="en-GB"/>
        </w:rPr>
        <w:t>ction.</w:t>
      </w:r>
      <w:r>
        <w:rPr>
          <w:rFonts w:asciiTheme="majorBidi" w:hAnsiTheme="majorBidi" w:cstheme="majorBidi"/>
          <w:sz w:val="22"/>
          <w:szCs w:val="22"/>
          <w:lang w:val="en-GB"/>
        </w:rPr>
        <w:t xml:space="preserve"> </w:t>
      </w:r>
    </w:p>
    <w:p w14:paraId="3363A59F" w14:textId="77777777" w:rsidR="00A54096" w:rsidRPr="00106064" w:rsidRDefault="00A54096" w:rsidP="00A54096">
      <w:pPr>
        <w:tabs>
          <w:tab w:val="left" w:pos="709"/>
        </w:tabs>
        <w:spacing w:before="120"/>
        <w:jc w:val="both"/>
        <w:rPr>
          <w:sz w:val="22"/>
          <w:szCs w:val="22"/>
          <w:lang w:val="en-GB"/>
        </w:rPr>
      </w:pPr>
    </w:p>
    <w:p w14:paraId="6D1CFE19" w14:textId="77777777" w:rsidR="00550BA1" w:rsidRPr="00106064" w:rsidRDefault="00550BA1" w:rsidP="00550BA1">
      <w:pPr>
        <w:pStyle w:val="Heading4"/>
        <w:numPr>
          <w:ilvl w:val="3"/>
          <w:numId w:val="28"/>
        </w:numPr>
        <w:tabs>
          <w:tab w:val="clear" w:pos="2760"/>
        </w:tabs>
        <w:spacing w:before="120" w:after="120"/>
        <w:ind w:left="993" w:hanging="993"/>
        <w:jc w:val="both"/>
        <w:rPr>
          <w:sz w:val="22"/>
          <w:szCs w:val="22"/>
        </w:rPr>
      </w:pPr>
      <w:bookmarkStart w:id="22" w:name="OLE_LINK41"/>
      <w:bookmarkStart w:id="23" w:name="OLE_LINK42"/>
      <w:bookmarkStart w:id="24" w:name="_Toc497992287"/>
      <w:bookmarkEnd w:id="19"/>
      <w:bookmarkEnd w:id="20"/>
      <w:r w:rsidRPr="00106064">
        <w:rPr>
          <w:sz w:val="22"/>
          <w:szCs w:val="22"/>
        </w:rPr>
        <w:t>Indirect management with UNODC (for Result 1)</w:t>
      </w:r>
      <w:bookmarkEnd w:id="24"/>
    </w:p>
    <w:p w14:paraId="0C4CEECF" w14:textId="225D6FC9" w:rsidR="00550BA1" w:rsidRPr="00106064" w:rsidRDefault="00550BA1" w:rsidP="004C20DE">
      <w:pPr>
        <w:pStyle w:val="Text2"/>
        <w:ind w:left="0"/>
        <w:rPr>
          <w:sz w:val="22"/>
          <w:szCs w:val="22"/>
        </w:rPr>
      </w:pPr>
      <w:r w:rsidRPr="00106064">
        <w:rPr>
          <w:sz w:val="22"/>
          <w:szCs w:val="22"/>
        </w:rPr>
        <w:t>A part of this action may be implemented in indirect management with UNODC in accordance with Article 58(1)(c) of Regulation (EU, Euratom) No 966/2012. This implementation entails activities linked to Result 1 like law enforcement of national/regional authorities and transregional cooperation in close collaboration with I</w:t>
      </w:r>
      <w:r w:rsidR="004C20DE">
        <w:rPr>
          <w:sz w:val="22"/>
          <w:szCs w:val="22"/>
        </w:rPr>
        <w:t>NTERPOL</w:t>
      </w:r>
      <w:r w:rsidRPr="00106064">
        <w:rPr>
          <w:sz w:val="22"/>
          <w:szCs w:val="22"/>
        </w:rPr>
        <w:t xml:space="preserve">. This implementation is justified because: a) UNODC has the international mandate to assist countries in combatting wildlife crime; b) it built up substantial experience in addressing wildlife crime capacity building needs in Asia, Latin America and Africa; c) and has the confidence and support of the target countries in addressing these issues. </w:t>
      </w:r>
    </w:p>
    <w:p w14:paraId="7E723A10" w14:textId="77777777" w:rsidR="00550BA1" w:rsidRPr="00106064" w:rsidRDefault="00550BA1" w:rsidP="00550BA1">
      <w:pPr>
        <w:pStyle w:val="Text2"/>
        <w:ind w:left="0"/>
        <w:rPr>
          <w:i/>
          <w:sz w:val="22"/>
          <w:szCs w:val="22"/>
        </w:rPr>
      </w:pPr>
      <w:r w:rsidRPr="00106064">
        <w:rPr>
          <w:sz w:val="22"/>
          <w:szCs w:val="22"/>
        </w:rPr>
        <w:t xml:space="preserve">The entrusted entity would carry out the following budget-implementation tasks: launch calls for tenders, evaluate tenders proposals, award contracts, act as contracting authority concluding and managing contracts, carrying out payments, recovering moneys due. </w:t>
      </w:r>
    </w:p>
    <w:p w14:paraId="7F2A60DC" w14:textId="77777777" w:rsidR="00550BA1" w:rsidRPr="00106064" w:rsidRDefault="00550BA1" w:rsidP="00550BA1">
      <w:pPr>
        <w:pStyle w:val="Text2"/>
        <w:ind w:left="0"/>
        <w:rPr>
          <w:sz w:val="22"/>
          <w:szCs w:val="22"/>
        </w:rPr>
      </w:pPr>
      <w:r w:rsidRPr="00106064">
        <w:rPr>
          <w:sz w:val="22"/>
          <w:szCs w:val="22"/>
        </w:rPr>
        <w:t xml:space="preserve"> The entrusted international organisation is currently undergoing the ex-ante assessment in accordance with Article 61(1) of Regulation (EU, Euratom) No 966/2012. The Commission’s authorising officer responsible deems that, based on the compliance with the ex-ante assessment based on Regulation (EU, Euratom) No 1605/2002 and long-lasting problem-free cooperation, the international organisation can be entrusted with budget-implementation tasks under indirect management.</w:t>
      </w:r>
    </w:p>
    <w:p w14:paraId="17D2CB3D" w14:textId="759646FC" w:rsidR="00550BA1" w:rsidRPr="00106064" w:rsidRDefault="00550BA1" w:rsidP="004C20DE">
      <w:pPr>
        <w:pStyle w:val="Heading4"/>
        <w:numPr>
          <w:ilvl w:val="3"/>
          <w:numId w:val="28"/>
        </w:numPr>
        <w:tabs>
          <w:tab w:val="clear" w:pos="2760"/>
        </w:tabs>
        <w:spacing w:before="120" w:after="120"/>
        <w:ind w:left="993" w:hanging="993"/>
        <w:jc w:val="both"/>
        <w:rPr>
          <w:sz w:val="22"/>
          <w:szCs w:val="22"/>
        </w:rPr>
      </w:pPr>
      <w:bookmarkStart w:id="25" w:name="_Toc497992288"/>
      <w:r w:rsidRPr="00106064">
        <w:rPr>
          <w:sz w:val="22"/>
          <w:szCs w:val="22"/>
        </w:rPr>
        <w:t>Indirect management with I</w:t>
      </w:r>
      <w:r w:rsidR="004C20DE">
        <w:rPr>
          <w:sz w:val="22"/>
          <w:szCs w:val="22"/>
        </w:rPr>
        <w:t>NTERPOL</w:t>
      </w:r>
      <w:r w:rsidRPr="00106064">
        <w:rPr>
          <w:sz w:val="22"/>
          <w:szCs w:val="22"/>
        </w:rPr>
        <w:t xml:space="preserve"> (for Result 1)</w:t>
      </w:r>
      <w:bookmarkEnd w:id="25"/>
    </w:p>
    <w:p w14:paraId="0CCBAB9F" w14:textId="0D571997" w:rsidR="00550BA1" w:rsidRPr="00106064" w:rsidRDefault="00550BA1" w:rsidP="004C20DE">
      <w:pPr>
        <w:pStyle w:val="Text2"/>
        <w:ind w:left="0"/>
        <w:rPr>
          <w:sz w:val="22"/>
          <w:szCs w:val="22"/>
        </w:rPr>
      </w:pPr>
      <w:r w:rsidRPr="00106064">
        <w:rPr>
          <w:sz w:val="22"/>
          <w:szCs w:val="22"/>
        </w:rPr>
        <w:t>A part of this action may be implemented in indirect management with I</w:t>
      </w:r>
      <w:r w:rsidR="004C20DE">
        <w:rPr>
          <w:sz w:val="22"/>
          <w:szCs w:val="22"/>
        </w:rPr>
        <w:t>NTERPOL</w:t>
      </w:r>
      <w:r w:rsidRPr="00106064">
        <w:rPr>
          <w:sz w:val="22"/>
          <w:szCs w:val="22"/>
        </w:rPr>
        <w:t xml:space="preserve"> in accordance with Article 58(1)(c) of Regulation (EU, Euratom) No 966/2012. This implementation entails activities linked to Result 1 like law enforcement of national/regional authorities and transregional cooperation in close collaboration with UNODC. This implementation is justified because: a) I</w:t>
      </w:r>
      <w:r w:rsidR="004C20DE">
        <w:rPr>
          <w:sz w:val="22"/>
          <w:szCs w:val="22"/>
        </w:rPr>
        <w:t>NTERPOL</w:t>
      </w:r>
      <w:r w:rsidRPr="00106064">
        <w:rPr>
          <w:sz w:val="22"/>
          <w:szCs w:val="22"/>
        </w:rPr>
        <w:t xml:space="preserve"> has the international mandate to assist countries in combatting wildlife crime; b) it built up substantial experience in addressing wildlife crime capacity building needs in Asia, Latin America and Africa; c) and has the confidence and support of the target countries in addressing these issues. </w:t>
      </w:r>
    </w:p>
    <w:p w14:paraId="7C8398AC" w14:textId="77777777" w:rsidR="00550BA1" w:rsidRPr="00106064" w:rsidRDefault="00550BA1" w:rsidP="00550BA1">
      <w:pPr>
        <w:pStyle w:val="Text2"/>
        <w:ind w:left="0"/>
        <w:rPr>
          <w:sz w:val="22"/>
          <w:szCs w:val="22"/>
        </w:rPr>
      </w:pPr>
      <w:r w:rsidRPr="00106064">
        <w:rPr>
          <w:sz w:val="22"/>
          <w:szCs w:val="22"/>
        </w:rPr>
        <w:t xml:space="preserve">The entrusted entity would carry out the following budget-implementation tasks: launch calls for tenders, evaluate tenders proposals, award contracts, act as contracting authority concluding and managing contracts, carrying out payments, recovering moneys due. </w:t>
      </w:r>
    </w:p>
    <w:p w14:paraId="46D7E0D7" w14:textId="5738B889" w:rsidR="00550BA1" w:rsidRDefault="00550BA1" w:rsidP="00A54096">
      <w:pPr>
        <w:tabs>
          <w:tab w:val="left" w:pos="709"/>
        </w:tabs>
        <w:spacing w:before="120"/>
        <w:jc w:val="both"/>
        <w:rPr>
          <w:sz w:val="22"/>
          <w:szCs w:val="22"/>
          <w:lang w:val="en-GB"/>
        </w:rPr>
      </w:pPr>
    </w:p>
    <w:p w14:paraId="360C4FB7" w14:textId="4ECB5400" w:rsidR="00106064" w:rsidRPr="00D345CA" w:rsidRDefault="00106064" w:rsidP="00F051F5">
      <w:pPr>
        <w:pStyle w:val="Heading4"/>
        <w:tabs>
          <w:tab w:val="left" w:pos="709"/>
        </w:tabs>
        <w:spacing w:before="120"/>
        <w:jc w:val="both"/>
        <w:rPr>
          <w:sz w:val="22"/>
          <w:szCs w:val="22"/>
          <w:lang w:val="en-GB"/>
        </w:rPr>
      </w:pPr>
      <w:bookmarkStart w:id="26" w:name="_Toc497992289"/>
      <w:r>
        <w:t>Governance structure of</w:t>
      </w:r>
      <w:r w:rsidR="00D345CA">
        <w:t xml:space="preserve"> the project</w:t>
      </w:r>
      <w:bookmarkEnd w:id="26"/>
    </w:p>
    <w:bookmarkEnd w:id="22"/>
    <w:bookmarkEnd w:id="23"/>
    <w:p w14:paraId="4433F45E" w14:textId="5DD10432" w:rsidR="00D345CA" w:rsidRPr="009C7651" w:rsidRDefault="003C1B0B" w:rsidP="000360F9">
      <w:pPr>
        <w:tabs>
          <w:tab w:val="left" w:pos="709"/>
        </w:tabs>
        <w:spacing w:before="120"/>
        <w:jc w:val="both"/>
        <w:rPr>
          <w:sz w:val="22"/>
          <w:szCs w:val="22"/>
        </w:rPr>
      </w:pPr>
      <w:r w:rsidRPr="00106064">
        <w:rPr>
          <w:sz w:val="22"/>
          <w:szCs w:val="22"/>
          <w:lang w:val="en-GB" w:eastAsia="en-US"/>
        </w:rPr>
        <w:t xml:space="preserve"> </w:t>
      </w:r>
      <w:r w:rsidR="00D345CA" w:rsidRPr="009C7651">
        <w:rPr>
          <w:sz w:val="22"/>
          <w:szCs w:val="22"/>
        </w:rPr>
        <w:t xml:space="preserve">The technical and financial follow-up of the project will be managed by a Steering Committee, supported by the B4Life Facility. This Steering Committee will be composed of the European Commission and ICCWC </w:t>
      </w:r>
      <w:r w:rsidR="000360F9" w:rsidRPr="000360F9">
        <w:rPr>
          <w:sz w:val="22"/>
          <w:szCs w:val="22"/>
        </w:rPr>
        <w:t>Senior Experts Group (SEG)</w:t>
      </w:r>
      <w:r w:rsidR="000360F9">
        <w:rPr>
          <w:rStyle w:val="FootnoteReference"/>
        </w:rPr>
        <w:footnoteReference w:id="13"/>
      </w:r>
      <w:r w:rsidR="00D345CA" w:rsidRPr="009C7651">
        <w:rPr>
          <w:sz w:val="22"/>
          <w:szCs w:val="22"/>
        </w:rPr>
        <w:t>. It will meet every year to review the activities and results achieved and to define the workplan of the next year.</w:t>
      </w:r>
    </w:p>
    <w:p w14:paraId="526AF2E4" w14:textId="0AE662DE" w:rsidR="00D345CA" w:rsidRPr="00D345CA" w:rsidRDefault="00D345CA" w:rsidP="00106064">
      <w:pPr>
        <w:rPr>
          <w:sz w:val="22"/>
          <w:szCs w:val="22"/>
          <w:lang w:eastAsia="en-US"/>
        </w:rPr>
      </w:pPr>
    </w:p>
    <w:p w14:paraId="2846106A" w14:textId="2B18C1FF" w:rsidR="00106064" w:rsidRPr="00106064" w:rsidRDefault="00106064" w:rsidP="00F84CD1">
      <w:pPr>
        <w:rPr>
          <w:sz w:val="22"/>
          <w:szCs w:val="22"/>
          <w:lang w:val="en-GB" w:eastAsia="en-US"/>
        </w:rPr>
      </w:pPr>
      <w:r w:rsidRPr="00106064">
        <w:rPr>
          <w:sz w:val="22"/>
          <w:szCs w:val="22"/>
          <w:lang w:val="en-GB" w:eastAsia="en-US"/>
        </w:rPr>
        <w:t xml:space="preserve">The following timetable and reporting structure is proposed to reflect </w:t>
      </w:r>
      <w:r w:rsidR="00D345CA">
        <w:rPr>
          <w:sz w:val="22"/>
          <w:szCs w:val="22"/>
          <w:lang w:val="en-GB" w:eastAsia="en-US"/>
        </w:rPr>
        <w:t xml:space="preserve">ICCWC </w:t>
      </w:r>
      <w:r w:rsidR="00984E87">
        <w:rPr>
          <w:sz w:val="22"/>
          <w:szCs w:val="22"/>
          <w:lang w:val="en-GB" w:eastAsia="en-US"/>
        </w:rPr>
        <w:t>governance</w:t>
      </w:r>
      <w:r w:rsidR="00F84CD1">
        <w:rPr>
          <w:sz w:val="22"/>
          <w:szCs w:val="22"/>
          <w:lang w:val="en-GB" w:eastAsia="en-US"/>
        </w:rPr>
        <w:t xml:space="preserve"> arrangements</w:t>
      </w:r>
      <w:r w:rsidRPr="00106064">
        <w:rPr>
          <w:sz w:val="22"/>
          <w:szCs w:val="22"/>
          <w:lang w:val="en-GB" w:eastAsia="en-US"/>
        </w:rPr>
        <w:t xml:space="preserve"> to ensure clear timings for all decisions:</w:t>
      </w:r>
    </w:p>
    <w:p w14:paraId="22F087B4" w14:textId="77777777" w:rsidR="00106064" w:rsidRDefault="00106064" w:rsidP="00106064"/>
    <w:p w14:paraId="0092CC07" w14:textId="77777777" w:rsidR="00106064" w:rsidRDefault="00106064" w:rsidP="00106064"/>
    <w:tbl>
      <w:tblPr>
        <w:tblStyle w:val="TableGrid"/>
        <w:tblW w:w="0" w:type="auto"/>
        <w:tblLook w:val="04A0" w:firstRow="1" w:lastRow="0" w:firstColumn="1" w:lastColumn="0" w:noHBand="0" w:noVBand="1"/>
      </w:tblPr>
      <w:tblGrid>
        <w:gridCol w:w="1496"/>
        <w:gridCol w:w="4736"/>
        <w:gridCol w:w="2778"/>
      </w:tblGrid>
      <w:tr w:rsidR="00106064" w:rsidRPr="00106064" w14:paraId="53924776" w14:textId="77777777" w:rsidTr="00106064">
        <w:tc>
          <w:tcPr>
            <w:tcW w:w="1496" w:type="dxa"/>
            <w:shd w:val="clear" w:color="auto" w:fill="365F91" w:themeFill="accent1" w:themeFillShade="BF"/>
          </w:tcPr>
          <w:p w14:paraId="1AA9CE89" w14:textId="77777777" w:rsidR="00106064" w:rsidRPr="00106064" w:rsidRDefault="00106064" w:rsidP="00106064">
            <w:pPr>
              <w:rPr>
                <w:rFonts w:asciiTheme="majorBidi" w:hAnsiTheme="majorBidi" w:cstheme="majorBidi"/>
                <w:color w:val="FFFFFF" w:themeColor="background1"/>
                <w:sz w:val="22"/>
                <w:szCs w:val="22"/>
              </w:rPr>
            </w:pPr>
            <w:r w:rsidRPr="00106064">
              <w:rPr>
                <w:rFonts w:asciiTheme="majorBidi" w:hAnsiTheme="majorBidi" w:cstheme="majorBidi"/>
                <w:color w:val="FFFFFF" w:themeColor="background1"/>
                <w:sz w:val="22"/>
                <w:szCs w:val="22"/>
              </w:rPr>
              <w:t>Annual Timetable</w:t>
            </w:r>
          </w:p>
        </w:tc>
        <w:tc>
          <w:tcPr>
            <w:tcW w:w="4736" w:type="dxa"/>
            <w:shd w:val="clear" w:color="auto" w:fill="365F91" w:themeFill="accent1" w:themeFillShade="BF"/>
          </w:tcPr>
          <w:p w14:paraId="7F6514C4" w14:textId="12EB0B58" w:rsidR="00106064" w:rsidRPr="00106064" w:rsidRDefault="00106064" w:rsidP="00106064">
            <w:pPr>
              <w:rPr>
                <w:rFonts w:asciiTheme="majorBidi" w:hAnsiTheme="majorBidi" w:cstheme="majorBidi"/>
                <w:color w:val="FFFFFF" w:themeColor="background1"/>
                <w:sz w:val="22"/>
                <w:szCs w:val="22"/>
              </w:rPr>
            </w:pPr>
            <w:r w:rsidRPr="00106064">
              <w:rPr>
                <w:rFonts w:asciiTheme="majorBidi" w:hAnsiTheme="majorBidi" w:cstheme="majorBidi"/>
                <w:color w:val="FFFFFF" w:themeColor="background1"/>
                <w:sz w:val="22"/>
                <w:szCs w:val="22"/>
              </w:rPr>
              <w:t>Action by ICCWC Senior Expert Group (SEG) participants</w:t>
            </w:r>
          </w:p>
        </w:tc>
        <w:tc>
          <w:tcPr>
            <w:tcW w:w="2778" w:type="dxa"/>
            <w:shd w:val="clear" w:color="auto" w:fill="365F91" w:themeFill="accent1" w:themeFillShade="BF"/>
          </w:tcPr>
          <w:p w14:paraId="63DA94FB" w14:textId="77777777" w:rsidR="00106064" w:rsidRPr="00106064" w:rsidRDefault="00106064" w:rsidP="00106064">
            <w:pPr>
              <w:rPr>
                <w:rFonts w:asciiTheme="majorBidi" w:hAnsiTheme="majorBidi" w:cstheme="majorBidi"/>
                <w:color w:val="FFFFFF" w:themeColor="background1"/>
                <w:sz w:val="22"/>
                <w:szCs w:val="22"/>
              </w:rPr>
            </w:pPr>
            <w:r w:rsidRPr="00106064">
              <w:rPr>
                <w:rFonts w:asciiTheme="majorBidi" w:hAnsiTheme="majorBidi" w:cstheme="majorBidi"/>
                <w:color w:val="FFFFFF" w:themeColor="background1"/>
                <w:sz w:val="22"/>
                <w:szCs w:val="22"/>
              </w:rPr>
              <w:t>Governance implications</w:t>
            </w:r>
          </w:p>
        </w:tc>
      </w:tr>
      <w:tr w:rsidR="00106064" w:rsidRPr="00106064" w14:paraId="6A21F5A3" w14:textId="77777777" w:rsidTr="00106064">
        <w:trPr>
          <w:trHeight w:val="1241"/>
        </w:trPr>
        <w:tc>
          <w:tcPr>
            <w:tcW w:w="1496" w:type="dxa"/>
            <w:vAlign w:val="center"/>
          </w:tcPr>
          <w:p w14:paraId="2DCC5163" w14:textId="369AD7FE" w:rsidR="00106064" w:rsidRPr="00106064" w:rsidRDefault="000360F9" w:rsidP="00106064">
            <w:pPr>
              <w:jc w:val="center"/>
              <w:rPr>
                <w:rFonts w:asciiTheme="majorBidi" w:hAnsiTheme="majorBidi" w:cstheme="majorBidi"/>
                <w:sz w:val="22"/>
                <w:szCs w:val="22"/>
              </w:rPr>
            </w:pPr>
            <w:r>
              <w:rPr>
                <w:rFonts w:asciiTheme="majorBidi" w:hAnsiTheme="majorBidi" w:cstheme="majorBidi"/>
                <w:sz w:val="22"/>
                <w:szCs w:val="22"/>
              </w:rPr>
              <w:t xml:space="preserve">August </w:t>
            </w:r>
            <w:r w:rsidR="00106064" w:rsidRPr="00106064">
              <w:rPr>
                <w:rFonts w:asciiTheme="majorBidi" w:hAnsiTheme="majorBidi" w:cstheme="majorBidi"/>
                <w:sz w:val="22"/>
                <w:szCs w:val="22"/>
              </w:rPr>
              <w:t>SEG</w:t>
            </w:r>
          </w:p>
          <w:p w14:paraId="125AFC70" w14:textId="208B22CD"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Meeting</w:t>
            </w:r>
            <w:r w:rsidR="000360F9">
              <w:rPr>
                <w:rFonts w:asciiTheme="majorBidi" w:hAnsiTheme="majorBidi" w:cstheme="majorBidi"/>
                <w:sz w:val="22"/>
                <w:szCs w:val="22"/>
              </w:rPr>
              <w:t xml:space="preserve"> and Sept / Oct SEG Conference calls</w:t>
            </w:r>
          </w:p>
        </w:tc>
        <w:tc>
          <w:tcPr>
            <w:tcW w:w="4736" w:type="dxa"/>
          </w:tcPr>
          <w:p w14:paraId="47931460" w14:textId="4B8FC17E" w:rsidR="00106064" w:rsidRPr="00106064" w:rsidRDefault="00106064" w:rsidP="00A33871">
            <w:pPr>
              <w:pStyle w:val="ListParagraph"/>
              <w:numPr>
                <w:ilvl w:val="0"/>
                <w:numId w:val="39"/>
              </w:numPr>
              <w:spacing w:after="0" w:line="240" w:lineRule="auto"/>
              <w:rPr>
                <w:rFonts w:asciiTheme="majorBidi" w:hAnsiTheme="majorBidi" w:cstheme="majorBidi"/>
              </w:rPr>
            </w:pPr>
            <w:r w:rsidRPr="00106064">
              <w:rPr>
                <w:rFonts w:asciiTheme="majorBidi" w:hAnsiTheme="majorBidi" w:cstheme="majorBidi"/>
              </w:rPr>
              <w:t>All changes to the Strategic Programme</w:t>
            </w:r>
            <w:r>
              <w:rPr>
                <w:rFonts w:asciiTheme="majorBidi" w:hAnsiTheme="majorBidi" w:cstheme="majorBidi"/>
              </w:rPr>
              <w:t>/EU Action</w:t>
            </w:r>
            <w:r w:rsidRPr="00106064">
              <w:rPr>
                <w:rFonts w:asciiTheme="majorBidi" w:hAnsiTheme="majorBidi" w:cstheme="majorBidi"/>
              </w:rPr>
              <w:t xml:space="preserve"> identified for following year</w:t>
            </w:r>
          </w:p>
          <w:p w14:paraId="70818FD9" w14:textId="77777777" w:rsidR="00106064" w:rsidRPr="00106064" w:rsidRDefault="00106064" w:rsidP="00A33871">
            <w:pPr>
              <w:pStyle w:val="ListParagraph"/>
              <w:numPr>
                <w:ilvl w:val="0"/>
                <w:numId w:val="39"/>
              </w:numPr>
              <w:spacing w:after="0" w:line="240" w:lineRule="auto"/>
              <w:rPr>
                <w:rFonts w:asciiTheme="majorBidi" w:hAnsiTheme="majorBidi" w:cstheme="majorBidi"/>
              </w:rPr>
            </w:pPr>
            <w:r w:rsidRPr="00106064">
              <w:rPr>
                <w:rFonts w:asciiTheme="majorBidi" w:hAnsiTheme="majorBidi" w:cstheme="majorBidi"/>
              </w:rPr>
              <w:t>Draft ICCWC Annual Project Plan to be discussed, including on possible priorities for following calendar year’s work</w:t>
            </w:r>
          </w:p>
          <w:p w14:paraId="35786408" w14:textId="250304CF" w:rsidR="00106064" w:rsidRPr="00106064" w:rsidRDefault="00106064" w:rsidP="00A33871">
            <w:pPr>
              <w:pStyle w:val="ListParagraph"/>
              <w:numPr>
                <w:ilvl w:val="0"/>
                <w:numId w:val="39"/>
              </w:numPr>
              <w:spacing w:after="0" w:line="240" w:lineRule="auto"/>
              <w:rPr>
                <w:rFonts w:asciiTheme="majorBidi" w:hAnsiTheme="majorBidi" w:cstheme="majorBidi"/>
              </w:rPr>
            </w:pPr>
            <w:r w:rsidRPr="00106064">
              <w:rPr>
                <w:rFonts w:asciiTheme="majorBidi" w:hAnsiTheme="majorBidi" w:cstheme="majorBidi"/>
              </w:rPr>
              <w:t>Financial implications of planned work discussed.</w:t>
            </w:r>
          </w:p>
          <w:p w14:paraId="2A265A93" w14:textId="77777777" w:rsidR="00106064" w:rsidRDefault="00106064" w:rsidP="00A33871">
            <w:pPr>
              <w:pStyle w:val="ListParagraph"/>
              <w:numPr>
                <w:ilvl w:val="0"/>
                <w:numId w:val="39"/>
              </w:numPr>
              <w:spacing w:after="0" w:line="240" w:lineRule="auto"/>
              <w:rPr>
                <w:rFonts w:asciiTheme="majorBidi" w:hAnsiTheme="majorBidi" w:cstheme="majorBidi"/>
              </w:rPr>
            </w:pPr>
            <w:r w:rsidRPr="00106064">
              <w:rPr>
                <w:rFonts w:asciiTheme="majorBidi" w:hAnsiTheme="majorBidi" w:cstheme="majorBidi"/>
              </w:rPr>
              <w:t>Other SEG business</w:t>
            </w:r>
          </w:p>
          <w:p w14:paraId="60A1DD2D" w14:textId="77777777" w:rsidR="00106064" w:rsidRDefault="00106064" w:rsidP="00106064">
            <w:pPr>
              <w:rPr>
                <w:rFonts w:asciiTheme="majorBidi" w:hAnsiTheme="majorBidi" w:cstheme="majorBidi"/>
              </w:rPr>
            </w:pPr>
          </w:p>
          <w:p w14:paraId="66A24578" w14:textId="706FAEE6" w:rsidR="00106064" w:rsidRPr="00106064" w:rsidRDefault="00106064" w:rsidP="00106064">
            <w:pPr>
              <w:rPr>
                <w:rFonts w:asciiTheme="majorBidi" w:hAnsiTheme="majorBidi" w:cstheme="majorBidi"/>
                <w:sz w:val="22"/>
                <w:szCs w:val="22"/>
              </w:rPr>
            </w:pPr>
            <w:r w:rsidRPr="00106064">
              <w:rPr>
                <w:rFonts w:asciiTheme="majorBidi" w:hAnsiTheme="majorBidi" w:cstheme="majorBidi"/>
                <w:sz w:val="22"/>
                <w:szCs w:val="22"/>
              </w:rPr>
              <w:t>ICCWC DONOR SESSION (open to EU and other donors)</w:t>
            </w:r>
          </w:p>
        </w:tc>
        <w:tc>
          <w:tcPr>
            <w:tcW w:w="2778" w:type="dxa"/>
            <w:vAlign w:val="center"/>
          </w:tcPr>
          <w:p w14:paraId="7A500021"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 xml:space="preserve">ICCWC SEG </w:t>
            </w:r>
          </w:p>
        </w:tc>
      </w:tr>
      <w:tr w:rsidR="00106064" w:rsidRPr="00106064" w14:paraId="194FC2E2" w14:textId="77777777" w:rsidTr="00106064">
        <w:tc>
          <w:tcPr>
            <w:tcW w:w="1496" w:type="dxa"/>
            <w:vAlign w:val="center"/>
          </w:tcPr>
          <w:p w14:paraId="33D94D9A" w14:textId="18792873" w:rsidR="00106064" w:rsidRPr="00106064" w:rsidRDefault="00106064" w:rsidP="00106064">
            <w:pPr>
              <w:jc w:val="center"/>
              <w:rPr>
                <w:rFonts w:asciiTheme="majorBidi" w:hAnsiTheme="majorBidi" w:cstheme="majorBidi"/>
                <w:sz w:val="22"/>
                <w:szCs w:val="22"/>
              </w:rPr>
            </w:pPr>
            <w:r>
              <w:rPr>
                <w:rFonts w:asciiTheme="majorBidi" w:hAnsiTheme="majorBidi" w:cstheme="majorBidi"/>
                <w:sz w:val="22"/>
                <w:szCs w:val="22"/>
              </w:rPr>
              <w:t>November- December</w:t>
            </w:r>
          </w:p>
        </w:tc>
        <w:tc>
          <w:tcPr>
            <w:tcW w:w="4736" w:type="dxa"/>
          </w:tcPr>
          <w:p w14:paraId="3282C930" w14:textId="1B248EA1" w:rsidR="00106064" w:rsidRPr="00106064" w:rsidRDefault="00106064" w:rsidP="00A33871">
            <w:pPr>
              <w:pStyle w:val="ListParagraph"/>
              <w:numPr>
                <w:ilvl w:val="0"/>
                <w:numId w:val="40"/>
              </w:numPr>
              <w:spacing w:after="0" w:line="240" w:lineRule="auto"/>
              <w:rPr>
                <w:rFonts w:asciiTheme="majorBidi" w:hAnsiTheme="majorBidi" w:cstheme="majorBidi"/>
              </w:rPr>
            </w:pPr>
            <w:r>
              <w:rPr>
                <w:rFonts w:asciiTheme="majorBidi" w:hAnsiTheme="majorBidi" w:cstheme="majorBidi"/>
              </w:rPr>
              <w:t>At least 2 SEG conference calls to discuss the workplans and priorities for the following year</w:t>
            </w:r>
          </w:p>
        </w:tc>
        <w:tc>
          <w:tcPr>
            <w:tcW w:w="2778" w:type="dxa"/>
            <w:vAlign w:val="center"/>
          </w:tcPr>
          <w:p w14:paraId="5E6D11C6" w14:textId="2FC85D54"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ICCWC SEG</w:t>
            </w:r>
          </w:p>
        </w:tc>
      </w:tr>
      <w:tr w:rsidR="00106064" w:rsidRPr="00106064" w14:paraId="5BDBB0D0" w14:textId="77777777" w:rsidTr="00106064">
        <w:trPr>
          <w:trHeight w:val="1527"/>
        </w:trPr>
        <w:tc>
          <w:tcPr>
            <w:tcW w:w="1496" w:type="dxa"/>
            <w:vAlign w:val="center"/>
          </w:tcPr>
          <w:p w14:paraId="23F4056F"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January SEG</w:t>
            </w:r>
          </w:p>
          <w:p w14:paraId="6381490A"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Meeting</w:t>
            </w:r>
          </w:p>
        </w:tc>
        <w:tc>
          <w:tcPr>
            <w:tcW w:w="4736" w:type="dxa"/>
          </w:tcPr>
          <w:p w14:paraId="71DBFD0A" w14:textId="77777777" w:rsidR="00106064" w:rsidRPr="00106064" w:rsidRDefault="00106064" w:rsidP="00A33871">
            <w:pPr>
              <w:pStyle w:val="ListParagraph"/>
              <w:numPr>
                <w:ilvl w:val="0"/>
                <w:numId w:val="40"/>
              </w:numPr>
              <w:spacing w:after="0" w:line="240" w:lineRule="auto"/>
              <w:rPr>
                <w:rFonts w:asciiTheme="majorBidi" w:hAnsiTheme="majorBidi" w:cstheme="majorBidi"/>
              </w:rPr>
            </w:pPr>
            <w:r w:rsidRPr="00106064">
              <w:rPr>
                <w:rFonts w:asciiTheme="majorBidi" w:hAnsiTheme="majorBidi" w:cstheme="majorBidi"/>
              </w:rPr>
              <w:t>ICCWC Annual Project Plan agreed and signed off, including budget allocations</w:t>
            </w:r>
          </w:p>
          <w:p w14:paraId="1F8764DE" w14:textId="58737A5C" w:rsidR="00106064" w:rsidRPr="00106064" w:rsidRDefault="00106064" w:rsidP="00A33871">
            <w:pPr>
              <w:pStyle w:val="ListParagraph"/>
              <w:numPr>
                <w:ilvl w:val="0"/>
                <w:numId w:val="40"/>
              </w:numPr>
              <w:spacing w:after="0" w:line="240" w:lineRule="auto"/>
              <w:rPr>
                <w:rFonts w:asciiTheme="majorBidi" w:hAnsiTheme="majorBidi" w:cstheme="majorBidi"/>
              </w:rPr>
            </w:pPr>
            <w:r>
              <w:rPr>
                <w:rFonts w:asciiTheme="majorBidi" w:hAnsiTheme="majorBidi" w:cstheme="majorBidi"/>
              </w:rPr>
              <w:t xml:space="preserve">Funds </w:t>
            </w:r>
            <w:r w:rsidRPr="00106064">
              <w:rPr>
                <w:rFonts w:asciiTheme="majorBidi" w:hAnsiTheme="majorBidi" w:cstheme="majorBidi"/>
              </w:rPr>
              <w:t xml:space="preserve">release agreed to partners, once donor funding is available. </w:t>
            </w:r>
          </w:p>
          <w:p w14:paraId="2D0EC167" w14:textId="77777777" w:rsidR="00106064" w:rsidRDefault="00106064" w:rsidP="00A33871">
            <w:pPr>
              <w:pStyle w:val="ListParagraph"/>
              <w:numPr>
                <w:ilvl w:val="0"/>
                <w:numId w:val="40"/>
              </w:numPr>
              <w:spacing w:after="0" w:line="240" w:lineRule="auto"/>
              <w:rPr>
                <w:rFonts w:asciiTheme="majorBidi" w:hAnsiTheme="majorBidi" w:cstheme="majorBidi"/>
              </w:rPr>
            </w:pPr>
            <w:r w:rsidRPr="00106064">
              <w:rPr>
                <w:rFonts w:asciiTheme="majorBidi" w:hAnsiTheme="majorBidi" w:cstheme="majorBidi"/>
              </w:rPr>
              <w:t>Other SEG business.</w:t>
            </w:r>
          </w:p>
          <w:p w14:paraId="03FAF4FD" w14:textId="77777777" w:rsidR="00106064" w:rsidRDefault="00106064" w:rsidP="00106064">
            <w:pPr>
              <w:rPr>
                <w:rFonts w:asciiTheme="majorBidi" w:hAnsiTheme="majorBidi" w:cstheme="majorBidi"/>
                <w:sz w:val="22"/>
                <w:szCs w:val="22"/>
              </w:rPr>
            </w:pPr>
          </w:p>
          <w:p w14:paraId="2835526C" w14:textId="6BC87344" w:rsidR="00106064" w:rsidRPr="00106064" w:rsidRDefault="00106064" w:rsidP="00106064">
            <w:pPr>
              <w:rPr>
                <w:rFonts w:asciiTheme="majorBidi" w:hAnsiTheme="majorBidi" w:cstheme="majorBidi"/>
              </w:rPr>
            </w:pPr>
            <w:r w:rsidRPr="00106064">
              <w:rPr>
                <w:rFonts w:asciiTheme="majorBidi" w:hAnsiTheme="majorBidi" w:cstheme="majorBidi"/>
                <w:sz w:val="22"/>
                <w:szCs w:val="22"/>
              </w:rPr>
              <w:t>ICCWC DONOR SESSION (open to EU and other donors)</w:t>
            </w:r>
          </w:p>
        </w:tc>
        <w:tc>
          <w:tcPr>
            <w:tcW w:w="2778" w:type="dxa"/>
            <w:vAlign w:val="center"/>
          </w:tcPr>
          <w:p w14:paraId="20A7AE70"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ICCWC SEG</w:t>
            </w:r>
          </w:p>
        </w:tc>
      </w:tr>
      <w:tr w:rsidR="00106064" w:rsidRPr="00106064" w14:paraId="05660B92" w14:textId="77777777" w:rsidTr="00106064">
        <w:tc>
          <w:tcPr>
            <w:tcW w:w="1496" w:type="dxa"/>
            <w:vAlign w:val="center"/>
          </w:tcPr>
          <w:p w14:paraId="161B0943"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April SEG</w:t>
            </w:r>
          </w:p>
          <w:p w14:paraId="263EFFD2"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Meeting</w:t>
            </w:r>
          </w:p>
        </w:tc>
        <w:tc>
          <w:tcPr>
            <w:tcW w:w="4736" w:type="dxa"/>
          </w:tcPr>
          <w:p w14:paraId="59E8E2C5" w14:textId="77777777" w:rsidR="00106064" w:rsidRPr="00106064" w:rsidRDefault="00106064" w:rsidP="00A33871">
            <w:pPr>
              <w:pStyle w:val="ListParagraph"/>
              <w:numPr>
                <w:ilvl w:val="0"/>
                <w:numId w:val="42"/>
              </w:numPr>
              <w:spacing w:after="0" w:line="240" w:lineRule="auto"/>
              <w:rPr>
                <w:rFonts w:asciiTheme="majorBidi" w:hAnsiTheme="majorBidi" w:cstheme="majorBidi"/>
              </w:rPr>
            </w:pPr>
            <w:r w:rsidRPr="00106064">
              <w:rPr>
                <w:rFonts w:asciiTheme="majorBidi" w:hAnsiTheme="majorBidi" w:cstheme="majorBidi"/>
              </w:rPr>
              <w:t>ICCWC Annual Report, including narrative of activities delivered and results achieved in previous calendar year, as well as financial spend; Report to be agreed and signed off (then distributed to donors in May).</w:t>
            </w:r>
          </w:p>
          <w:p w14:paraId="56508458" w14:textId="77777777" w:rsidR="00106064" w:rsidRPr="00106064" w:rsidRDefault="00106064" w:rsidP="00A33871">
            <w:pPr>
              <w:pStyle w:val="ListParagraph"/>
              <w:numPr>
                <w:ilvl w:val="0"/>
                <w:numId w:val="42"/>
              </w:numPr>
              <w:spacing w:after="0" w:line="240" w:lineRule="auto"/>
              <w:rPr>
                <w:rFonts w:asciiTheme="majorBidi" w:hAnsiTheme="majorBidi" w:cstheme="majorBidi"/>
              </w:rPr>
            </w:pPr>
            <w:r w:rsidRPr="00106064">
              <w:rPr>
                <w:rFonts w:asciiTheme="majorBidi" w:hAnsiTheme="majorBidi" w:cstheme="majorBidi"/>
              </w:rPr>
              <w:t>Other SEG business</w:t>
            </w:r>
          </w:p>
        </w:tc>
        <w:tc>
          <w:tcPr>
            <w:tcW w:w="2778" w:type="dxa"/>
            <w:vAlign w:val="center"/>
          </w:tcPr>
          <w:p w14:paraId="69F20992"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ICCWC SEG</w:t>
            </w:r>
          </w:p>
        </w:tc>
      </w:tr>
      <w:tr w:rsidR="00106064" w:rsidRPr="00106064" w14:paraId="6EF1D9B5" w14:textId="77777777" w:rsidTr="00106064">
        <w:tc>
          <w:tcPr>
            <w:tcW w:w="1496" w:type="dxa"/>
          </w:tcPr>
          <w:p w14:paraId="36D6983C"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June/July SEG</w:t>
            </w:r>
          </w:p>
          <w:p w14:paraId="619B187A"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Meeting</w:t>
            </w:r>
          </w:p>
        </w:tc>
        <w:tc>
          <w:tcPr>
            <w:tcW w:w="4736" w:type="dxa"/>
          </w:tcPr>
          <w:p w14:paraId="1606E2A1" w14:textId="77777777" w:rsidR="00106064" w:rsidRPr="00106064" w:rsidRDefault="00106064" w:rsidP="00A33871">
            <w:pPr>
              <w:pStyle w:val="ListParagraph"/>
              <w:numPr>
                <w:ilvl w:val="0"/>
                <w:numId w:val="41"/>
              </w:numPr>
              <w:spacing w:after="0" w:line="240" w:lineRule="auto"/>
              <w:rPr>
                <w:rFonts w:asciiTheme="majorBidi" w:hAnsiTheme="majorBidi" w:cstheme="majorBidi"/>
              </w:rPr>
            </w:pPr>
            <w:r w:rsidRPr="00106064">
              <w:rPr>
                <w:rFonts w:asciiTheme="majorBidi" w:hAnsiTheme="majorBidi" w:cstheme="majorBidi"/>
              </w:rPr>
              <w:t>Normal SEG business.</w:t>
            </w:r>
          </w:p>
        </w:tc>
        <w:tc>
          <w:tcPr>
            <w:tcW w:w="2778" w:type="dxa"/>
            <w:vAlign w:val="center"/>
          </w:tcPr>
          <w:p w14:paraId="2130F9F4"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ICCWC SEG</w:t>
            </w:r>
          </w:p>
        </w:tc>
      </w:tr>
      <w:tr w:rsidR="00106064" w:rsidRPr="00106064" w14:paraId="297BE198" w14:textId="77777777" w:rsidTr="00106064">
        <w:tc>
          <w:tcPr>
            <w:tcW w:w="1496" w:type="dxa"/>
          </w:tcPr>
          <w:p w14:paraId="4F39ED50" w14:textId="77777777" w:rsidR="00106064" w:rsidRPr="00106064" w:rsidRDefault="00106064" w:rsidP="00106064">
            <w:pPr>
              <w:rPr>
                <w:rFonts w:asciiTheme="majorBidi" w:hAnsiTheme="majorBidi" w:cstheme="majorBidi"/>
                <w:sz w:val="22"/>
                <w:szCs w:val="22"/>
              </w:rPr>
            </w:pPr>
            <w:r w:rsidRPr="00106064">
              <w:rPr>
                <w:rFonts w:asciiTheme="majorBidi" w:hAnsiTheme="majorBidi" w:cstheme="majorBidi"/>
                <w:sz w:val="22"/>
                <w:szCs w:val="22"/>
              </w:rPr>
              <w:t>Ongoing at SEG meetings</w:t>
            </w:r>
          </w:p>
        </w:tc>
        <w:tc>
          <w:tcPr>
            <w:tcW w:w="4736" w:type="dxa"/>
            <w:vAlign w:val="center"/>
          </w:tcPr>
          <w:p w14:paraId="7C51F9F0" w14:textId="6C3FCBA6" w:rsidR="00106064" w:rsidRPr="00106064" w:rsidRDefault="00106064" w:rsidP="00106064">
            <w:pPr>
              <w:rPr>
                <w:rFonts w:asciiTheme="majorBidi" w:hAnsiTheme="majorBidi" w:cstheme="majorBidi"/>
                <w:sz w:val="22"/>
                <w:szCs w:val="22"/>
              </w:rPr>
            </w:pPr>
            <w:r w:rsidRPr="00106064">
              <w:rPr>
                <w:rFonts w:asciiTheme="majorBidi" w:hAnsiTheme="majorBidi" w:cstheme="majorBidi"/>
                <w:sz w:val="22"/>
                <w:szCs w:val="22"/>
              </w:rPr>
              <w:t>Changes to the Strategic Programme</w:t>
            </w:r>
            <w:r>
              <w:rPr>
                <w:rFonts w:asciiTheme="majorBidi" w:hAnsiTheme="majorBidi" w:cstheme="majorBidi"/>
                <w:sz w:val="22"/>
                <w:szCs w:val="22"/>
              </w:rPr>
              <w:t>/Action plan</w:t>
            </w:r>
            <w:r w:rsidRPr="00106064">
              <w:rPr>
                <w:rFonts w:asciiTheme="majorBidi" w:hAnsiTheme="majorBidi" w:cstheme="majorBidi"/>
                <w:sz w:val="22"/>
                <w:szCs w:val="22"/>
              </w:rPr>
              <w:t xml:space="preserve"> and any in-year funding allocations, identified due to external events or in-year changes.</w:t>
            </w:r>
          </w:p>
        </w:tc>
        <w:tc>
          <w:tcPr>
            <w:tcW w:w="2778" w:type="dxa"/>
            <w:vAlign w:val="center"/>
          </w:tcPr>
          <w:p w14:paraId="6FEE7142" w14:textId="77777777" w:rsidR="00106064" w:rsidRPr="00106064" w:rsidRDefault="00106064" w:rsidP="00106064">
            <w:pPr>
              <w:jc w:val="center"/>
              <w:rPr>
                <w:rFonts w:asciiTheme="majorBidi" w:hAnsiTheme="majorBidi" w:cstheme="majorBidi"/>
                <w:sz w:val="22"/>
                <w:szCs w:val="22"/>
              </w:rPr>
            </w:pPr>
            <w:r w:rsidRPr="00106064">
              <w:rPr>
                <w:rFonts w:asciiTheme="majorBidi" w:hAnsiTheme="majorBidi" w:cstheme="majorBidi"/>
                <w:sz w:val="22"/>
                <w:szCs w:val="22"/>
              </w:rPr>
              <w:t>ICCWC SEG</w:t>
            </w:r>
          </w:p>
        </w:tc>
      </w:tr>
    </w:tbl>
    <w:p w14:paraId="105F45D2" w14:textId="55546DFA" w:rsidR="003C1B0B" w:rsidRDefault="003C1B0B" w:rsidP="003C1B0B">
      <w:pPr>
        <w:tabs>
          <w:tab w:val="left" w:pos="709"/>
        </w:tabs>
        <w:spacing w:before="120"/>
        <w:jc w:val="both"/>
        <w:rPr>
          <w:sz w:val="22"/>
          <w:szCs w:val="22"/>
        </w:rPr>
      </w:pPr>
    </w:p>
    <w:p w14:paraId="298945DC" w14:textId="77777777" w:rsidR="009C7651" w:rsidRPr="00E2744D" w:rsidRDefault="009C7651" w:rsidP="003C1B0B">
      <w:pPr>
        <w:tabs>
          <w:tab w:val="left" w:pos="709"/>
        </w:tabs>
        <w:spacing w:before="120"/>
        <w:jc w:val="both"/>
        <w:rPr>
          <w:sz w:val="22"/>
          <w:szCs w:val="22"/>
        </w:rPr>
      </w:pPr>
    </w:p>
    <w:p w14:paraId="78748234" w14:textId="6CCE1D01" w:rsidR="00106064" w:rsidRPr="00E2744D" w:rsidRDefault="00106064" w:rsidP="00106064">
      <w:pPr>
        <w:pStyle w:val="Heading4"/>
      </w:pPr>
      <w:bookmarkStart w:id="27" w:name="_Toc497992290"/>
      <w:r>
        <w:t>Staff implementation of the programme</w:t>
      </w:r>
      <w:bookmarkEnd w:id="27"/>
    </w:p>
    <w:p w14:paraId="4F47B1BE" w14:textId="6D5CFF57" w:rsidR="00106064" w:rsidRPr="00106064" w:rsidRDefault="00106064" w:rsidP="000360F9">
      <w:pPr>
        <w:tabs>
          <w:tab w:val="left" w:pos="709"/>
        </w:tabs>
        <w:spacing w:before="120"/>
        <w:jc w:val="both"/>
        <w:rPr>
          <w:sz w:val="22"/>
          <w:szCs w:val="22"/>
        </w:rPr>
      </w:pPr>
      <w:r w:rsidRPr="00106064">
        <w:rPr>
          <w:sz w:val="22"/>
          <w:szCs w:val="22"/>
        </w:rPr>
        <w:t xml:space="preserve">ICCWC ‘s Strategic Programme </w:t>
      </w:r>
      <w:r>
        <w:rPr>
          <w:sz w:val="22"/>
          <w:szCs w:val="22"/>
        </w:rPr>
        <w:t xml:space="preserve">and the current project will be </w:t>
      </w:r>
      <w:r w:rsidRPr="00106064">
        <w:rPr>
          <w:sz w:val="22"/>
          <w:szCs w:val="22"/>
        </w:rPr>
        <w:t xml:space="preserve">largely delivered by staff within the five partner bodies whose expertise is mobilised to fight </w:t>
      </w:r>
      <w:r>
        <w:rPr>
          <w:sz w:val="22"/>
          <w:szCs w:val="22"/>
        </w:rPr>
        <w:t>WLFC</w:t>
      </w:r>
      <w:r w:rsidRPr="00106064">
        <w:rPr>
          <w:sz w:val="22"/>
          <w:szCs w:val="22"/>
        </w:rPr>
        <w:t xml:space="preserve"> across the globe.  In addition, funding</w:t>
      </w:r>
      <w:r>
        <w:rPr>
          <w:sz w:val="22"/>
          <w:szCs w:val="22"/>
        </w:rPr>
        <w:t xml:space="preserve"> will be</w:t>
      </w:r>
      <w:r w:rsidRPr="00106064">
        <w:rPr>
          <w:sz w:val="22"/>
          <w:szCs w:val="22"/>
        </w:rPr>
        <w:t xml:space="preserve"> used to contract experts to deliver training on the ground, where needed. Donor funding</w:t>
      </w:r>
      <w:r>
        <w:rPr>
          <w:sz w:val="22"/>
          <w:szCs w:val="22"/>
        </w:rPr>
        <w:t xml:space="preserve"> will</w:t>
      </w:r>
      <w:r w:rsidRPr="00106064">
        <w:rPr>
          <w:sz w:val="22"/>
          <w:szCs w:val="22"/>
        </w:rPr>
        <w:t xml:space="preserve"> also </w:t>
      </w:r>
      <w:r w:rsidR="000360F9">
        <w:rPr>
          <w:sz w:val="22"/>
          <w:szCs w:val="22"/>
        </w:rPr>
        <w:t xml:space="preserve">be </w:t>
      </w:r>
      <w:r w:rsidRPr="00106064">
        <w:rPr>
          <w:sz w:val="22"/>
          <w:szCs w:val="22"/>
        </w:rPr>
        <w:t>used to fund the ICCWC secretariat, as</w:t>
      </w:r>
      <w:r>
        <w:rPr>
          <w:sz w:val="22"/>
          <w:szCs w:val="22"/>
        </w:rPr>
        <w:t xml:space="preserve"> part of the CITES </w:t>
      </w:r>
      <w:r w:rsidR="000360F9">
        <w:rPr>
          <w:sz w:val="22"/>
          <w:szCs w:val="22"/>
        </w:rPr>
        <w:t>S</w:t>
      </w:r>
      <w:r>
        <w:rPr>
          <w:sz w:val="22"/>
          <w:szCs w:val="22"/>
        </w:rPr>
        <w:t>ecretariat, co-shared between several donors</w:t>
      </w:r>
      <w:r w:rsidR="000360F9">
        <w:rPr>
          <w:sz w:val="22"/>
          <w:szCs w:val="22"/>
        </w:rPr>
        <w:t>.</w:t>
      </w:r>
    </w:p>
    <w:p w14:paraId="0C7AA93B" w14:textId="77777777" w:rsidR="00106064" w:rsidRPr="00106064" w:rsidRDefault="00106064" w:rsidP="00106064">
      <w:pPr>
        <w:tabs>
          <w:tab w:val="left" w:pos="709"/>
        </w:tabs>
        <w:spacing w:before="120"/>
        <w:jc w:val="both"/>
        <w:rPr>
          <w:sz w:val="22"/>
          <w:szCs w:val="22"/>
        </w:rPr>
      </w:pPr>
    </w:p>
    <w:p w14:paraId="58BB02CA" w14:textId="64408564" w:rsidR="00106064" w:rsidRDefault="00106064" w:rsidP="00106064">
      <w:pPr>
        <w:tabs>
          <w:tab w:val="left" w:pos="709"/>
        </w:tabs>
        <w:spacing w:before="120"/>
        <w:jc w:val="both"/>
        <w:rPr>
          <w:sz w:val="22"/>
          <w:szCs w:val="22"/>
        </w:rPr>
      </w:pPr>
      <w:r w:rsidRPr="00106064">
        <w:rPr>
          <w:sz w:val="22"/>
          <w:szCs w:val="22"/>
        </w:rPr>
        <w:t>The increase in donor funding from 2017 onwards will mean that some further support staff will be needed in each delivery partner to manage the significantly increased programme of work.  The partner bodies anticipate that the following new staff will be required to deliver at the higher level of output and to ensure the use of funding is well coordinated and delivers good value for money:</w:t>
      </w:r>
    </w:p>
    <w:p w14:paraId="1A4A2C57" w14:textId="77777777" w:rsidR="00106064" w:rsidRPr="00106064" w:rsidRDefault="00106064" w:rsidP="00106064">
      <w:pPr>
        <w:tabs>
          <w:tab w:val="left" w:pos="709"/>
        </w:tabs>
        <w:spacing w:before="120"/>
        <w:jc w:val="both"/>
        <w:rPr>
          <w:sz w:val="22"/>
          <w:szCs w:val="22"/>
        </w:rPr>
      </w:pPr>
    </w:p>
    <w:tbl>
      <w:tblPr>
        <w:tblStyle w:val="TableGrid"/>
        <w:tblW w:w="0" w:type="auto"/>
        <w:tblLook w:val="04A0" w:firstRow="1" w:lastRow="0" w:firstColumn="1" w:lastColumn="0" w:noHBand="0" w:noVBand="1"/>
      </w:tblPr>
      <w:tblGrid>
        <w:gridCol w:w="1495"/>
        <w:gridCol w:w="4318"/>
      </w:tblGrid>
      <w:tr w:rsidR="00347733" w:rsidRPr="00106064" w14:paraId="7393237F" w14:textId="77777777" w:rsidTr="00106064">
        <w:tc>
          <w:tcPr>
            <w:tcW w:w="1495" w:type="dxa"/>
            <w:shd w:val="clear" w:color="auto" w:fill="365F91" w:themeFill="accent1" w:themeFillShade="BF"/>
          </w:tcPr>
          <w:p w14:paraId="2C2DA339" w14:textId="77777777" w:rsidR="00347733" w:rsidRPr="00106064" w:rsidRDefault="00347733" w:rsidP="00106064">
            <w:pPr>
              <w:jc w:val="center"/>
              <w:rPr>
                <w:color w:val="FFFFFF" w:themeColor="background1"/>
                <w:sz w:val="22"/>
                <w:szCs w:val="22"/>
              </w:rPr>
            </w:pPr>
            <w:r w:rsidRPr="00106064">
              <w:rPr>
                <w:color w:val="FFFFFF" w:themeColor="background1"/>
                <w:sz w:val="22"/>
                <w:szCs w:val="22"/>
              </w:rPr>
              <w:t>ICCWC partner body</w:t>
            </w:r>
          </w:p>
        </w:tc>
        <w:tc>
          <w:tcPr>
            <w:tcW w:w="4318" w:type="dxa"/>
            <w:shd w:val="clear" w:color="auto" w:fill="365F91" w:themeFill="accent1" w:themeFillShade="BF"/>
          </w:tcPr>
          <w:p w14:paraId="6DDB7C39" w14:textId="77777777" w:rsidR="00347733" w:rsidRPr="00106064" w:rsidRDefault="00347733" w:rsidP="00106064">
            <w:pPr>
              <w:jc w:val="center"/>
              <w:rPr>
                <w:color w:val="FFFFFF" w:themeColor="background1"/>
                <w:sz w:val="22"/>
                <w:szCs w:val="22"/>
              </w:rPr>
            </w:pPr>
            <w:r w:rsidRPr="00106064">
              <w:rPr>
                <w:color w:val="FFFFFF" w:themeColor="background1"/>
                <w:sz w:val="22"/>
                <w:szCs w:val="22"/>
              </w:rPr>
              <w:t>Additional staff post to be funded  to deliver ICCWC Strategic Programme</w:t>
            </w:r>
          </w:p>
        </w:tc>
      </w:tr>
      <w:tr w:rsidR="00347733" w:rsidRPr="00106064" w14:paraId="1910EC02" w14:textId="77777777" w:rsidTr="00106064">
        <w:trPr>
          <w:trHeight w:val="625"/>
        </w:trPr>
        <w:tc>
          <w:tcPr>
            <w:tcW w:w="1495" w:type="dxa"/>
          </w:tcPr>
          <w:p w14:paraId="6EC5B093" w14:textId="77777777" w:rsidR="00347733" w:rsidRPr="00106064" w:rsidRDefault="00347733" w:rsidP="00106064">
            <w:pPr>
              <w:rPr>
                <w:sz w:val="22"/>
                <w:szCs w:val="22"/>
              </w:rPr>
            </w:pPr>
            <w:r w:rsidRPr="00106064">
              <w:rPr>
                <w:sz w:val="22"/>
                <w:szCs w:val="22"/>
              </w:rPr>
              <w:t>CITES</w:t>
            </w:r>
          </w:p>
        </w:tc>
        <w:tc>
          <w:tcPr>
            <w:tcW w:w="4318" w:type="dxa"/>
          </w:tcPr>
          <w:p w14:paraId="3113F7E8" w14:textId="77777777" w:rsidR="00347733" w:rsidRPr="00106064" w:rsidRDefault="00347733" w:rsidP="00106064">
            <w:pPr>
              <w:rPr>
                <w:sz w:val="22"/>
                <w:szCs w:val="22"/>
              </w:rPr>
            </w:pPr>
            <w:r w:rsidRPr="00106064">
              <w:rPr>
                <w:sz w:val="22"/>
                <w:szCs w:val="22"/>
              </w:rPr>
              <w:t xml:space="preserve">1xP2 (ICCWC Support Officer) &amp; 1xP3 (ICCWC coordinator) </w:t>
            </w:r>
          </w:p>
        </w:tc>
      </w:tr>
      <w:tr w:rsidR="00347733" w:rsidRPr="00106064" w14:paraId="0C3469E9" w14:textId="77777777" w:rsidTr="00106064">
        <w:tc>
          <w:tcPr>
            <w:tcW w:w="1495" w:type="dxa"/>
          </w:tcPr>
          <w:p w14:paraId="393AD454" w14:textId="77777777" w:rsidR="00347733" w:rsidRPr="00106064" w:rsidRDefault="00347733" w:rsidP="00106064">
            <w:pPr>
              <w:rPr>
                <w:sz w:val="22"/>
                <w:szCs w:val="22"/>
              </w:rPr>
            </w:pPr>
            <w:r w:rsidRPr="00106064">
              <w:rPr>
                <w:sz w:val="22"/>
                <w:szCs w:val="22"/>
              </w:rPr>
              <w:t>INTERPOL</w:t>
            </w:r>
          </w:p>
        </w:tc>
        <w:tc>
          <w:tcPr>
            <w:tcW w:w="4318" w:type="dxa"/>
          </w:tcPr>
          <w:p w14:paraId="20F07EEC" w14:textId="77777777" w:rsidR="00347733" w:rsidRPr="00106064" w:rsidRDefault="00347733" w:rsidP="00106064">
            <w:pPr>
              <w:rPr>
                <w:sz w:val="22"/>
                <w:szCs w:val="22"/>
              </w:rPr>
            </w:pPr>
            <w:r w:rsidRPr="00106064">
              <w:rPr>
                <w:sz w:val="22"/>
                <w:szCs w:val="22"/>
              </w:rPr>
              <w:t xml:space="preserve">1xGr4 Project manager; 1x analyst; 2x Gr7&amp;8 Project Assistants </w:t>
            </w:r>
          </w:p>
        </w:tc>
      </w:tr>
      <w:tr w:rsidR="00347733" w:rsidRPr="00106064" w14:paraId="59B40C08" w14:textId="77777777" w:rsidTr="00106064">
        <w:tc>
          <w:tcPr>
            <w:tcW w:w="1495" w:type="dxa"/>
          </w:tcPr>
          <w:p w14:paraId="51CFC5F7" w14:textId="77777777" w:rsidR="00347733" w:rsidRPr="00106064" w:rsidRDefault="00347733" w:rsidP="00106064">
            <w:pPr>
              <w:rPr>
                <w:sz w:val="22"/>
                <w:szCs w:val="22"/>
              </w:rPr>
            </w:pPr>
            <w:r w:rsidRPr="00106064">
              <w:rPr>
                <w:sz w:val="22"/>
                <w:szCs w:val="22"/>
              </w:rPr>
              <w:t>UNODC</w:t>
            </w:r>
          </w:p>
        </w:tc>
        <w:tc>
          <w:tcPr>
            <w:tcW w:w="4318" w:type="dxa"/>
          </w:tcPr>
          <w:p w14:paraId="2AEA8905" w14:textId="77777777" w:rsidR="00347733" w:rsidRPr="00106064" w:rsidRDefault="00347733" w:rsidP="00106064">
            <w:pPr>
              <w:rPr>
                <w:sz w:val="22"/>
                <w:szCs w:val="22"/>
              </w:rPr>
            </w:pPr>
            <w:r w:rsidRPr="00106064">
              <w:rPr>
                <w:sz w:val="22"/>
                <w:szCs w:val="22"/>
              </w:rPr>
              <w:t>1x P3 (ICCWC coordinator);</w:t>
            </w:r>
          </w:p>
          <w:p w14:paraId="02975B10" w14:textId="77777777" w:rsidR="00347733" w:rsidRPr="00106064" w:rsidRDefault="00347733" w:rsidP="00106064">
            <w:pPr>
              <w:rPr>
                <w:sz w:val="22"/>
                <w:szCs w:val="22"/>
              </w:rPr>
            </w:pPr>
            <w:r w:rsidRPr="00106064">
              <w:rPr>
                <w:sz w:val="22"/>
                <w:szCs w:val="22"/>
              </w:rPr>
              <w:t>1 x G6 (Project Assistant)</w:t>
            </w:r>
          </w:p>
        </w:tc>
      </w:tr>
      <w:tr w:rsidR="00347733" w:rsidRPr="00106064" w14:paraId="5DADBB7E" w14:textId="77777777" w:rsidTr="00106064">
        <w:tc>
          <w:tcPr>
            <w:tcW w:w="1495" w:type="dxa"/>
          </w:tcPr>
          <w:p w14:paraId="6B3E6224" w14:textId="77777777" w:rsidR="00347733" w:rsidRPr="00106064" w:rsidRDefault="00347733" w:rsidP="00106064">
            <w:pPr>
              <w:rPr>
                <w:sz w:val="22"/>
                <w:szCs w:val="22"/>
              </w:rPr>
            </w:pPr>
            <w:r w:rsidRPr="00106064">
              <w:rPr>
                <w:sz w:val="22"/>
                <w:szCs w:val="22"/>
              </w:rPr>
              <w:t>WB</w:t>
            </w:r>
          </w:p>
        </w:tc>
        <w:tc>
          <w:tcPr>
            <w:tcW w:w="4318" w:type="dxa"/>
          </w:tcPr>
          <w:p w14:paraId="5347E86D" w14:textId="23BCA52B" w:rsidR="00347733" w:rsidRPr="00106064" w:rsidRDefault="00347733" w:rsidP="001452E2">
            <w:pPr>
              <w:rPr>
                <w:sz w:val="22"/>
                <w:szCs w:val="22"/>
              </w:rPr>
            </w:pPr>
            <w:r w:rsidRPr="00106064">
              <w:rPr>
                <w:sz w:val="22"/>
                <w:szCs w:val="22"/>
              </w:rPr>
              <w:t>1x ICCWC coordinator</w:t>
            </w:r>
          </w:p>
        </w:tc>
      </w:tr>
      <w:tr w:rsidR="00347733" w:rsidRPr="00106064" w14:paraId="3AC10CFB" w14:textId="77777777" w:rsidTr="00106064">
        <w:tc>
          <w:tcPr>
            <w:tcW w:w="1495" w:type="dxa"/>
          </w:tcPr>
          <w:p w14:paraId="6CFEBDF1" w14:textId="77777777" w:rsidR="00347733" w:rsidRPr="00106064" w:rsidRDefault="00347733" w:rsidP="00106064">
            <w:pPr>
              <w:rPr>
                <w:sz w:val="22"/>
                <w:szCs w:val="22"/>
              </w:rPr>
            </w:pPr>
            <w:r w:rsidRPr="00106064">
              <w:rPr>
                <w:sz w:val="22"/>
                <w:szCs w:val="22"/>
              </w:rPr>
              <w:t>WCO</w:t>
            </w:r>
          </w:p>
        </w:tc>
        <w:tc>
          <w:tcPr>
            <w:tcW w:w="4318" w:type="dxa"/>
          </w:tcPr>
          <w:p w14:paraId="03C9B958" w14:textId="4A38FA72" w:rsidR="00347733" w:rsidRPr="00106064" w:rsidRDefault="00347733" w:rsidP="006F527A">
            <w:pPr>
              <w:rPr>
                <w:sz w:val="22"/>
                <w:szCs w:val="22"/>
              </w:rPr>
            </w:pPr>
            <w:r w:rsidRPr="00106064">
              <w:rPr>
                <w:sz w:val="22"/>
                <w:szCs w:val="22"/>
              </w:rPr>
              <w:t xml:space="preserve">2 </w:t>
            </w:r>
            <w:r w:rsidR="006F527A">
              <w:rPr>
                <w:sz w:val="22"/>
                <w:szCs w:val="22"/>
              </w:rPr>
              <w:t>X</w:t>
            </w:r>
            <w:r w:rsidR="001452E2">
              <w:t xml:space="preserve"> </w:t>
            </w:r>
            <w:r w:rsidR="001452E2" w:rsidRPr="001452E2">
              <w:rPr>
                <w:sz w:val="22"/>
                <w:szCs w:val="22"/>
              </w:rPr>
              <w:t xml:space="preserve">ICCWC Support </w:t>
            </w:r>
            <w:r w:rsidR="006F527A">
              <w:rPr>
                <w:sz w:val="22"/>
                <w:szCs w:val="22"/>
              </w:rPr>
              <w:t>S</w:t>
            </w:r>
            <w:r w:rsidRPr="00106064">
              <w:rPr>
                <w:sz w:val="22"/>
                <w:szCs w:val="22"/>
              </w:rPr>
              <w:t>taff to implement/coordinate activities</w:t>
            </w:r>
          </w:p>
        </w:tc>
      </w:tr>
    </w:tbl>
    <w:p w14:paraId="1966EEBB" w14:textId="4DA9ABE5" w:rsidR="00106064" w:rsidRDefault="00106064" w:rsidP="00106064">
      <w:pPr>
        <w:tabs>
          <w:tab w:val="left" w:pos="709"/>
        </w:tabs>
        <w:spacing w:before="120"/>
        <w:jc w:val="both"/>
        <w:rPr>
          <w:sz w:val="22"/>
          <w:szCs w:val="22"/>
        </w:rPr>
      </w:pPr>
    </w:p>
    <w:tbl>
      <w:tblPr>
        <w:tblStyle w:val="TableGrid"/>
        <w:tblW w:w="0" w:type="auto"/>
        <w:tblLook w:val="04A0" w:firstRow="1" w:lastRow="0" w:firstColumn="1" w:lastColumn="0" w:noHBand="0" w:noVBand="1"/>
      </w:tblPr>
      <w:tblGrid>
        <w:gridCol w:w="1243"/>
        <w:gridCol w:w="1365"/>
        <w:gridCol w:w="990"/>
        <w:gridCol w:w="1093"/>
        <w:gridCol w:w="973"/>
        <w:gridCol w:w="1160"/>
        <w:gridCol w:w="1212"/>
      </w:tblGrid>
      <w:tr w:rsidR="00803A4D" w:rsidRPr="00803A4D" w14:paraId="673D533F" w14:textId="77777777" w:rsidTr="00315738">
        <w:trPr>
          <w:trHeight w:val="300"/>
        </w:trPr>
        <w:tc>
          <w:tcPr>
            <w:tcW w:w="1164" w:type="dxa"/>
            <w:shd w:val="clear" w:color="auto" w:fill="365F91" w:themeFill="accent1" w:themeFillShade="BF"/>
          </w:tcPr>
          <w:p w14:paraId="4E26F970" w14:textId="22C4D138" w:rsidR="00803A4D" w:rsidRPr="00315738" w:rsidRDefault="00803A4D" w:rsidP="00803A4D">
            <w:pPr>
              <w:tabs>
                <w:tab w:val="left" w:pos="709"/>
              </w:tabs>
              <w:spacing w:before="120"/>
              <w:jc w:val="both"/>
              <w:rPr>
                <w:color w:val="FFFFFF" w:themeColor="background1"/>
                <w:sz w:val="22"/>
                <w:szCs w:val="22"/>
              </w:rPr>
            </w:pPr>
            <w:r w:rsidRPr="00315738">
              <w:rPr>
                <w:color w:val="FFFFFF" w:themeColor="background1"/>
                <w:sz w:val="22"/>
                <w:szCs w:val="22"/>
              </w:rPr>
              <w:t>Description</w:t>
            </w:r>
          </w:p>
        </w:tc>
        <w:tc>
          <w:tcPr>
            <w:tcW w:w="1234" w:type="dxa"/>
            <w:shd w:val="clear" w:color="auto" w:fill="365F91" w:themeFill="accent1" w:themeFillShade="BF"/>
            <w:noWrap/>
          </w:tcPr>
          <w:p w14:paraId="43627318" w14:textId="2BE88F41" w:rsidR="00803A4D" w:rsidRPr="00315738" w:rsidRDefault="00803A4D" w:rsidP="00803A4D">
            <w:pPr>
              <w:tabs>
                <w:tab w:val="left" w:pos="709"/>
              </w:tabs>
              <w:spacing w:before="120"/>
              <w:jc w:val="both"/>
              <w:rPr>
                <w:color w:val="FFFFFF" w:themeColor="background1"/>
                <w:sz w:val="22"/>
                <w:szCs w:val="22"/>
              </w:rPr>
            </w:pPr>
            <w:r w:rsidRPr="00315738">
              <w:rPr>
                <w:color w:val="FFFFFF" w:themeColor="background1"/>
                <w:sz w:val="22"/>
                <w:szCs w:val="22"/>
              </w:rPr>
              <w:t>Organization</w:t>
            </w:r>
          </w:p>
        </w:tc>
        <w:tc>
          <w:tcPr>
            <w:tcW w:w="990" w:type="dxa"/>
            <w:shd w:val="clear" w:color="auto" w:fill="365F91" w:themeFill="accent1" w:themeFillShade="BF"/>
            <w:noWrap/>
          </w:tcPr>
          <w:p w14:paraId="32E64A7E" w14:textId="01C3C4F5" w:rsidR="00803A4D" w:rsidRPr="00315738" w:rsidRDefault="00803A4D" w:rsidP="00803A4D">
            <w:pPr>
              <w:tabs>
                <w:tab w:val="left" w:pos="709"/>
              </w:tabs>
              <w:spacing w:before="120"/>
              <w:jc w:val="both"/>
              <w:rPr>
                <w:b/>
                <w:bCs/>
                <w:color w:val="FFFFFF" w:themeColor="background1"/>
                <w:sz w:val="22"/>
                <w:szCs w:val="22"/>
              </w:rPr>
            </w:pPr>
            <w:r w:rsidRPr="00315738">
              <w:rPr>
                <w:b/>
                <w:bCs/>
                <w:color w:val="FFFFFF" w:themeColor="background1"/>
                <w:sz w:val="22"/>
                <w:szCs w:val="22"/>
              </w:rPr>
              <w:t>2018</w:t>
            </w:r>
          </w:p>
        </w:tc>
        <w:tc>
          <w:tcPr>
            <w:tcW w:w="1093" w:type="dxa"/>
            <w:shd w:val="clear" w:color="auto" w:fill="365F91" w:themeFill="accent1" w:themeFillShade="BF"/>
            <w:noWrap/>
          </w:tcPr>
          <w:p w14:paraId="47C49765" w14:textId="0A2CC6A9" w:rsidR="00803A4D" w:rsidRPr="00315738" w:rsidRDefault="00803A4D" w:rsidP="00803A4D">
            <w:pPr>
              <w:tabs>
                <w:tab w:val="left" w:pos="709"/>
              </w:tabs>
              <w:spacing w:before="120"/>
              <w:jc w:val="both"/>
              <w:rPr>
                <w:b/>
                <w:bCs/>
                <w:color w:val="FFFFFF" w:themeColor="background1"/>
                <w:sz w:val="22"/>
                <w:szCs w:val="22"/>
              </w:rPr>
            </w:pPr>
            <w:r w:rsidRPr="00315738">
              <w:rPr>
                <w:b/>
                <w:bCs/>
                <w:color w:val="FFFFFF" w:themeColor="background1"/>
                <w:sz w:val="22"/>
                <w:szCs w:val="22"/>
              </w:rPr>
              <w:t>2019</w:t>
            </w:r>
          </w:p>
        </w:tc>
        <w:tc>
          <w:tcPr>
            <w:tcW w:w="973" w:type="dxa"/>
            <w:shd w:val="clear" w:color="auto" w:fill="365F91" w:themeFill="accent1" w:themeFillShade="BF"/>
            <w:noWrap/>
          </w:tcPr>
          <w:p w14:paraId="5BF0CC71" w14:textId="2E952A4E" w:rsidR="00803A4D" w:rsidRPr="00315738" w:rsidRDefault="00803A4D" w:rsidP="00803A4D">
            <w:pPr>
              <w:tabs>
                <w:tab w:val="left" w:pos="709"/>
              </w:tabs>
              <w:spacing w:before="120"/>
              <w:jc w:val="both"/>
              <w:rPr>
                <w:b/>
                <w:bCs/>
                <w:color w:val="FFFFFF" w:themeColor="background1"/>
                <w:sz w:val="22"/>
                <w:szCs w:val="22"/>
              </w:rPr>
            </w:pPr>
            <w:r w:rsidRPr="00315738">
              <w:rPr>
                <w:b/>
                <w:bCs/>
                <w:color w:val="FFFFFF" w:themeColor="background1"/>
                <w:sz w:val="22"/>
                <w:szCs w:val="22"/>
              </w:rPr>
              <w:t>2020</w:t>
            </w:r>
          </w:p>
        </w:tc>
        <w:tc>
          <w:tcPr>
            <w:tcW w:w="1160" w:type="dxa"/>
            <w:shd w:val="clear" w:color="auto" w:fill="365F91" w:themeFill="accent1" w:themeFillShade="BF"/>
            <w:noWrap/>
          </w:tcPr>
          <w:p w14:paraId="3FDFE138" w14:textId="1FA8F97B" w:rsidR="00803A4D" w:rsidRPr="00315738" w:rsidRDefault="00803A4D" w:rsidP="00803A4D">
            <w:pPr>
              <w:tabs>
                <w:tab w:val="left" w:pos="709"/>
              </w:tabs>
              <w:spacing w:before="120"/>
              <w:jc w:val="both"/>
              <w:rPr>
                <w:b/>
                <w:bCs/>
                <w:color w:val="FFFFFF" w:themeColor="background1"/>
                <w:sz w:val="22"/>
                <w:szCs w:val="22"/>
              </w:rPr>
            </w:pPr>
            <w:r w:rsidRPr="00315738">
              <w:rPr>
                <w:b/>
                <w:bCs/>
                <w:color w:val="FFFFFF" w:themeColor="background1"/>
                <w:sz w:val="22"/>
                <w:szCs w:val="22"/>
              </w:rPr>
              <w:t>2021</w:t>
            </w:r>
          </w:p>
        </w:tc>
        <w:tc>
          <w:tcPr>
            <w:tcW w:w="1212" w:type="dxa"/>
            <w:shd w:val="clear" w:color="auto" w:fill="365F91" w:themeFill="accent1" w:themeFillShade="BF"/>
            <w:noWrap/>
          </w:tcPr>
          <w:p w14:paraId="0ACFF6D7" w14:textId="20D97DED" w:rsidR="00803A4D" w:rsidRPr="00315738" w:rsidRDefault="00803A4D" w:rsidP="00803A4D">
            <w:pPr>
              <w:tabs>
                <w:tab w:val="left" w:pos="709"/>
              </w:tabs>
              <w:spacing w:before="120"/>
              <w:jc w:val="both"/>
              <w:rPr>
                <w:b/>
                <w:bCs/>
                <w:color w:val="FFFFFF" w:themeColor="background1"/>
                <w:sz w:val="22"/>
                <w:szCs w:val="22"/>
              </w:rPr>
            </w:pPr>
            <w:r w:rsidRPr="00315738">
              <w:rPr>
                <w:b/>
                <w:bCs/>
                <w:color w:val="FFFFFF" w:themeColor="background1"/>
                <w:sz w:val="22"/>
                <w:szCs w:val="22"/>
              </w:rPr>
              <w:t>Total</w:t>
            </w:r>
            <w:r w:rsidR="00A15A72">
              <w:rPr>
                <w:b/>
                <w:bCs/>
                <w:color w:val="FFFFFF" w:themeColor="background1"/>
                <w:sz w:val="22"/>
                <w:szCs w:val="22"/>
              </w:rPr>
              <w:t>, EUR</w:t>
            </w:r>
          </w:p>
        </w:tc>
      </w:tr>
      <w:tr w:rsidR="00803A4D" w:rsidRPr="00803A4D" w14:paraId="0527BFC4" w14:textId="77777777" w:rsidTr="00803A4D">
        <w:trPr>
          <w:trHeight w:val="300"/>
        </w:trPr>
        <w:tc>
          <w:tcPr>
            <w:tcW w:w="1164" w:type="dxa"/>
            <w:hideMark/>
          </w:tcPr>
          <w:p w14:paraId="2E2929DC" w14:textId="77777777" w:rsidR="00803A4D" w:rsidRPr="00803A4D" w:rsidRDefault="00803A4D" w:rsidP="00803A4D">
            <w:pPr>
              <w:tabs>
                <w:tab w:val="left" w:pos="709"/>
              </w:tabs>
              <w:spacing w:before="120"/>
              <w:jc w:val="both"/>
              <w:rPr>
                <w:sz w:val="22"/>
                <w:szCs w:val="22"/>
              </w:rPr>
            </w:pPr>
            <w:r w:rsidRPr="00803A4D">
              <w:rPr>
                <w:sz w:val="22"/>
                <w:szCs w:val="22"/>
              </w:rPr>
              <w:t>ICCWC staff support, operational costs</w:t>
            </w:r>
          </w:p>
        </w:tc>
        <w:tc>
          <w:tcPr>
            <w:tcW w:w="1234" w:type="dxa"/>
            <w:noWrap/>
            <w:hideMark/>
          </w:tcPr>
          <w:p w14:paraId="7C0A1AF2" w14:textId="77777777" w:rsidR="00803A4D" w:rsidRPr="00803A4D" w:rsidRDefault="00803A4D" w:rsidP="00803A4D">
            <w:pPr>
              <w:tabs>
                <w:tab w:val="left" w:pos="709"/>
              </w:tabs>
              <w:spacing w:before="120"/>
              <w:jc w:val="both"/>
              <w:rPr>
                <w:sz w:val="22"/>
                <w:szCs w:val="22"/>
              </w:rPr>
            </w:pPr>
            <w:r w:rsidRPr="00803A4D">
              <w:rPr>
                <w:sz w:val="22"/>
                <w:szCs w:val="22"/>
              </w:rPr>
              <w:t>CITES</w:t>
            </w:r>
          </w:p>
        </w:tc>
        <w:tc>
          <w:tcPr>
            <w:tcW w:w="990" w:type="dxa"/>
            <w:noWrap/>
            <w:hideMark/>
          </w:tcPr>
          <w:p w14:paraId="2AB8B19F"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192,330 </w:t>
            </w:r>
          </w:p>
        </w:tc>
        <w:tc>
          <w:tcPr>
            <w:tcW w:w="1093" w:type="dxa"/>
            <w:noWrap/>
            <w:hideMark/>
          </w:tcPr>
          <w:p w14:paraId="0A82F669"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188,149 </w:t>
            </w:r>
          </w:p>
        </w:tc>
        <w:tc>
          <w:tcPr>
            <w:tcW w:w="973" w:type="dxa"/>
            <w:noWrap/>
            <w:hideMark/>
          </w:tcPr>
          <w:p w14:paraId="5D33BEDC"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188,149 </w:t>
            </w:r>
          </w:p>
        </w:tc>
        <w:tc>
          <w:tcPr>
            <w:tcW w:w="1160" w:type="dxa"/>
            <w:noWrap/>
            <w:hideMark/>
          </w:tcPr>
          <w:p w14:paraId="252DD7EA"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   </w:t>
            </w:r>
          </w:p>
        </w:tc>
        <w:tc>
          <w:tcPr>
            <w:tcW w:w="1212" w:type="dxa"/>
            <w:noWrap/>
            <w:hideMark/>
          </w:tcPr>
          <w:p w14:paraId="6AC0E540"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568,627 </w:t>
            </w:r>
          </w:p>
        </w:tc>
      </w:tr>
      <w:tr w:rsidR="00803A4D" w:rsidRPr="00803A4D" w14:paraId="608C0E93" w14:textId="77777777" w:rsidTr="00803A4D">
        <w:trPr>
          <w:trHeight w:val="300"/>
        </w:trPr>
        <w:tc>
          <w:tcPr>
            <w:tcW w:w="1164" w:type="dxa"/>
            <w:hideMark/>
          </w:tcPr>
          <w:p w14:paraId="60F46AD0" w14:textId="77777777" w:rsidR="00803A4D" w:rsidRPr="00803A4D" w:rsidRDefault="00803A4D" w:rsidP="00803A4D">
            <w:pPr>
              <w:tabs>
                <w:tab w:val="left" w:pos="709"/>
              </w:tabs>
              <w:spacing w:before="120"/>
              <w:jc w:val="both"/>
              <w:rPr>
                <w:sz w:val="22"/>
                <w:szCs w:val="22"/>
              </w:rPr>
            </w:pPr>
            <w:r w:rsidRPr="00803A4D">
              <w:rPr>
                <w:sz w:val="22"/>
                <w:szCs w:val="22"/>
              </w:rPr>
              <w:t>ICCWC staff support, operational costs</w:t>
            </w:r>
          </w:p>
        </w:tc>
        <w:tc>
          <w:tcPr>
            <w:tcW w:w="1234" w:type="dxa"/>
            <w:noWrap/>
            <w:hideMark/>
          </w:tcPr>
          <w:p w14:paraId="2D966E59" w14:textId="77777777" w:rsidR="00803A4D" w:rsidRPr="00803A4D" w:rsidRDefault="00803A4D" w:rsidP="00803A4D">
            <w:pPr>
              <w:tabs>
                <w:tab w:val="left" w:pos="709"/>
              </w:tabs>
              <w:spacing w:before="120"/>
              <w:jc w:val="both"/>
              <w:rPr>
                <w:sz w:val="22"/>
                <w:szCs w:val="22"/>
              </w:rPr>
            </w:pPr>
            <w:r w:rsidRPr="00803A4D">
              <w:rPr>
                <w:sz w:val="22"/>
                <w:szCs w:val="22"/>
              </w:rPr>
              <w:t>INTERPOL</w:t>
            </w:r>
          </w:p>
        </w:tc>
        <w:tc>
          <w:tcPr>
            <w:tcW w:w="990" w:type="dxa"/>
            <w:noWrap/>
            <w:hideMark/>
          </w:tcPr>
          <w:p w14:paraId="7F140A98"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99,239 </w:t>
            </w:r>
          </w:p>
        </w:tc>
        <w:tc>
          <w:tcPr>
            <w:tcW w:w="1093" w:type="dxa"/>
            <w:noWrap/>
            <w:hideMark/>
          </w:tcPr>
          <w:p w14:paraId="3EE76740"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99,239 </w:t>
            </w:r>
          </w:p>
        </w:tc>
        <w:tc>
          <w:tcPr>
            <w:tcW w:w="973" w:type="dxa"/>
            <w:noWrap/>
            <w:hideMark/>
          </w:tcPr>
          <w:p w14:paraId="4E70C9CE"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99,239 </w:t>
            </w:r>
          </w:p>
        </w:tc>
        <w:tc>
          <w:tcPr>
            <w:tcW w:w="1160" w:type="dxa"/>
            <w:noWrap/>
            <w:hideMark/>
          </w:tcPr>
          <w:p w14:paraId="57FACF95"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99,927 </w:t>
            </w:r>
          </w:p>
        </w:tc>
        <w:tc>
          <w:tcPr>
            <w:tcW w:w="1212" w:type="dxa"/>
            <w:noWrap/>
            <w:hideMark/>
          </w:tcPr>
          <w:p w14:paraId="4BFA689C"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397,644 </w:t>
            </w:r>
          </w:p>
        </w:tc>
      </w:tr>
      <w:tr w:rsidR="00803A4D" w:rsidRPr="00803A4D" w14:paraId="20424F70" w14:textId="77777777" w:rsidTr="00803A4D">
        <w:trPr>
          <w:trHeight w:val="300"/>
        </w:trPr>
        <w:tc>
          <w:tcPr>
            <w:tcW w:w="1164" w:type="dxa"/>
            <w:hideMark/>
          </w:tcPr>
          <w:p w14:paraId="7817F870" w14:textId="77777777" w:rsidR="00803A4D" w:rsidRPr="00803A4D" w:rsidRDefault="00803A4D" w:rsidP="00803A4D">
            <w:pPr>
              <w:tabs>
                <w:tab w:val="left" w:pos="709"/>
              </w:tabs>
              <w:spacing w:before="120"/>
              <w:jc w:val="both"/>
              <w:rPr>
                <w:sz w:val="22"/>
                <w:szCs w:val="22"/>
              </w:rPr>
            </w:pPr>
            <w:r w:rsidRPr="00803A4D">
              <w:rPr>
                <w:sz w:val="22"/>
                <w:szCs w:val="22"/>
              </w:rPr>
              <w:t>ICCWC staff support, operational costs</w:t>
            </w:r>
          </w:p>
        </w:tc>
        <w:tc>
          <w:tcPr>
            <w:tcW w:w="1234" w:type="dxa"/>
            <w:noWrap/>
            <w:hideMark/>
          </w:tcPr>
          <w:p w14:paraId="63D710F4" w14:textId="77777777" w:rsidR="00803A4D" w:rsidRPr="00803A4D" w:rsidRDefault="00803A4D" w:rsidP="00803A4D">
            <w:pPr>
              <w:tabs>
                <w:tab w:val="left" w:pos="709"/>
              </w:tabs>
              <w:spacing w:before="120"/>
              <w:jc w:val="both"/>
              <w:rPr>
                <w:sz w:val="22"/>
                <w:szCs w:val="22"/>
              </w:rPr>
            </w:pPr>
            <w:r w:rsidRPr="00803A4D">
              <w:rPr>
                <w:sz w:val="22"/>
                <w:szCs w:val="22"/>
              </w:rPr>
              <w:t>UNODC</w:t>
            </w:r>
          </w:p>
        </w:tc>
        <w:tc>
          <w:tcPr>
            <w:tcW w:w="990" w:type="dxa"/>
            <w:noWrap/>
            <w:hideMark/>
          </w:tcPr>
          <w:p w14:paraId="4CB242CC"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231,000 </w:t>
            </w:r>
          </w:p>
        </w:tc>
        <w:tc>
          <w:tcPr>
            <w:tcW w:w="1093" w:type="dxa"/>
            <w:noWrap/>
            <w:hideMark/>
          </w:tcPr>
          <w:p w14:paraId="6DB963FF"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249,124 </w:t>
            </w:r>
          </w:p>
        </w:tc>
        <w:tc>
          <w:tcPr>
            <w:tcW w:w="973" w:type="dxa"/>
            <w:noWrap/>
            <w:hideMark/>
          </w:tcPr>
          <w:p w14:paraId="7C3E304F"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249,124 </w:t>
            </w:r>
          </w:p>
        </w:tc>
        <w:tc>
          <w:tcPr>
            <w:tcW w:w="1160" w:type="dxa"/>
            <w:noWrap/>
            <w:hideMark/>
          </w:tcPr>
          <w:p w14:paraId="78D03E82"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249,124 </w:t>
            </w:r>
          </w:p>
        </w:tc>
        <w:tc>
          <w:tcPr>
            <w:tcW w:w="1212" w:type="dxa"/>
            <w:noWrap/>
            <w:hideMark/>
          </w:tcPr>
          <w:p w14:paraId="67FAEC26"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978,371 </w:t>
            </w:r>
          </w:p>
        </w:tc>
      </w:tr>
      <w:tr w:rsidR="00803A4D" w:rsidRPr="00803A4D" w14:paraId="672759AF" w14:textId="77777777" w:rsidTr="00803A4D">
        <w:trPr>
          <w:trHeight w:val="300"/>
        </w:trPr>
        <w:tc>
          <w:tcPr>
            <w:tcW w:w="1164" w:type="dxa"/>
            <w:hideMark/>
          </w:tcPr>
          <w:p w14:paraId="2AEE492A" w14:textId="77777777" w:rsidR="00803A4D" w:rsidRPr="00803A4D" w:rsidRDefault="00803A4D" w:rsidP="00803A4D">
            <w:pPr>
              <w:tabs>
                <w:tab w:val="left" w:pos="709"/>
              </w:tabs>
              <w:spacing w:before="120"/>
              <w:jc w:val="both"/>
              <w:rPr>
                <w:sz w:val="22"/>
                <w:szCs w:val="22"/>
              </w:rPr>
            </w:pPr>
            <w:r w:rsidRPr="00803A4D">
              <w:rPr>
                <w:sz w:val="22"/>
                <w:szCs w:val="22"/>
              </w:rPr>
              <w:t>ICCWC staff support, operational costs</w:t>
            </w:r>
          </w:p>
        </w:tc>
        <w:tc>
          <w:tcPr>
            <w:tcW w:w="1234" w:type="dxa"/>
            <w:noWrap/>
            <w:hideMark/>
          </w:tcPr>
          <w:p w14:paraId="5F711EE9" w14:textId="77777777" w:rsidR="00803A4D" w:rsidRPr="00803A4D" w:rsidRDefault="00803A4D" w:rsidP="00803A4D">
            <w:pPr>
              <w:tabs>
                <w:tab w:val="left" w:pos="709"/>
              </w:tabs>
              <w:spacing w:before="120"/>
              <w:jc w:val="both"/>
              <w:rPr>
                <w:sz w:val="22"/>
                <w:szCs w:val="22"/>
              </w:rPr>
            </w:pPr>
            <w:r w:rsidRPr="00803A4D">
              <w:rPr>
                <w:sz w:val="22"/>
                <w:szCs w:val="22"/>
              </w:rPr>
              <w:t>WB</w:t>
            </w:r>
          </w:p>
        </w:tc>
        <w:tc>
          <w:tcPr>
            <w:tcW w:w="990" w:type="dxa"/>
            <w:noWrap/>
            <w:hideMark/>
          </w:tcPr>
          <w:p w14:paraId="11BBADC9"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33,449 </w:t>
            </w:r>
          </w:p>
        </w:tc>
        <w:tc>
          <w:tcPr>
            <w:tcW w:w="1093" w:type="dxa"/>
            <w:noWrap/>
            <w:hideMark/>
          </w:tcPr>
          <w:p w14:paraId="6806A307"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33,449 </w:t>
            </w:r>
          </w:p>
        </w:tc>
        <w:tc>
          <w:tcPr>
            <w:tcW w:w="973" w:type="dxa"/>
            <w:noWrap/>
            <w:hideMark/>
          </w:tcPr>
          <w:p w14:paraId="61A9276C"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33,449 </w:t>
            </w:r>
          </w:p>
        </w:tc>
        <w:tc>
          <w:tcPr>
            <w:tcW w:w="1160" w:type="dxa"/>
            <w:noWrap/>
            <w:hideMark/>
          </w:tcPr>
          <w:p w14:paraId="315A38F2"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   </w:t>
            </w:r>
          </w:p>
        </w:tc>
        <w:tc>
          <w:tcPr>
            <w:tcW w:w="1212" w:type="dxa"/>
            <w:noWrap/>
            <w:hideMark/>
          </w:tcPr>
          <w:p w14:paraId="6D47662A"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100,346 </w:t>
            </w:r>
          </w:p>
        </w:tc>
      </w:tr>
      <w:tr w:rsidR="00803A4D" w:rsidRPr="00803A4D" w14:paraId="327BC4C6" w14:textId="77777777" w:rsidTr="00803A4D">
        <w:trPr>
          <w:trHeight w:val="300"/>
        </w:trPr>
        <w:tc>
          <w:tcPr>
            <w:tcW w:w="1164" w:type="dxa"/>
            <w:hideMark/>
          </w:tcPr>
          <w:p w14:paraId="6BA8754C" w14:textId="77777777" w:rsidR="00803A4D" w:rsidRPr="00803A4D" w:rsidRDefault="00803A4D" w:rsidP="00803A4D">
            <w:pPr>
              <w:tabs>
                <w:tab w:val="left" w:pos="709"/>
              </w:tabs>
              <w:spacing w:before="120"/>
              <w:jc w:val="both"/>
              <w:rPr>
                <w:sz w:val="22"/>
                <w:szCs w:val="22"/>
              </w:rPr>
            </w:pPr>
            <w:r w:rsidRPr="00803A4D">
              <w:rPr>
                <w:sz w:val="22"/>
                <w:szCs w:val="22"/>
              </w:rPr>
              <w:t>ICCWC staff support, operational costs</w:t>
            </w:r>
          </w:p>
        </w:tc>
        <w:tc>
          <w:tcPr>
            <w:tcW w:w="1234" w:type="dxa"/>
            <w:noWrap/>
            <w:hideMark/>
          </w:tcPr>
          <w:p w14:paraId="4289EF72" w14:textId="77777777" w:rsidR="00803A4D" w:rsidRPr="00803A4D" w:rsidRDefault="00803A4D" w:rsidP="00803A4D">
            <w:pPr>
              <w:tabs>
                <w:tab w:val="left" w:pos="709"/>
              </w:tabs>
              <w:spacing w:before="120"/>
              <w:jc w:val="both"/>
              <w:rPr>
                <w:sz w:val="22"/>
                <w:szCs w:val="22"/>
              </w:rPr>
            </w:pPr>
            <w:r w:rsidRPr="00803A4D">
              <w:rPr>
                <w:sz w:val="22"/>
                <w:szCs w:val="22"/>
              </w:rPr>
              <w:t>WCO</w:t>
            </w:r>
          </w:p>
        </w:tc>
        <w:tc>
          <w:tcPr>
            <w:tcW w:w="990" w:type="dxa"/>
            <w:noWrap/>
            <w:hideMark/>
          </w:tcPr>
          <w:p w14:paraId="40B3B84A"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58,535 </w:t>
            </w:r>
          </w:p>
        </w:tc>
        <w:tc>
          <w:tcPr>
            <w:tcW w:w="1093" w:type="dxa"/>
            <w:noWrap/>
            <w:hideMark/>
          </w:tcPr>
          <w:p w14:paraId="49B1BA7C"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75,259 </w:t>
            </w:r>
          </w:p>
        </w:tc>
        <w:tc>
          <w:tcPr>
            <w:tcW w:w="973" w:type="dxa"/>
            <w:noWrap/>
            <w:hideMark/>
          </w:tcPr>
          <w:p w14:paraId="424C0B73"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58,535 </w:t>
            </w:r>
          </w:p>
        </w:tc>
        <w:tc>
          <w:tcPr>
            <w:tcW w:w="1160" w:type="dxa"/>
            <w:noWrap/>
            <w:hideMark/>
          </w:tcPr>
          <w:p w14:paraId="7A6023E6"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58,535 </w:t>
            </w:r>
          </w:p>
        </w:tc>
        <w:tc>
          <w:tcPr>
            <w:tcW w:w="1212" w:type="dxa"/>
            <w:noWrap/>
            <w:hideMark/>
          </w:tcPr>
          <w:p w14:paraId="554E28B0" w14:textId="77777777" w:rsidR="00803A4D" w:rsidRPr="00803A4D" w:rsidRDefault="00803A4D" w:rsidP="00803A4D">
            <w:pPr>
              <w:tabs>
                <w:tab w:val="left" w:pos="709"/>
              </w:tabs>
              <w:spacing w:before="120"/>
              <w:jc w:val="both"/>
              <w:rPr>
                <w:b/>
                <w:bCs/>
                <w:sz w:val="22"/>
                <w:szCs w:val="22"/>
              </w:rPr>
            </w:pPr>
            <w:r w:rsidRPr="00803A4D">
              <w:rPr>
                <w:b/>
                <w:bCs/>
                <w:sz w:val="22"/>
                <w:szCs w:val="22"/>
              </w:rPr>
              <w:t xml:space="preserve">         250,865 </w:t>
            </w:r>
          </w:p>
        </w:tc>
      </w:tr>
    </w:tbl>
    <w:p w14:paraId="7718C989" w14:textId="77777777" w:rsidR="00347733" w:rsidRDefault="00347733" w:rsidP="000F1A77">
      <w:pPr>
        <w:tabs>
          <w:tab w:val="left" w:pos="709"/>
        </w:tabs>
        <w:spacing w:before="120"/>
        <w:jc w:val="both"/>
        <w:rPr>
          <w:sz w:val="22"/>
          <w:szCs w:val="22"/>
        </w:rPr>
      </w:pPr>
    </w:p>
    <w:p w14:paraId="16E319A5" w14:textId="77777777" w:rsidR="000F1A77" w:rsidRPr="00106064" w:rsidRDefault="000F1A77" w:rsidP="00106064">
      <w:pPr>
        <w:tabs>
          <w:tab w:val="left" w:pos="709"/>
        </w:tabs>
        <w:spacing w:before="120"/>
        <w:jc w:val="both"/>
        <w:rPr>
          <w:sz w:val="22"/>
          <w:szCs w:val="22"/>
        </w:rPr>
      </w:pPr>
    </w:p>
    <w:p w14:paraId="7626BB04" w14:textId="77777777" w:rsidR="00A54096" w:rsidRPr="00E2744D" w:rsidRDefault="00A54096" w:rsidP="00A54096">
      <w:pPr>
        <w:pStyle w:val="Heading4"/>
      </w:pPr>
      <w:bookmarkStart w:id="28" w:name="_Toc497992291"/>
      <w:r w:rsidRPr="00E2744D">
        <w:t>Monitoring and Evaluation</w:t>
      </w:r>
      <w:bookmarkEnd w:id="28"/>
    </w:p>
    <w:p w14:paraId="20ED1E8C" w14:textId="47F7780A" w:rsidR="0042056F" w:rsidRPr="00C749FA" w:rsidRDefault="0042056F" w:rsidP="00876687">
      <w:pPr>
        <w:pStyle w:val="Heading5"/>
        <w:rPr>
          <w:lang w:val="en-US"/>
        </w:rPr>
      </w:pPr>
      <w:r w:rsidRPr="00C749FA">
        <w:rPr>
          <w:lang w:val="en-US"/>
        </w:rPr>
        <w:t>Monitoring</w:t>
      </w:r>
    </w:p>
    <w:p w14:paraId="243F8D94" w14:textId="04854CED" w:rsidR="00106064" w:rsidRPr="00C749FA" w:rsidRDefault="003D195F" w:rsidP="003D195F">
      <w:pPr>
        <w:pStyle w:val="Heading5"/>
        <w:numPr>
          <w:ilvl w:val="0"/>
          <w:numId w:val="0"/>
        </w:numPr>
        <w:ind w:left="-120"/>
        <w:jc w:val="both"/>
        <w:rPr>
          <w:b w:val="0"/>
          <w:i w:val="0"/>
          <w:snapToGrid/>
          <w:sz w:val="22"/>
          <w:szCs w:val="22"/>
          <w:lang w:val="en-US" w:eastAsia="en-GB"/>
        </w:rPr>
      </w:pPr>
      <w:r>
        <w:rPr>
          <w:b w:val="0"/>
          <w:i w:val="0"/>
          <w:snapToGrid/>
          <w:sz w:val="22"/>
          <w:szCs w:val="22"/>
          <w:lang w:val="en-US" w:eastAsia="en-GB"/>
        </w:rPr>
        <w:t>Only by monitoring the programme implementation on the regular basis</w:t>
      </w:r>
      <w:r w:rsidR="00106064" w:rsidRPr="00C749FA">
        <w:rPr>
          <w:b w:val="0"/>
          <w:i w:val="0"/>
          <w:snapToGrid/>
          <w:sz w:val="22"/>
          <w:szCs w:val="22"/>
          <w:lang w:val="en-US" w:eastAsia="en-GB"/>
        </w:rPr>
        <w:t xml:space="preserve"> can ICCWC partners learn and develop their programmes </w:t>
      </w:r>
      <w:r w:rsidR="001452E2">
        <w:rPr>
          <w:b w:val="0"/>
          <w:i w:val="0"/>
          <w:snapToGrid/>
          <w:sz w:val="22"/>
          <w:szCs w:val="22"/>
          <w:lang w:val="en-US" w:eastAsia="en-GB"/>
        </w:rPr>
        <w:t xml:space="preserve">further </w:t>
      </w:r>
      <w:r w:rsidR="00106064" w:rsidRPr="00C749FA">
        <w:rPr>
          <w:b w:val="0"/>
          <w:i w:val="0"/>
          <w:snapToGrid/>
          <w:sz w:val="22"/>
          <w:szCs w:val="22"/>
          <w:lang w:val="en-US" w:eastAsia="en-GB"/>
        </w:rPr>
        <w:t xml:space="preserve">to reflect the lessons learned. ICCWC’s SEG meets by teleconference every month and in person every quarter, and monitoring of progress in delivering </w:t>
      </w:r>
      <w:r>
        <w:rPr>
          <w:b w:val="0"/>
          <w:i w:val="0"/>
          <w:snapToGrid/>
          <w:sz w:val="22"/>
          <w:szCs w:val="22"/>
          <w:lang w:val="en-US" w:eastAsia="en-GB"/>
        </w:rPr>
        <w:t>this Action</w:t>
      </w:r>
      <w:r w:rsidR="00106064" w:rsidRPr="00C749FA">
        <w:rPr>
          <w:b w:val="0"/>
          <w:i w:val="0"/>
          <w:snapToGrid/>
          <w:sz w:val="22"/>
          <w:szCs w:val="22"/>
          <w:lang w:val="en-US" w:eastAsia="en-GB"/>
        </w:rPr>
        <w:t xml:space="preserve"> is a standing agenda item.  Any adjustments needed can therefore be put into effect rapidly. </w:t>
      </w:r>
    </w:p>
    <w:p w14:paraId="5258F3BB" w14:textId="472C3021" w:rsidR="00106064" w:rsidRPr="00C749FA" w:rsidRDefault="00106064" w:rsidP="00F84CD1">
      <w:pPr>
        <w:pStyle w:val="Heading5"/>
        <w:numPr>
          <w:ilvl w:val="0"/>
          <w:numId w:val="0"/>
        </w:numPr>
        <w:ind w:left="-120"/>
        <w:jc w:val="both"/>
        <w:rPr>
          <w:b w:val="0"/>
          <w:i w:val="0"/>
          <w:snapToGrid/>
          <w:sz w:val="22"/>
          <w:szCs w:val="22"/>
          <w:lang w:val="en-US" w:eastAsia="en-GB"/>
        </w:rPr>
      </w:pPr>
      <w:r w:rsidRPr="00C749FA">
        <w:rPr>
          <w:b w:val="0"/>
          <w:i w:val="0"/>
          <w:snapToGrid/>
          <w:sz w:val="22"/>
          <w:szCs w:val="22"/>
          <w:lang w:val="en-US" w:eastAsia="en-GB"/>
        </w:rPr>
        <w:t>Progress reports using the Logframe indicators as a guide will be developed on an annual basis.  The Logframe will be refined annually at the same time as the new annual project plan is developed. UNODC and INTERPOL will compile the partners results when reporting the progress to the EU on the annual basis</w:t>
      </w:r>
    </w:p>
    <w:p w14:paraId="2E3AFEFC" w14:textId="4B2D5204" w:rsidR="00106064" w:rsidRDefault="00106064" w:rsidP="00F84CD1">
      <w:pPr>
        <w:pStyle w:val="Heading5"/>
        <w:numPr>
          <w:ilvl w:val="0"/>
          <w:numId w:val="0"/>
        </w:numPr>
        <w:ind w:left="-120"/>
        <w:jc w:val="both"/>
        <w:rPr>
          <w:b w:val="0"/>
          <w:i w:val="0"/>
          <w:snapToGrid/>
          <w:sz w:val="22"/>
          <w:szCs w:val="22"/>
          <w:lang w:val="en-US" w:eastAsia="en-GB"/>
        </w:rPr>
      </w:pPr>
      <w:r w:rsidRPr="00C749FA">
        <w:rPr>
          <w:b w:val="0"/>
          <w:i w:val="0"/>
          <w:snapToGrid/>
          <w:sz w:val="22"/>
          <w:szCs w:val="22"/>
          <w:lang w:val="en-US" w:eastAsia="en-GB"/>
        </w:rPr>
        <w:t xml:space="preserve">Any changes to the indicators will ensure they are SMART (Specific, Measurable, Achievable, Relevant, Time-bound). Output indicators will be adjusted rapidly, depending on need, once the changes have been approved by the SEG. Outcomes take longer to achieve and therefore the indicators need to be kept in place to allow for impacts over a longer period of time: they will be changed, if necessary, only when the outcomes begin to be realised.  </w:t>
      </w:r>
    </w:p>
    <w:p w14:paraId="1319C76F" w14:textId="7566E886" w:rsidR="003D195F" w:rsidRPr="003D195F" w:rsidRDefault="003D195F" w:rsidP="006E5B06">
      <w:pPr>
        <w:jc w:val="both"/>
        <w:rPr>
          <w:sz w:val="22"/>
          <w:szCs w:val="22"/>
        </w:rPr>
      </w:pPr>
      <w:r w:rsidRPr="003D195F">
        <w:rPr>
          <w:sz w:val="22"/>
          <w:szCs w:val="22"/>
        </w:rPr>
        <w:t xml:space="preserve">Every ICCWC report to the EU </w:t>
      </w:r>
      <w:r>
        <w:rPr>
          <w:sz w:val="22"/>
          <w:szCs w:val="22"/>
        </w:rPr>
        <w:t>will</w:t>
      </w:r>
      <w:r w:rsidRPr="003D195F">
        <w:rPr>
          <w:sz w:val="22"/>
          <w:szCs w:val="22"/>
        </w:rPr>
        <w:t xml:space="preserve"> provide an accurate account of implementation of the action, difficulties encountered, changes introduced, as well as the degree of achievement of its results (outputs and direct outcomes) as measured by corresponding indicators, using as reference the logframe matrix (for project modality).</w:t>
      </w:r>
      <w:r w:rsidR="006E5B06">
        <w:rPr>
          <w:sz w:val="22"/>
          <w:szCs w:val="22"/>
        </w:rPr>
        <w:t xml:space="preserve"> During the inception phase of the project, the targets will be defined, while the initial log frame will serve as a framework of priorities. </w:t>
      </w:r>
      <w:r w:rsidRPr="003D195F">
        <w:rPr>
          <w:sz w:val="22"/>
          <w:szCs w:val="22"/>
        </w:rPr>
        <w:t>The report shall be laid out in such a way as to allow monitoring of the means envisaged and employed and of the budget details for the action. The final report, narrative and financial, will cover the entire period of the action implementation.</w:t>
      </w:r>
    </w:p>
    <w:p w14:paraId="2B486B2C" w14:textId="77777777" w:rsidR="00D34E60" w:rsidRPr="00C749FA" w:rsidRDefault="00D34E60" w:rsidP="00876687">
      <w:pPr>
        <w:pStyle w:val="Heading5"/>
        <w:rPr>
          <w:lang w:val="en-US"/>
        </w:rPr>
      </w:pPr>
      <w:r w:rsidRPr="00C749FA">
        <w:rPr>
          <w:lang w:val="en-US"/>
        </w:rPr>
        <w:t>Evaluation</w:t>
      </w:r>
    </w:p>
    <w:p w14:paraId="517CE415" w14:textId="77777777" w:rsidR="009C7651" w:rsidRPr="009C7651" w:rsidRDefault="009C7651" w:rsidP="009C7651">
      <w:pPr>
        <w:tabs>
          <w:tab w:val="left" w:pos="709"/>
        </w:tabs>
        <w:spacing w:before="120"/>
        <w:jc w:val="both"/>
        <w:rPr>
          <w:sz w:val="22"/>
          <w:szCs w:val="22"/>
        </w:rPr>
      </w:pPr>
      <w:r w:rsidRPr="009C7651">
        <w:rPr>
          <w:sz w:val="22"/>
          <w:szCs w:val="22"/>
        </w:rPr>
        <w:t xml:space="preserve">Having regard to the nature of the action, mid-term and final evaluation(s) will be carried out for this action or its components via independent consultants. </w:t>
      </w:r>
    </w:p>
    <w:p w14:paraId="3F46D74A" w14:textId="77777777" w:rsidR="009C7651" w:rsidRPr="009C7651" w:rsidRDefault="009C7651" w:rsidP="009C7651">
      <w:pPr>
        <w:tabs>
          <w:tab w:val="left" w:pos="709"/>
        </w:tabs>
        <w:spacing w:before="120"/>
        <w:jc w:val="both"/>
        <w:rPr>
          <w:sz w:val="22"/>
          <w:szCs w:val="22"/>
        </w:rPr>
      </w:pPr>
      <w:r w:rsidRPr="009C7651">
        <w:rPr>
          <w:sz w:val="22"/>
          <w:szCs w:val="22"/>
        </w:rPr>
        <w:t xml:space="preserve">The Commission shall inform the implementing partner at least two months in advance of the dates foreseen for the evaluation missions. The implementing partner shall collaborate efficiently and effectively with the evaluation experts, and inter alia provide them with all necessary information and documentation, as well as access to the project premises and activities. </w:t>
      </w:r>
    </w:p>
    <w:p w14:paraId="47A61F7D" w14:textId="67A8F335" w:rsidR="00A54096" w:rsidRDefault="009C7651" w:rsidP="009C7651">
      <w:pPr>
        <w:tabs>
          <w:tab w:val="left" w:pos="709"/>
        </w:tabs>
        <w:spacing w:before="120"/>
        <w:jc w:val="both"/>
        <w:rPr>
          <w:sz w:val="22"/>
          <w:szCs w:val="22"/>
        </w:rPr>
      </w:pPr>
      <w:r w:rsidRPr="009C7651">
        <w:rPr>
          <w:sz w:val="22"/>
          <w:szCs w:val="22"/>
        </w:rPr>
        <w:t>The evaluation reports shall be shared with the partner country and other key stakeholders. The implementing partner and the Commission shall analyse the conclusions and recommendations of the evaluations and, where appropriate, in agreement with the partner country</w:t>
      </w:r>
      <w:r w:rsidR="006E5B06">
        <w:rPr>
          <w:sz w:val="22"/>
          <w:szCs w:val="22"/>
        </w:rPr>
        <w:t xml:space="preserve"> and all ICCWC partners</w:t>
      </w:r>
      <w:r w:rsidRPr="009C7651">
        <w:rPr>
          <w:sz w:val="22"/>
          <w:szCs w:val="22"/>
        </w:rPr>
        <w:t xml:space="preserve"> jointly decide on the follow-up actions to be taken and any adjustments necessary, including, if indicated, the reorientation of the project. Indicatively, two contracts for evaluation services shall be concluded under a framework contract.</w:t>
      </w:r>
    </w:p>
    <w:p w14:paraId="7141D831" w14:textId="77777777" w:rsidR="009C7651" w:rsidRPr="009C7651" w:rsidRDefault="009C7651" w:rsidP="009C7651">
      <w:pPr>
        <w:tabs>
          <w:tab w:val="left" w:pos="709"/>
        </w:tabs>
        <w:spacing w:before="120"/>
        <w:rPr>
          <w:sz w:val="22"/>
          <w:szCs w:val="22"/>
        </w:rPr>
      </w:pPr>
    </w:p>
    <w:p w14:paraId="4B12D015" w14:textId="77777777" w:rsidR="00A54096" w:rsidRPr="00E2744D" w:rsidRDefault="00A54096" w:rsidP="00A54096">
      <w:pPr>
        <w:pStyle w:val="Heading4"/>
      </w:pPr>
      <w:bookmarkStart w:id="29" w:name="_Toc497992292"/>
      <w:r w:rsidRPr="00E2744D">
        <w:t>EU Visibility</w:t>
      </w:r>
      <w:bookmarkEnd w:id="29"/>
    </w:p>
    <w:p w14:paraId="3F2FCD62" w14:textId="77777777" w:rsidR="006E5B06" w:rsidRDefault="00A54096" w:rsidP="00A54096">
      <w:pPr>
        <w:tabs>
          <w:tab w:val="left" w:pos="709"/>
        </w:tabs>
        <w:spacing w:before="120"/>
        <w:jc w:val="both"/>
        <w:rPr>
          <w:sz w:val="22"/>
          <w:szCs w:val="22"/>
        </w:rPr>
      </w:pPr>
      <w:r w:rsidRPr="00E2744D">
        <w:rPr>
          <w:sz w:val="22"/>
          <w:szCs w:val="22"/>
        </w:rPr>
        <w:t>Communication and visibility of the EU is a legal obligation for all external actions funded by the EU. The action shall contain communication and visibility measures which shall be based on a specific Communication and Visibility Plan for the specific objectives under this Action, which will be elaborated at the start of implementation and supported with the budget indicated in the respective section. The development of the Visibility Plan will be based on Visibility Guidelines for EC-UN Actions in the field. With regard to legal obligations on communication and visibility, the measures shall be implemented by the Commission, the partner country contractors, grant beneficiaries and/or entrusted entities. Appropriate contractual obligations shall be included in, respectively, the financing agreement, procurement and grant contracts, and delegation agreements as appropriate.</w:t>
      </w:r>
    </w:p>
    <w:p w14:paraId="2BC58F05" w14:textId="39C317B1" w:rsidR="00A54096" w:rsidRPr="00886F54" w:rsidRDefault="006E5B06" w:rsidP="00A54096">
      <w:pPr>
        <w:tabs>
          <w:tab w:val="left" w:pos="709"/>
        </w:tabs>
        <w:spacing w:before="120"/>
        <w:jc w:val="both"/>
        <w:rPr>
          <w:sz w:val="22"/>
          <w:szCs w:val="22"/>
        </w:rPr>
      </w:pPr>
      <w:r>
        <w:rPr>
          <w:sz w:val="22"/>
          <w:szCs w:val="22"/>
        </w:rPr>
        <w:t xml:space="preserve">NOTE: ICCWC Visibility Plan is included in the delegation documents package. </w:t>
      </w:r>
      <w:r w:rsidR="00A54096" w:rsidRPr="00886F54">
        <w:rPr>
          <w:sz w:val="22"/>
          <w:szCs w:val="22"/>
        </w:rPr>
        <w:t xml:space="preserve"> </w:t>
      </w:r>
    </w:p>
    <w:p w14:paraId="2C146877" w14:textId="77777777" w:rsidR="002B38B7" w:rsidRDefault="002B38B7" w:rsidP="003931C7">
      <w:pPr>
        <w:spacing w:before="120"/>
        <w:ind w:left="850" w:hanging="425"/>
        <w:jc w:val="both"/>
        <w:rPr>
          <w:sz w:val="22"/>
          <w:szCs w:val="22"/>
        </w:rPr>
      </w:pPr>
    </w:p>
    <w:p w14:paraId="1D18810D" w14:textId="77777777" w:rsidR="005406EE" w:rsidRDefault="005406EE" w:rsidP="003931C7">
      <w:pPr>
        <w:spacing w:before="120"/>
        <w:ind w:left="850" w:hanging="425"/>
        <w:jc w:val="both"/>
        <w:rPr>
          <w:sz w:val="22"/>
          <w:szCs w:val="22"/>
        </w:rPr>
      </w:pPr>
    </w:p>
    <w:p w14:paraId="501B9555" w14:textId="77777777" w:rsidR="005406EE" w:rsidRPr="006854F1" w:rsidRDefault="005406EE" w:rsidP="003931C7">
      <w:pPr>
        <w:spacing w:before="120"/>
        <w:ind w:left="850" w:hanging="425"/>
        <w:jc w:val="both"/>
        <w:rPr>
          <w:sz w:val="22"/>
          <w:szCs w:val="22"/>
        </w:rPr>
      </w:pPr>
    </w:p>
    <w:p w14:paraId="63A44E19" w14:textId="77777777" w:rsidR="00234DFF" w:rsidRPr="00EA02A0" w:rsidRDefault="00234DFF" w:rsidP="0057618C">
      <w:pPr>
        <w:pStyle w:val="Heading3"/>
        <w:numPr>
          <w:ilvl w:val="0"/>
          <w:numId w:val="28"/>
        </w:numPr>
        <w:rPr>
          <w:rFonts w:asciiTheme="majorBidi" w:hAnsiTheme="majorBidi" w:cstheme="majorBidi"/>
          <w:sz w:val="22"/>
          <w:szCs w:val="22"/>
        </w:rPr>
      </w:pPr>
      <w:bookmarkStart w:id="30" w:name="_Toc497992293"/>
      <w:r w:rsidRPr="00EA02A0">
        <w:rPr>
          <w:rFonts w:asciiTheme="majorBidi" w:hAnsiTheme="majorBidi" w:cstheme="majorBidi"/>
          <w:sz w:val="22"/>
          <w:szCs w:val="22"/>
        </w:rPr>
        <w:t>Budget, amount requested from the Contracting Authority and other expected sources of funding</w:t>
      </w:r>
      <w:bookmarkEnd w:id="30"/>
    </w:p>
    <w:p w14:paraId="42082114" w14:textId="77777777" w:rsidR="008E3A79" w:rsidRDefault="008E3A79" w:rsidP="008E3A79"/>
    <w:p w14:paraId="4CE9D20F" w14:textId="3AC58F69" w:rsidR="008E3A79" w:rsidRPr="008E3A79" w:rsidRDefault="000148E5" w:rsidP="000148E5">
      <w:pPr>
        <w:ind w:left="142"/>
        <w:sectPr w:rsidR="008E3A79" w:rsidRPr="008E3A79" w:rsidSect="00F32088">
          <w:footerReference w:type="default" r:id="rId13"/>
          <w:pgSz w:w="11906" w:h="16838" w:code="9"/>
          <w:pgMar w:top="1134" w:right="1418" w:bottom="1418" w:left="1418" w:header="709" w:footer="709" w:gutter="0"/>
          <w:cols w:space="708"/>
          <w:docGrid w:linePitch="360"/>
        </w:sectPr>
      </w:pPr>
      <w:r w:rsidRPr="000148E5">
        <w:drawing>
          <wp:inline distT="0" distB="0" distL="0" distR="0" wp14:anchorId="3A4023DC" wp14:editId="5FBCD1B8">
            <wp:extent cx="5219439" cy="832529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5759"/>
                    <a:stretch/>
                  </pic:blipFill>
                  <pic:spPr bwMode="auto">
                    <a:xfrm>
                      <a:off x="0" y="0"/>
                      <a:ext cx="5223445" cy="8331683"/>
                    </a:xfrm>
                    <a:prstGeom prst="rect">
                      <a:avLst/>
                    </a:prstGeom>
                    <a:noFill/>
                    <a:ln>
                      <a:noFill/>
                    </a:ln>
                    <a:extLst>
                      <a:ext uri="{53640926-AAD7-44D8-BBD7-CCE9431645EC}">
                        <a14:shadowObscured xmlns:a14="http://schemas.microsoft.com/office/drawing/2010/main"/>
                      </a:ext>
                    </a:extLst>
                  </pic:spPr>
                </pic:pic>
              </a:graphicData>
            </a:graphic>
          </wp:inline>
        </w:drawing>
      </w:r>
    </w:p>
    <w:p w14:paraId="25F86DAB" w14:textId="37F4C2AC" w:rsidR="00B45B15" w:rsidRPr="006854F1" w:rsidRDefault="008E3A79" w:rsidP="0057618C">
      <w:pPr>
        <w:pStyle w:val="Heading3"/>
        <w:numPr>
          <w:ilvl w:val="0"/>
          <w:numId w:val="28"/>
        </w:numPr>
      </w:pPr>
      <w:bookmarkStart w:id="31" w:name="_Toc497992294"/>
      <w:r>
        <w:t xml:space="preserve">Annex: </w:t>
      </w:r>
      <w:r w:rsidR="00B45B15" w:rsidRPr="006854F1">
        <w:t>Logical Framework</w:t>
      </w:r>
      <w:bookmarkEnd w:id="31"/>
    </w:p>
    <w:p w14:paraId="42159FFB" w14:textId="77777777" w:rsidR="00D61A47" w:rsidRPr="006854F1" w:rsidRDefault="00D61A47" w:rsidP="00D61A47"/>
    <w:p w14:paraId="6ED1D651" w14:textId="729467EE" w:rsidR="00D61A47" w:rsidRPr="006854F1" w:rsidRDefault="000148E5" w:rsidP="00D61A47">
      <w:pPr>
        <w:rPr>
          <w:sz w:val="22"/>
        </w:rPr>
      </w:pPr>
      <w:r>
        <w:rPr>
          <w:sz w:val="22"/>
        </w:rPr>
        <w:t>See attached</w:t>
      </w:r>
      <w:bookmarkStart w:id="32" w:name="_GoBack"/>
      <w:bookmarkEnd w:id="32"/>
    </w:p>
    <w:p w14:paraId="0317DC3D" w14:textId="77777777" w:rsidR="00D61A47" w:rsidRPr="006854F1" w:rsidRDefault="00D61A47" w:rsidP="00D61A47">
      <w:pPr>
        <w:rPr>
          <w:sz w:val="22"/>
        </w:rPr>
      </w:pPr>
    </w:p>
    <w:p w14:paraId="4568B88C" w14:textId="6E941D89" w:rsidR="00D61A47" w:rsidRPr="006854F1" w:rsidRDefault="00D61A47" w:rsidP="00230D62">
      <w:pPr>
        <w:pStyle w:val="Heading4"/>
      </w:pPr>
      <w:bookmarkStart w:id="33" w:name="_Toc497992295"/>
      <w:r w:rsidRPr="006854F1">
        <w:t>Specific Objective 1: Logical Framework</w:t>
      </w:r>
      <w:bookmarkEnd w:id="33"/>
    </w:p>
    <w:p w14:paraId="354D8A76" w14:textId="77777777" w:rsidR="001E759D" w:rsidRDefault="001E759D" w:rsidP="00D61A47"/>
    <w:p w14:paraId="603F58FE" w14:textId="5BDEE93F" w:rsidR="006F7E5C" w:rsidRDefault="00FE0B3B" w:rsidP="006F7E5C">
      <w:r>
        <w:t>SEE ATTACHED</w:t>
      </w:r>
      <w:r w:rsidR="00DA1E7B">
        <w:t xml:space="preserve"> LOGFRAME</w:t>
      </w:r>
      <w:r>
        <w:t xml:space="preserve"> WITH COMMENTS</w:t>
      </w:r>
    </w:p>
    <w:p w14:paraId="7945ED33" w14:textId="77777777" w:rsidR="006F7E5C" w:rsidRDefault="006F7E5C" w:rsidP="006F7E5C"/>
    <w:tbl>
      <w:tblPr>
        <w:tblW w:w="5000"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30"/>
        <w:gridCol w:w="4565"/>
        <w:gridCol w:w="1311"/>
        <w:gridCol w:w="2860"/>
      </w:tblGrid>
      <w:tr w:rsidR="006F7E5C" w:rsidRPr="003871D0" w14:paraId="6388E47C" w14:textId="77777777" w:rsidTr="00916EBD">
        <w:trPr>
          <w:trHeight w:val="20"/>
          <w:tblHeader/>
        </w:trPr>
        <w:tc>
          <w:tcPr>
            <w:tcW w:w="5530" w:type="dxa"/>
            <w:tcBorders>
              <w:top w:val="single" w:sz="8" w:space="0" w:color="auto"/>
            </w:tcBorders>
            <w:shd w:val="clear" w:color="auto" w:fill="BFBFBF"/>
            <w:hideMark/>
          </w:tcPr>
          <w:p w14:paraId="0AA9B112" w14:textId="77777777" w:rsidR="006F7E5C" w:rsidRPr="003871D0" w:rsidRDefault="006F7E5C" w:rsidP="00916EBD">
            <w:pPr>
              <w:spacing w:beforeAutospacing="1" w:afterAutospacing="1"/>
              <w:ind w:left="-235"/>
              <w:jc w:val="center"/>
              <w:rPr>
                <w:rFonts w:asciiTheme="majorBidi" w:hAnsiTheme="majorBidi" w:cstheme="majorBidi"/>
                <w:b/>
                <w:bCs/>
                <w:sz w:val="22"/>
                <w:szCs w:val="22"/>
              </w:rPr>
            </w:pPr>
            <w:r w:rsidRPr="003871D0">
              <w:rPr>
                <w:rFonts w:asciiTheme="majorBidi" w:hAnsiTheme="majorBidi" w:cstheme="majorBidi"/>
                <w:b/>
                <w:bCs/>
                <w:sz w:val="22"/>
                <w:szCs w:val="22"/>
              </w:rPr>
              <w:t>Activities</w:t>
            </w:r>
          </w:p>
        </w:tc>
        <w:tc>
          <w:tcPr>
            <w:tcW w:w="4565" w:type="dxa"/>
            <w:tcBorders>
              <w:top w:val="single" w:sz="8" w:space="0" w:color="auto"/>
            </w:tcBorders>
            <w:shd w:val="clear" w:color="auto" w:fill="BFBFBF"/>
            <w:hideMark/>
          </w:tcPr>
          <w:p w14:paraId="2AFAB69D" w14:textId="77777777" w:rsidR="006F7E5C" w:rsidRPr="003871D0" w:rsidRDefault="006F7E5C" w:rsidP="00916EBD">
            <w:pPr>
              <w:spacing w:beforeAutospacing="1" w:afterAutospacing="1"/>
              <w:jc w:val="center"/>
              <w:rPr>
                <w:rFonts w:asciiTheme="majorBidi" w:hAnsiTheme="majorBidi" w:cstheme="majorBidi"/>
                <w:b/>
                <w:bCs/>
                <w:sz w:val="22"/>
                <w:szCs w:val="22"/>
              </w:rPr>
            </w:pPr>
            <w:r w:rsidRPr="003871D0">
              <w:rPr>
                <w:rFonts w:asciiTheme="majorBidi" w:hAnsiTheme="majorBidi" w:cstheme="majorBidi"/>
                <w:b/>
                <w:bCs/>
                <w:sz w:val="22"/>
                <w:szCs w:val="22"/>
              </w:rPr>
              <w:t>Means</w:t>
            </w:r>
          </w:p>
        </w:tc>
        <w:tc>
          <w:tcPr>
            <w:tcW w:w="1311" w:type="dxa"/>
            <w:tcBorders>
              <w:top w:val="single" w:sz="8" w:space="0" w:color="auto"/>
            </w:tcBorders>
            <w:shd w:val="clear" w:color="auto" w:fill="BFBFBF"/>
            <w:noWrap/>
            <w:hideMark/>
          </w:tcPr>
          <w:p w14:paraId="6F3C6BEA" w14:textId="77777777" w:rsidR="006F7E5C" w:rsidRPr="003871D0" w:rsidRDefault="006F7E5C" w:rsidP="00916EBD">
            <w:pPr>
              <w:spacing w:beforeAutospacing="1" w:afterAutospacing="1"/>
              <w:jc w:val="center"/>
              <w:rPr>
                <w:rFonts w:asciiTheme="majorBidi" w:hAnsiTheme="majorBidi" w:cstheme="majorBidi"/>
                <w:b/>
                <w:bCs/>
                <w:sz w:val="22"/>
                <w:szCs w:val="22"/>
              </w:rPr>
            </w:pPr>
            <w:r w:rsidRPr="003871D0">
              <w:rPr>
                <w:rFonts w:asciiTheme="majorBidi" w:hAnsiTheme="majorBidi" w:cstheme="majorBidi"/>
                <w:b/>
                <w:bCs/>
                <w:sz w:val="22"/>
                <w:szCs w:val="22"/>
              </w:rPr>
              <w:t>Costs</w:t>
            </w:r>
          </w:p>
        </w:tc>
        <w:tc>
          <w:tcPr>
            <w:tcW w:w="2860" w:type="dxa"/>
            <w:tcBorders>
              <w:top w:val="single" w:sz="8" w:space="0" w:color="auto"/>
            </w:tcBorders>
            <w:shd w:val="clear" w:color="auto" w:fill="BFBFBF"/>
          </w:tcPr>
          <w:p w14:paraId="7C04E9C3" w14:textId="77777777" w:rsidR="006F7E5C" w:rsidRPr="003871D0" w:rsidRDefault="006F7E5C" w:rsidP="00916EBD">
            <w:pPr>
              <w:spacing w:beforeAutospacing="1" w:afterAutospacing="1"/>
              <w:jc w:val="center"/>
              <w:rPr>
                <w:rFonts w:asciiTheme="majorBidi" w:hAnsiTheme="majorBidi" w:cstheme="majorBidi"/>
                <w:b/>
                <w:bCs/>
                <w:sz w:val="22"/>
                <w:szCs w:val="22"/>
              </w:rPr>
            </w:pPr>
            <w:r w:rsidRPr="003871D0">
              <w:rPr>
                <w:rFonts w:asciiTheme="majorBidi" w:hAnsiTheme="majorBidi" w:cstheme="majorBidi"/>
                <w:b/>
                <w:bCs/>
                <w:sz w:val="22"/>
                <w:szCs w:val="22"/>
              </w:rPr>
              <w:t>Assumptions</w:t>
            </w:r>
          </w:p>
        </w:tc>
      </w:tr>
      <w:tr w:rsidR="006F7E5C" w:rsidRPr="003871D0" w14:paraId="3ED4FC8E" w14:textId="77777777" w:rsidTr="00916EBD">
        <w:trPr>
          <w:trHeight w:val="569"/>
        </w:trPr>
        <w:tc>
          <w:tcPr>
            <w:tcW w:w="5530" w:type="dxa"/>
            <w:shd w:val="clear" w:color="auto" w:fill="auto"/>
          </w:tcPr>
          <w:p w14:paraId="15B252A0"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Implementation of the ICCWC Wildlife and Forest Crime Analytic Toolkit and ICCWC Indicator Framework</w:t>
            </w:r>
          </w:p>
          <w:p w14:paraId="751874FA" w14:textId="77777777" w:rsidR="006F7E5C" w:rsidRPr="003871D0" w:rsidRDefault="006F7E5C" w:rsidP="00916EBD">
            <w:pPr>
              <w:spacing w:beforeAutospacing="1" w:afterAutospacing="1"/>
              <w:rPr>
                <w:rFonts w:asciiTheme="majorBidi" w:hAnsiTheme="majorBidi" w:cstheme="majorBidi"/>
                <w:sz w:val="22"/>
                <w:szCs w:val="22"/>
              </w:rPr>
            </w:pPr>
          </w:p>
        </w:tc>
        <w:tc>
          <w:tcPr>
            <w:tcW w:w="4565" w:type="dxa"/>
            <w:shd w:val="clear" w:color="auto" w:fill="auto"/>
          </w:tcPr>
          <w:p w14:paraId="464C8525" w14:textId="77777777" w:rsidR="006F7E5C" w:rsidRPr="003871D0" w:rsidRDefault="006F7E5C" w:rsidP="00916EBD">
            <w:pPr>
              <w:spacing w:beforeAutospacing="1" w:afterAutospacing="1"/>
              <w:jc w:val="center"/>
              <w:rPr>
                <w:rFonts w:asciiTheme="majorBidi" w:hAnsiTheme="majorBidi" w:cstheme="majorBidi"/>
                <w:sz w:val="22"/>
                <w:szCs w:val="22"/>
              </w:rPr>
            </w:pPr>
          </w:p>
          <w:p w14:paraId="009CACB2"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Technical assessment by UNODC</w:t>
            </w:r>
          </w:p>
        </w:tc>
        <w:tc>
          <w:tcPr>
            <w:tcW w:w="1311" w:type="dxa"/>
            <w:shd w:val="clear" w:color="auto" w:fill="auto"/>
            <w:vAlign w:val="center"/>
          </w:tcPr>
          <w:p w14:paraId="1599CA62"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47F5E167"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National governments have the political will to prioritize and address the issues related to wildlife crime.</w:t>
            </w:r>
          </w:p>
        </w:tc>
      </w:tr>
      <w:tr w:rsidR="006F7E5C" w:rsidRPr="003871D0" w14:paraId="7B5FB533" w14:textId="77777777" w:rsidTr="00916EBD">
        <w:trPr>
          <w:trHeight w:val="569"/>
        </w:trPr>
        <w:tc>
          <w:tcPr>
            <w:tcW w:w="5530" w:type="dxa"/>
            <w:shd w:val="clear" w:color="auto" w:fill="auto"/>
          </w:tcPr>
          <w:p w14:paraId="0BE9A45D"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Implementation of action plans from ICCWC Toolkit</w:t>
            </w:r>
          </w:p>
          <w:p w14:paraId="1D532FEC" w14:textId="77777777" w:rsidR="006F7E5C" w:rsidRPr="003871D0" w:rsidRDefault="006F7E5C" w:rsidP="00916EBD">
            <w:pPr>
              <w:spacing w:after="180"/>
              <w:rPr>
                <w:rFonts w:asciiTheme="majorBidi" w:hAnsiTheme="majorBidi" w:cstheme="majorBidi"/>
                <w:sz w:val="22"/>
                <w:szCs w:val="22"/>
              </w:rPr>
            </w:pPr>
          </w:p>
          <w:p w14:paraId="1B6223B0" w14:textId="77777777" w:rsidR="006F7E5C" w:rsidRPr="003871D0" w:rsidRDefault="006F7E5C" w:rsidP="00916EBD">
            <w:pPr>
              <w:spacing w:after="180"/>
              <w:rPr>
                <w:rFonts w:asciiTheme="majorBidi" w:hAnsiTheme="majorBidi" w:cstheme="majorBidi"/>
                <w:sz w:val="22"/>
                <w:szCs w:val="22"/>
              </w:rPr>
            </w:pPr>
          </w:p>
        </w:tc>
        <w:tc>
          <w:tcPr>
            <w:tcW w:w="4565" w:type="dxa"/>
            <w:shd w:val="clear" w:color="auto" w:fill="auto"/>
          </w:tcPr>
          <w:p w14:paraId="1EFFDE32"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Technical assistance</w:t>
            </w:r>
          </w:p>
        </w:tc>
        <w:tc>
          <w:tcPr>
            <w:tcW w:w="1311" w:type="dxa"/>
            <w:shd w:val="clear" w:color="auto" w:fill="auto"/>
            <w:vAlign w:val="center"/>
          </w:tcPr>
          <w:p w14:paraId="58FBF409"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54CDEF3C"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National governments have the political will to prioritize and address the issues related to wildlife crime.</w:t>
            </w:r>
          </w:p>
        </w:tc>
      </w:tr>
      <w:tr w:rsidR="006F7E5C" w:rsidRPr="003871D0" w14:paraId="2FD43BAB" w14:textId="77777777" w:rsidTr="00916EBD">
        <w:trPr>
          <w:trHeight w:val="569"/>
        </w:trPr>
        <w:tc>
          <w:tcPr>
            <w:tcW w:w="5530" w:type="dxa"/>
            <w:shd w:val="clear" w:color="auto" w:fill="auto"/>
          </w:tcPr>
          <w:p w14:paraId="21B74EA7" w14:textId="4728BF54"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Training on basic enforcement techniques</w:t>
            </w:r>
          </w:p>
          <w:p w14:paraId="10513084" w14:textId="77777777" w:rsidR="006F7E5C" w:rsidRPr="003871D0" w:rsidRDefault="006F7E5C" w:rsidP="00916EBD">
            <w:pPr>
              <w:pStyle w:val="ListParagraph"/>
              <w:spacing w:after="180"/>
              <w:ind w:left="1080"/>
              <w:rPr>
                <w:rFonts w:asciiTheme="majorBidi" w:hAnsiTheme="majorBidi" w:cstheme="majorBidi"/>
              </w:rPr>
            </w:pPr>
          </w:p>
        </w:tc>
        <w:tc>
          <w:tcPr>
            <w:tcW w:w="4565" w:type="dxa"/>
            <w:shd w:val="clear" w:color="auto" w:fill="auto"/>
          </w:tcPr>
          <w:p w14:paraId="15BEF53F"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Trainings provided by INTERPOL</w:t>
            </w:r>
          </w:p>
        </w:tc>
        <w:tc>
          <w:tcPr>
            <w:tcW w:w="1311" w:type="dxa"/>
            <w:shd w:val="clear" w:color="auto" w:fill="auto"/>
            <w:vAlign w:val="center"/>
          </w:tcPr>
          <w:p w14:paraId="59D33BB1"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17A5CBEC" w14:textId="39F2BD6D" w:rsidR="006F7E5C" w:rsidRPr="003871D0" w:rsidRDefault="006F7E5C" w:rsidP="005C67A5">
            <w:pPr>
              <w:rPr>
                <w:rFonts w:asciiTheme="majorBidi" w:hAnsiTheme="majorBidi" w:cstheme="majorBidi"/>
                <w:sz w:val="22"/>
                <w:szCs w:val="22"/>
              </w:rPr>
            </w:pPr>
            <w:r w:rsidRPr="003871D0">
              <w:rPr>
                <w:rFonts w:asciiTheme="majorBidi" w:hAnsiTheme="majorBidi" w:cstheme="majorBidi"/>
                <w:sz w:val="22"/>
                <w:szCs w:val="22"/>
              </w:rPr>
              <w:t>Political will to keep fighting wildlife crime and to bring to justice wildlife criminals/offenders</w:t>
            </w:r>
          </w:p>
          <w:p w14:paraId="4E8CCF4F" w14:textId="77777777" w:rsidR="006F7E5C" w:rsidRPr="003871D0" w:rsidRDefault="006F7E5C" w:rsidP="00916EBD">
            <w:pPr>
              <w:rPr>
                <w:rFonts w:asciiTheme="majorBidi" w:hAnsiTheme="majorBidi" w:cstheme="majorBidi"/>
                <w:sz w:val="22"/>
                <w:szCs w:val="22"/>
              </w:rPr>
            </w:pPr>
          </w:p>
          <w:p w14:paraId="0AF9FAD8"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 xml:space="preserve">Commitment or engagement from counterparts in receiving training. </w:t>
            </w:r>
          </w:p>
          <w:p w14:paraId="3318EE96" w14:textId="77777777" w:rsidR="006F7E5C" w:rsidRPr="003871D0" w:rsidRDefault="006F7E5C" w:rsidP="00916EBD">
            <w:pPr>
              <w:rPr>
                <w:rFonts w:asciiTheme="majorBidi" w:hAnsiTheme="majorBidi" w:cstheme="majorBidi"/>
                <w:sz w:val="22"/>
                <w:szCs w:val="22"/>
              </w:rPr>
            </w:pPr>
          </w:p>
          <w:p w14:paraId="5E85BA38"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Suitable officials selected for training by national authorities.</w:t>
            </w:r>
          </w:p>
          <w:p w14:paraId="4B45EC5B" w14:textId="77777777" w:rsidR="006F7E5C" w:rsidRPr="003871D0" w:rsidRDefault="006F7E5C" w:rsidP="00916EBD">
            <w:pPr>
              <w:rPr>
                <w:rFonts w:asciiTheme="majorBidi" w:hAnsiTheme="majorBidi" w:cstheme="majorBidi"/>
                <w:sz w:val="22"/>
                <w:szCs w:val="22"/>
              </w:rPr>
            </w:pPr>
          </w:p>
          <w:p w14:paraId="54893C1E"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Trained officials remain in duties connected to wildlife crime</w:t>
            </w:r>
          </w:p>
        </w:tc>
      </w:tr>
      <w:tr w:rsidR="006F7E5C" w:rsidRPr="003871D0" w14:paraId="120AF294" w14:textId="77777777" w:rsidTr="00916EBD">
        <w:trPr>
          <w:trHeight w:val="569"/>
        </w:trPr>
        <w:tc>
          <w:tcPr>
            <w:tcW w:w="5530" w:type="dxa"/>
            <w:shd w:val="clear" w:color="auto" w:fill="auto"/>
          </w:tcPr>
          <w:p w14:paraId="7C01D0C1"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Specialized and advanced training delivered</w:t>
            </w:r>
          </w:p>
          <w:p w14:paraId="6CB280CF" w14:textId="77777777" w:rsidR="006F7E5C" w:rsidRPr="003871D0" w:rsidRDefault="006F7E5C" w:rsidP="00916EBD">
            <w:pPr>
              <w:spacing w:beforeAutospacing="1" w:afterAutospacing="1"/>
              <w:rPr>
                <w:rFonts w:asciiTheme="majorBidi" w:hAnsiTheme="majorBidi" w:cstheme="majorBidi"/>
                <w:sz w:val="22"/>
                <w:szCs w:val="22"/>
              </w:rPr>
            </w:pPr>
          </w:p>
        </w:tc>
        <w:tc>
          <w:tcPr>
            <w:tcW w:w="4565" w:type="dxa"/>
            <w:shd w:val="clear" w:color="auto" w:fill="auto"/>
          </w:tcPr>
          <w:p w14:paraId="1704796A"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Trainings provided by INTERPOL, UNODC, WB</w:t>
            </w:r>
          </w:p>
        </w:tc>
        <w:tc>
          <w:tcPr>
            <w:tcW w:w="1311" w:type="dxa"/>
            <w:shd w:val="clear" w:color="auto" w:fill="auto"/>
            <w:vAlign w:val="center"/>
          </w:tcPr>
          <w:p w14:paraId="21B2A6DC"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5DB8071C" w14:textId="3059C8DA" w:rsidR="006F7E5C" w:rsidRPr="003871D0" w:rsidRDefault="006F7E5C" w:rsidP="00483842">
            <w:pPr>
              <w:rPr>
                <w:rFonts w:asciiTheme="majorBidi" w:hAnsiTheme="majorBidi" w:cstheme="majorBidi"/>
                <w:sz w:val="22"/>
                <w:szCs w:val="22"/>
              </w:rPr>
            </w:pPr>
            <w:r w:rsidRPr="003871D0">
              <w:rPr>
                <w:rFonts w:asciiTheme="majorBidi" w:hAnsiTheme="majorBidi" w:cstheme="majorBidi"/>
                <w:sz w:val="22"/>
                <w:szCs w:val="22"/>
              </w:rPr>
              <w:t>Political will to keep fighting wildlife crime and to bring to justice wildlife criminals/offenders</w:t>
            </w:r>
          </w:p>
          <w:p w14:paraId="77F5980F" w14:textId="77777777" w:rsidR="006F7E5C" w:rsidRPr="003871D0" w:rsidRDefault="006F7E5C" w:rsidP="00916EBD">
            <w:pPr>
              <w:rPr>
                <w:rFonts w:asciiTheme="majorBidi" w:hAnsiTheme="majorBidi" w:cstheme="majorBidi"/>
                <w:sz w:val="22"/>
                <w:szCs w:val="22"/>
              </w:rPr>
            </w:pPr>
          </w:p>
          <w:p w14:paraId="23D75DF4"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 xml:space="preserve">Commitment or engagement from counterparts in receiving training. </w:t>
            </w:r>
          </w:p>
          <w:p w14:paraId="183C1FB4" w14:textId="77777777" w:rsidR="006F7E5C" w:rsidRPr="003871D0" w:rsidRDefault="006F7E5C" w:rsidP="00916EBD">
            <w:pPr>
              <w:rPr>
                <w:rFonts w:asciiTheme="majorBidi" w:hAnsiTheme="majorBidi" w:cstheme="majorBidi"/>
                <w:sz w:val="22"/>
                <w:szCs w:val="22"/>
              </w:rPr>
            </w:pPr>
          </w:p>
          <w:p w14:paraId="5598E97F"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Suitable officials selected for training by national authorities.</w:t>
            </w:r>
          </w:p>
          <w:p w14:paraId="66429450" w14:textId="77777777" w:rsidR="006F7E5C" w:rsidRPr="003871D0" w:rsidRDefault="006F7E5C" w:rsidP="00916EBD">
            <w:pPr>
              <w:rPr>
                <w:rFonts w:asciiTheme="majorBidi" w:hAnsiTheme="majorBidi" w:cstheme="majorBidi"/>
                <w:sz w:val="22"/>
                <w:szCs w:val="22"/>
              </w:rPr>
            </w:pPr>
          </w:p>
          <w:p w14:paraId="23409F79"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Trained officials remain in duties connected to wildlife crime.</w:t>
            </w:r>
          </w:p>
          <w:p w14:paraId="0132B9B5" w14:textId="77777777" w:rsidR="006F7E5C" w:rsidRPr="003871D0" w:rsidRDefault="006F7E5C" w:rsidP="00916EBD">
            <w:pPr>
              <w:rPr>
                <w:rFonts w:asciiTheme="majorBidi" w:hAnsiTheme="majorBidi" w:cstheme="majorBidi"/>
                <w:sz w:val="22"/>
                <w:szCs w:val="22"/>
              </w:rPr>
            </w:pPr>
          </w:p>
        </w:tc>
      </w:tr>
      <w:tr w:rsidR="006F7E5C" w:rsidRPr="003871D0" w14:paraId="4E33E199" w14:textId="77777777" w:rsidTr="00916EBD">
        <w:trPr>
          <w:trHeight w:val="569"/>
        </w:trPr>
        <w:tc>
          <w:tcPr>
            <w:tcW w:w="5530" w:type="dxa"/>
            <w:shd w:val="clear" w:color="auto" w:fill="auto"/>
          </w:tcPr>
          <w:p w14:paraId="4908D67B"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Training for judges and prosecutors, and mentorship</w:t>
            </w:r>
          </w:p>
        </w:tc>
        <w:tc>
          <w:tcPr>
            <w:tcW w:w="4565" w:type="dxa"/>
            <w:shd w:val="clear" w:color="auto" w:fill="auto"/>
          </w:tcPr>
          <w:p w14:paraId="7319134C"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Trainings by UNODC</w:t>
            </w:r>
          </w:p>
        </w:tc>
        <w:tc>
          <w:tcPr>
            <w:tcW w:w="1311" w:type="dxa"/>
            <w:shd w:val="clear" w:color="auto" w:fill="auto"/>
            <w:vAlign w:val="center"/>
          </w:tcPr>
          <w:p w14:paraId="24062E44"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1C29B0A9" w14:textId="7F7B2D41" w:rsidR="006F7E5C" w:rsidRPr="003871D0" w:rsidRDefault="006F7E5C" w:rsidP="00483842">
            <w:pPr>
              <w:rPr>
                <w:rFonts w:asciiTheme="majorBidi" w:hAnsiTheme="majorBidi" w:cstheme="majorBidi"/>
                <w:sz w:val="22"/>
                <w:szCs w:val="22"/>
              </w:rPr>
            </w:pPr>
            <w:r w:rsidRPr="003871D0">
              <w:rPr>
                <w:rFonts w:asciiTheme="majorBidi" w:hAnsiTheme="majorBidi" w:cstheme="majorBidi"/>
                <w:sz w:val="22"/>
                <w:szCs w:val="22"/>
              </w:rPr>
              <w:t>Political will to keep fighting wildlife crime and to bring to justice wildlife criminals/offenders</w:t>
            </w:r>
          </w:p>
          <w:p w14:paraId="066B0197" w14:textId="77777777" w:rsidR="006F7E5C" w:rsidRPr="003871D0" w:rsidRDefault="006F7E5C" w:rsidP="00916EBD">
            <w:pPr>
              <w:rPr>
                <w:rFonts w:asciiTheme="majorBidi" w:hAnsiTheme="majorBidi" w:cstheme="majorBidi"/>
                <w:sz w:val="22"/>
                <w:szCs w:val="22"/>
              </w:rPr>
            </w:pPr>
          </w:p>
          <w:p w14:paraId="5228A830"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 xml:space="preserve">Commitment or engagement from counterparts in receiving training. </w:t>
            </w:r>
          </w:p>
          <w:p w14:paraId="7CC92B53" w14:textId="77777777" w:rsidR="006F7E5C" w:rsidRPr="003871D0" w:rsidRDefault="006F7E5C" w:rsidP="00916EBD">
            <w:pPr>
              <w:rPr>
                <w:rFonts w:asciiTheme="majorBidi" w:hAnsiTheme="majorBidi" w:cstheme="majorBidi"/>
                <w:sz w:val="22"/>
                <w:szCs w:val="22"/>
              </w:rPr>
            </w:pPr>
          </w:p>
          <w:p w14:paraId="4C9012F3" w14:textId="77777777" w:rsidR="006F7E5C" w:rsidRPr="003871D0" w:rsidRDefault="006F7E5C" w:rsidP="00916EBD">
            <w:pPr>
              <w:rPr>
                <w:rFonts w:asciiTheme="majorBidi" w:hAnsiTheme="majorBidi" w:cstheme="majorBidi"/>
                <w:sz w:val="22"/>
                <w:szCs w:val="22"/>
              </w:rPr>
            </w:pPr>
            <w:r w:rsidRPr="003871D0">
              <w:rPr>
                <w:rFonts w:asciiTheme="majorBidi" w:hAnsiTheme="majorBidi" w:cstheme="majorBidi"/>
                <w:sz w:val="22"/>
                <w:szCs w:val="22"/>
              </w:rPr>
              <w:t>Suitable officials selected for training by national authorities.</w:t>
            </w:r>
          </w:p>
        </w:tc>
      </w:tr>
      <w:tr w:rsidR="006F7E5C" w:rsidRPr="003871D0" w14:paraId="0CEFC288" w14:textId="77777777" w:rsidTr="00916EBD">
        <w:trPr>
          <w:trHeight w:val="569"/>
        </w:trPr>
        <w:tc>
          <w:tcPr>
            <w:tcW w:w="5530" w:type="dxa"/>
            <w:shd w:val="clear" w:color="auto" w:fill="auto"/>
          </w:tcPr>
          <w:p w14:paraId="376284F2"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Implementation of anti-corruption measures and strategies</w:t>
            </w:r>
          </w:p>
        </w:tc>
        <w:tc>
          <w:tcPr>
            <w:tcW w:w="4565" w:type="dxa"/>
            <w:shd w:val="clear" w:color="auto" w:fill="auto"/>
          </w:tcPr>
          <w:p w14:paraId="59931400" w14:textId="0570B19B"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WCO expertise, CITES expertise</w:t>
            </w:r>
            <w:r w:rsidR="001D401D">
              <w:rPr>
                <w:rFonts w:asciiTheme="majorBidi" w:hAnsiTheme="majorBidi" w:cstheme="majorBidi"/>
                <w:sz w:val="22"/>
                <w:szCs w:val="22"/>
              </w:rPr>
              <w:t xml:space="preserve">, implementation of </w:t>
            </w:r>
            <w:r w:rsidR="001D401D" w:rsidRPr="001D401D">
              <w:rPr>
                <w:rFonts w:asciiTheme="majorBidi" w:hAnsiTheme="majorBidi" w:cstheme="majorBidi"/>
                <w:sz w:val="22"/>
                <w:szCs w:val="22"/>
              </w:rPr>
              <w:t>Decisions and Resolutions adopted CITES member States</w:t>
            </w:r>
          </w:p>
        </w:tc>
        <w:tc>
          <w:tcPr>
            <w:tcW w:w="1311" w:type="dxa"/>
            <w:shd w:val="clear" w:color="auto" w:fill="auto"/>
            <w:vAlign w:val="center"/>
          </w:tcPr>
          <w:p w14:paraId="7A7326E7"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2EA86321" w14:textId="0023481C" w:rsidR="006F7E5C" w:rsidRPr="003871D0" w:rsidRDefault="001D401D" w:rsidP="001D401D">
            <w:pPr>
              <w:rPr>
                <w:rFonts w:asciiTheme="majorBidi" w:hAnsiTheme="majorBidi" w:cstheme="majorBidi"/>
                <w:sz w:val="22"/>
                <w:szCs w:val="22"/>
              </w:rPr>
            </w:pPr>
            <w:r>
              <w:rPr>
                <w:rFonts w:asciiTheme="majorBidi" w:hAnsiTheme="majorBidi" w:cstheme="majorBidi"/>
                <w:sz w:val="22"/>
                <w:szCs w:val="22"/>
              </w:rPr>
              <w:t xml:space="preserve">Commitment from </w:t>
            </w:r>
            <w:r w:rsidRPr="001D401D">
              <w:rPr>
                <w:rFonts w:asciiTheme="majorBidi" w:hAnsiTheme="majorBidi" w:cstheme="majorBidi"/>
                <w:sz w:val="22"/>
                <w:szCs w:val="22"/>
              </w:rPr>
              <w:t>CITES member States</w:t>
            </w:r>
            <w:r>
              <w:rPr>
                <w:rFonts w:asciiTheme="majorBidi" w:hAnsiTheme="majorBidi" w:cstheme="majorBidi"/>
                <w:sz w:val="22"/>
                <w:szCs w:val="22"/>
              </w:rPr>
              <w:t xml:space="preserve"> to meet their international obligations</w:t>
            </w:r>
          </w:p>
        </w:tc>
      </w:tr>
      <w:tr w:rsidR="006F7E5C" w:rsidRPr="003871D0" w14:paraId="08E5F7A6" w14:textId="77777777" w:rsidTr="00916EBD">
        <w:trPr>
          <w:trHeight w:val="569"/>
        </w:trPr>
        <w:tc>
          <w:tcPr>
            <w:tcW w:w="5530" w:type="dxa"/>
            <w:shd w:val="clear" w:color="auto" w:fill="auto"/>
          </w:tcPr>
          <w:p w14:paraId="65069134"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Law enforcement mentorship and twinning programmes</w:t>
            </w:r>
          </w:p>
        </w:tc>
        <w:tc>
          <w:tcPr>
            <w:tcW w:w="4565" w:type="dxa"/>
            <w:shd w:val="clear" w:color="auto" w:fill="auto"/>
          </w:tcPr>
          <w:p w14:paraId="47FD61C4"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Secondment of law enforcement officers</w:t>
            </w:r>
          </w:p>
        </w:tc>
        <w:tc>
          <w:tcPr>
            <w:tcW w:w="1311" w:type="dxa"/>
            <w:shd w:val="clear" w:color="auto" w:fill="auto"/>
            <w:vAlign w:val="center"/>
          </w:tcPr>
          <w:p w14:paraId="5E9C68EE"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31724C4D" w14:textId="77777777" w:rsidR="006F7E5C" w:rsidRPr="003871D0" w:rsidRDefault="006F7E5C" w:rsidP="00916EBD">
            <w:pPr>
              <w:rPr>
                <w:rFonts w:asciiTheme="majorBidi" w:hAnsiTheme="majorBidi" w:cstheme="majorBidi"/>
                <w:sz w:val="22"/>
                <w:szCs w:val="22"/>
              </w:rPr>
            </w:pPr>
          </w:p>
        </w:tc>
      </w:tr>
      <w:tr w:rsidR="006F7E5C" w:rsidRPr="003871D0" w14:paraId="5DFC0BC3" w14:textId="77777777" w:rsidTr="00916EBD">
        <w:trPr>
          <w:trHeight w:val="569"/>
        </w:trPr>
        <w:tc>
          <w:tcPr>
            <w:tcW w:w="5530" w:type="dxa"/>
            <w:shd w:val="clear" w:color="auto" w:fill="auto"/>
          </w:tcPr>
          <w:p w14:paraId="795A4E54"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High level awareness of WLFC</w:t>
            </w:r>
          </w:p>
        </w:tc>
        <w:tc>
          <w:tcPr>
            <w:tcW w:w="4565" w:type="dxa"/>
            <w:shd w:val="clear" w:color="auto" w:fill="auto"/>
          </w:tcPr>
          <w:p w14:paraId="187BE11B"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Organize side-events at high-level meetings</w:t>
            </w:r>
          </w:p>
        </w:tc>
        <w:tc>
          <w:tcPr>
            <w:tcW w:w="1311" w:type="dxa"/>
            <w:shd w:val="clear" w:color="auto" w:fill="auto"/>
            <w:vAlign w:val="center"/>
          </w:tcPr>
          <w:p w14:paraId="6377948F"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7D8B2449" w14:textId="77777777" w:rsidR="006F7E5C" w:rsidRPr="003871D0" w:rsidRDefault="006F7E5C" w:rsidP="00916EBD">
            <w:pPr>
              <w:rPr>
                <w:rFonts w:asciiTheme="majorBidi" w:hAnsiTheme="majorBidi" w:cstheme="majorBidi"/>
                <w:sz w:val="22"/>
                <w:szCs w:val="22"/>
              </w:rPr>
            </w:pPr>
          </w:p>
        </w:tc>
      </w:tr>
      <w:tr w:rsidR="006F7E5C" w:rsidRPr="003871D0" w14:paraId="3E0F98D9" w14:textId="77777777" w:rsidTr="00916EBD">
        <w:trPr>
          <w:trHeight w:val="569"/>
        </w:trPr>
        <w:tc>
          <w:tcPr>
            <w:tcW w:w="5530" w:type="dxa"/>
            <w:shd w:val="clear" w:color="auto" w:fill="auto"/>
          </w:tcPr>
          <w:p w14:paraId="295C32CD" w14:textId="77777777" w:rsidR="006F7E5C" w:rsidRPr="003871D0" w:rsidRDefault="006F7E5C" w:rsidP="00916EBD">
            <w:pPr>
              <w:pStyle w:val="ListParagraph"/>
              <w:numPr>
                <w:ilvl w:val="2"/>
                <w:numId w:val="33"/>
              </w:numPr>
              <w:spacing w:after="180"/>
              <w:rPr>
                <w:rFonts w:asciiTheme="majorBidi" w:hAnsiTheme="majorBidi" w:cstheme="majorBidi"/>
              </w:rPr>
            </w:pPr>
            <w:r w:rsidRPr="003871D0">
              <w:rPr>
                <w:rFonts w:asciiTheme="majorBidi" w:hAnsiTheme="majorBidi" w:cstheme="majorBidi"/>
              </w:rPr>
              <w:t>Develop practical tools and services</w:t>
            </w:r>
          </w:p>
        </w:tc>
        <w:tc>
          <w:tcPr>
            <w:tcW w:w="4565" w:type="dxa"/>
            <w:shd w:val="clear" w:color="auto" w:fill="auto"/>
          </w:tcPr>
          <w:p w14:paraId="511598B8" w14:textId="3E17D798"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Development of knowledge products</w:t>
            </w:r>
            <w:r w:rsidR="001D401D">
              <w:rPr>
                <w:rFonts w:asciiTheme="majorBidi" w:hAnsiTheme="majorBidi" w:cstheme="majorBidi"/>
                <w:sz w:val="22"/>
                <w:szCs w:val="22"/>
              </w:rPr>
              <w:t>,</w:t>
            </w:r>
            <w:r w:rsidR="001D401D">
              <w:t xml:space="preserve"> </w:t>
            </w:r>
            <w:r w:rsidR="001D401D" w:rsidRPr="001D401D">
              <w:t xml:space="preserve">implementation of </w:t>
            </w:r>
            <w:r w:rsidR="001D401D" w:rsidRPr="001D401D">
              <w:rPr>
                <w:rFonts w:asciiTheme="majorBidi" w:hAnsiTheme="majorBidi" w:cstheme="majorBidi"/>
                <w:sz w:val="22"/>
                <w:szCs w:val="22"/>
              </w:rPr>
              <w:t>Decisions and Resolutions adopted CITES member States</w:t>
            </w:r>
          </w:p>
        </w:tc>
        <w:tc>
          <w:tcPr>
            <w:tcW w:w="1311" w:type="dxa"/>
            <w:shd w:val="clear" w:color="auto" w:fill="auto"/>
            <w:vAlign w:val="center"/>
          </w:tcPr>
          <w:p w14:paraId="4490B82A"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7EF5FD9E" w14:textId="64508B6F" w:rsidR="006F7E5C" w:rsidRPr="003871D0" w:rsidRDefault="001D401D" w:rsidP="00916EBD">
            <w:pPr>
              <w:rPr>
                <w:rFonts w:asciiTheme="majorBidi" w:hAnsiTheme="majorBidi" w:cstheme="majorBidi"/>
                <w:sz w:val="22"/>
                <w:szCs w:val="22"/>
              </w:rPr>
            </w:pPr>
            <w:r w:rsidRPr="001D401D">
              <w:rPr>
                <w:rFonts w:asciiTheme="majorBidi" w:hAnsiTheme="majorBidi" w:cstheme="majorBidi"/>
                <w:sz w:val="22"/>
                <w:szCs w:val="22"/>
              </w:rPr>
              <w:t>Commitment from CITES member States to meet their international obligations</w:t>
            </w:r>
          </w:p>
        </w:tc>
      </w:tr>
      <w:tr w:rsidR="006F7E5C" w:rsidRPr="003871D0" w14:paraId="3DAC2823" w14:textId="77777777" w:rsidTr="00916EBD">
        <w:trPr>
          <w:trHeight w:val="569"/>
        </w:trPr>
        <w:tc>
          <w:tcPr>
            <w:tcW w:w="5530" w:type="dxa"/>
            <w:shd w:val="clear" w:color="auto" w:fill="auto"/>
          </w:tcPr>
          <w:p w14:paraId="77679FCF" w14:textId="77777777" w:rsidR="006F7E5C" w:rsidRPr="003871D0" w:rsidRDefault="006F7E5C" w:rsidP="006E0633">
            <w:pPr>
              <w:pStyle w:val="ListParagraph"/>
              <w:numPr>
                <w:ilvl w:val="2"/>
                <w:numId w:val="33"/>
              </w:numPr>
              <w:spacing w:after="180"/>
              <w:rPr>
                <w:rFonts w:asciiTheme="majorBidi" w:hAnsiTheme="majorBidi" w:cstheme="majorBidi"/>
              </w:rPr>
            </w:pPr>
            <w:r w:rsidRPr="003871D0">
              <w:rPr>
                <w:rFonts w:asciiTheme="majorBidi" w:hAnsiTheme="majorBidi" w:cstheme="majorBidi"/>
              </w:rPr>
              <w:t>Law enforcement regional networking and cooperation</w:t>
            </w:r>
          </w:p>
        </w:tc>
        <w:tc>
          <w:tcPr>
            <w:tcW w:w="4565" w:type="dxa"/>
            <w:shd w:val="clear" w:color="auto" w:fill="auto"/>
          </w:tcPr>
          <w:p w14:paraId="5D6AC661"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Convening of task forces by CITES, delivery of trainings by INTERPOL, organizing events and workshops by UNODC.</w:t>
            </w:r>
          </w:p>
        </w:tc>
        <w:tc>
          <w:tcPr>
            <w:tcW w:w="1311" w:type="dxa"/>
            <w:shd w:val="clear" w:color="auto" w:fill="auto"/>
            <w:vAlign w:val="center"/>
          </w:tcPr>
          <w:p w14:paraId="64494C94"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6B0BC5B2" w14:textId="0B714FE3" w:rsidR="006F7E5C" w:rsidRPr="003871D0" w:rsidRDefault="001D401D" w:rsidP="00916EBD">
            <w:pPr>
              <w:rPr>
                <w:rFonts w:asciiTheme="majorBidi" w:hAnsiTheme="majorBidi" w:cstheme="majorBidi"/>
                <w:sz w:val="22"/>
                <w:szCs w:val="22"/>
              </w:rPr>
            </w:pPr>
            <w:r w:rsidRPr="001D401D">
              <w:rPr>
                <w:rFonts w:asciiTheme="majorBidi" w:hAnsiTheme="majorBidi" w:cstheme="majorBidi"/>
                <w:sz w:val="22"/>
                <w:szCs w:val="22"/>
              </w:rPr>
              <w:t>Commitment from CITES member States to meet their international obligations</w:t>
            </w:r>
          </w:p>
        </w:tc>
      </w:tr>
      <w:tr w:rsidR="006F7E5C" w:rsidRPr="003871D0" w14:paraId="60F02FE6" w14:textId="77777777" w:rsidTr="00916EBD">
        <w:trPr>
          <w:trHeight w:val="569"/>
        </w:trPr>
        <w:tc>
          <w:tcPr>
            <w:tcW w:w="5530" w:type="dxa"/>
            <w:shd w:val="clear" w:color="auto" w:fill="auto"/>
          </w:tcPr>
          <w:p w14:paraId="108CA4E7" w14:textId="77777777" w:rsidR="006F7E5C" w:rsidRPr="003871D0" w:rsidRDefault="006F7E5C" w:rsidP="006E0633">
            <w:pPr>
              <w:pStyle w:val="ListParagraph"/>
              <w:numPr>
                <w:ilvl w:val="2"/>
                <w:numId w:val="33"/>
              </w:numPr>
              <w:spacing w:after="180"/>
              <w:rPr>
                <w:rFonts w:asciiTheme="majorBidi" w:hAnsiTheme="majorBidi" w:cstheme="majorBidi"/>
              </w:rPr>
            </w:pPr>
            <w:r w:rsidRPr="003871D0">
              <w:rPr>
                <w:rFonts w:asciiTheme="majorBidi" w:hAnsiTheme="majorBidi" w:cstheme="majorBidi"/>
              </w:rPr>
              <w:t xml:space="preserve">Support and initiate regional law enforcement interventions </w:t>
            </w:r>
          </w:p>
        </w:tc>
        <w:tc>
          <w:tcPr>
            <w:tcW w:w="4565" w:type="dxa"/>
            <w:shd w:val="clear" w:color="auto" w:fill="auto"/>
          </w:tcPr>
          <w:p w14:paraId="7E9EF1C1" w14:textId="3384238E" w:rsidR="006F7E5C" w:rsidRPr="003871D0" w:rsidRDefault="006F7E5C" w:rsidP="001D401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Delivery of trainings and global and regional operations by INTERPOL and WCO</w:t>
            </w:r>
            <w:r w:rsidR="001D401D">
              <w:t xml:space="preserve"> </w:t>
            </w:r>
            <w:r w:rsidR="001D401D" w:rsidRPr="001D401D">
              <w:rPr>
                <w:rFonts w:asciiTheme="majorBidi" w:hAnsiTheme="majorBidi" w:cstheme="majorBidi"/>
                <w:sz w:val="22"/>
                <w:szCs w:val="22"/>
              </w:rPr>
              <w:t>implementation of</w:t>
            </w:r>
            <w:r w:rsidR="001D401D">
              <w:t xml:space="preserve"> </w:t>
            </w:r>
            <w:r w:rsidR="001D401D" w:rsidRPr="001D401D">
              <w:rPr>
                <w:rFonts w:asciiTheme="majorBidi" w:hAnsiTheme="majorBidi" w:cstheme="majorBidi"/>
                <w:sz w:val="22"/>
                <w:szCs w:val="22"/>
              </w:rPr>
              <w:t>of Decisions and Resolutions adopted CITES member States</w:t>
            </w:r>
          </w:p>
        </w:tc>
        <w:tc>
          <w:tcPr>
            <w:tcW w:w="1311" w:type="dxa"/>
            <w:shd w:val="clear" w:color="auto" w:fill="auto"/>
            <w:vAlign w:val="center"/>
          </w:tcPr>
          <w:p w14:paraId="32AD7007"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42AF7A36" w14:textId="4FFA3E02" w:rsidR="006F7E5C" w:rsidRPr="003871D0" w:rsidRDefault="001D401D" w:rsidP="00916EBD">
            <w:pPr>
              <w:rPr>
                <w:rFonts w:asciiTheme="majorBidi" w:hAnsiTheme="majorBidi" w:cstheme="majorBidi"/>
                <w:sz w:val="22"/>
                <w:szCs w:val="22"/>
              </w:rPr>
            </w:pPr>
            <w:r w:rsidRPr="001D401D">
              <w:rPr>
                <w:rFonts w:asciiTheme="majorBidi" w:hAnsiTheme="majorBidi" w:cstheme="majorBidi"/>
                <w:sz w:val="22"/>
                <w:szCs w:val="22"/>
              </w:rPr>
              <w:t>Commitment from CITES member States to meet their international obligations</w:t>
            </w:r>
          </w:p>
        </w:tc>
      </w:tr>
      <w:tr w:rsidR="006F7E5C" w:rsidRPr="003871D0" w14:paraId="4B981DBD" w14:textId="77777777" w:rsidTr="00916EBD">
        <w:trPr>
          <w:trHeight w:val="569"/>
        </w:trPr>
        <w:tc>
          <w:tcPr>
            <w:tcW w:w="5530" w:type="dxa"/>
            <w:shd w:val="clear" w:color="auto" w:fill="auto"/>
          </w:tcPr>
          <w:p w14:paraId="796A72ED" w14:textId="77777777" w:rsidR="006F7E5C" w:rsidRPr="003871D0" w:rsidRDefault="006F7E5C" w:rsidP="006E0633">
            <w:pPr>
              <w:pStyle w:val="ListParagraph"/>
              <w:numPr>
                <w:ilvl w:val="2"/>
                <w:numId w:val="33"/>
              </w:numPr>
              <w:spacing w:after="180"/>
              <w:rPr>
                <w:rFonts w:asciiTheme="majorBidi" w:hAnsiTheme="majorBidi" w:cstheme="majorBidi"/>
              </w:rPr>
            </w:pPr>
            <w:r w:rsidRPr="003871D0">
              <w:rPr>
                <w:rFonts w:asciiTheme="majorBidi" w:hAnsiTheme="majorBidi" w:cstheme="majorBidi"/>
              </w:rPr>
              <w:t>Increase regional prosecutorial and judicial cooperation</w:t>
            </w:r>
          </w:p>
        </w:tc>
        <w:tc>
          <w:tcPr>
            <w:tcW w:w="4565" w:type="dxa"/>
            <w:shd w:val="clear" w:color="auto" w:fill="auto"/>
          </w:tcPr>
          <w:p w14:paraId="03C7EF47" w14:textId="77777777" w:rsidR="006F7E5C" w:rsidRPr="003871D0" w:rsidRDefault="006F7E5C" w:rsidP="00916EBD">
            <w:pPr>
              <w:spacing w:beforeAutospacing="1" w:afterAutospacing="1"/>
              <w:rPr>
                <w:rFonts w:asciiTheme="majorBidi" w:hAnsiTheme="majorBidi" w:cstheme="majorBidi"/>
                <w:sz w:val="22"/>
                <w:szCs w:val="22"/>
              </w:rPr>
            </w:pPr>
            <w:r w:rsidRPr="003871D0">
              <w:rPr>
                <w:rFonts w:asciiTheme="majorBidi" w:hAnsiTheme="majorBidi" w:cstheme="majorBidi"/>
                <w:sz w:val="22"/>
                <w:szCs w:val="22"/>
              </w:rPr>
              <w:t>Regional workshops arranged by UNODC</w:t>
            </w:r>
          </w:p>
        </w:tc>
        <w:tc>
          <w:tcPr>
            <w:tcW w:w="1311" w:type="dxa"/>
            <w:shd w:val="clear" w:color="auto" w:fill="auto"/>
            <w:vAlign w:val="center"/>
          </w:tcPr>
          <w:p w14:paraId="28332FF7" w14:textId="77777777" w:rsidR="006F7E5C" w:rsidRPr="003871D0" w:rsidRDefault="006F7E5C" w:rsidP="00916EBD">
            <w:pPr>
              <w:spacing w:beforeAutospacing="1" w:afterAutospacing="1"/>
              <w:jc w:val="center"/>
              <w:rPr>
                <w:rFonts w:asciiTheme="majorBidi" w:hAnsiTheme="majorBidi" w:cstheme="majorBidi"/>
                <w:sz w:val="22"/>
                <w:szCs w:val="22"/>
              </w:rPr>
            </w:pPr>
          </w:p>
        </w:tc>
        <w:tc>
          <w:tcPr>
            <w:tcW w:w="2860" w:type="dxa"/>
          </w:tcPr>
          <w:p w14:paraId="4EC3E0E9" w14:textId="77777777" w:rsidR="006F7E5C" w:rsidRPr="003871D0" w:rsidRDefault="006F7E5C" w:rsidP="00916EBD">
            <w:pPr>
              <w:rPr>
                <w:rFonts w:asciiTheme="majorBidi" w:hAnsiTheme="majorBidi" w:cstheme="majorBidi"/>
                <w:sz w:val="22"/>
                <w:szCs w:val="22"/>
              </w:rPr>
            </w:pPr>
          </w:p>
        </w:tc>
      </w:tr>
    </w:tbl>
    <w:p w14:paraId="25B9C65C" w14:textId="77777777" w:rsidR="006F7E5C" w:rsidRDefault="006F7E5C" w:rsidP="006F7E5C"/>
    <w:p w14:paraId="62FB8412" w14:textId="77777777" w:rsidR="006F7E5C" w:rsidRPr="006854F1" w:rsidRDefault="006F7E5C" w:rsidP="006F7E5C"/>
    <w:p w14:paraId="3E2E937F" w14:textId="77777777" w:rsidR="001E759D" w:rsidRDefault="001E759D" w:rsidP="00D61A47"/>
    <w:p w14:paraId="1BDD387E" w14:textId="77777777" w:rsidR="001E759D" w:rsidRDefault="001E759D" w:rsidP="00D61A47"/>
    <w:p w14:paraId="752C6AEB" w14:textId="77777777" w:rsidR="004D7044" w:rsidRDefault="004D7044" w:rsidP="00D61A47"/>
    <w:p w14:paraId="026B1FBE" w14:textId="77777777" w:rsidR="004D7044" w:rsidRDefault="004D7044" w:rsidP="00D61A47"/>
    <w:p w14:paraId="040EBF86" w14:textId="77777777" w:rsidR="004D7044" w:rsidRDefault="004D7044" w:rsidP="00D61A47"/>
    <w:p w14:paraId="44D639C4" w14:textId="77777777" w:rsidR="004D7044" w:rsidRDefault="004D7044" w:rsidP="00D61A47"/>
    <w:p w14:paraId="6972F5FB" w14:textId="77777777" w:rsidR="004D7044" w:rsidRDefault="004D7044" w:rsidP="00D61A47"/>
    <w:p w14:paraId="7A539FF5" w14:textId="77777777" w:rsidR="004D7044" w:rsidRPr="006854F1" w:rsidRDefault="004D7044" w:rsidP="00D61A47"/>
    <w:p w14:paraId="5EA7CCE6" w14:textId="77777777" w:rsidR="00D61A47" w:rsidRPr="006854F1" w:rsidRDefault="00D61A47" w:rsidP="000148E5">
      <w:pPr>
        <w:pStyle w:val="Heading4"/>
        <w:numPr>
          <w:ilvl w:val="0"/>
          <w:numId w:val="0"/>
        </w:numPr>
        <w:tabs>
          <w:tab w:val="num" w:pos="709"/>
        </w:tabs>
        <w:spacing w:before="120" w:after="0"/>
        <w:ind w:left="709"/>
        <w:sectPr w:rsidR="00D61A47" w:rsidRPr="006854F1" w:rsidSect="00D61A47">
          <w:pgSz w:w="16838" w:h="11906" w:orient="landscape" w:code="9"/>
          <w:pgMar w:top="1418" w:right="1134" w:bottom="1418" w:left="1418" w:header="709" w:footer="709" w:gutter="0"/>
          <w:cols w:space="708"/>
          <w:docGrid w:linePitch="360"/>
        </w:sectPr>
      </w:pPr>
    </w:p>
    <w:p w14:paraId="6D592E60" w14:textId="77777777" w:rsidR="002953F9" w:rsidRPr="006854F1" w:rsidRDefault="002953F9" w:rsidP="009667C8">
      <w:pPr>
        <w:widowControl w:val="0"/>
        <w:spacing w:before="120"/>
      </w:pPr>
    </w:p>
    <w:sectPr w:rsidR="002953F9" w:rsidRPr="006854F1"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CD4C9" w14:textId="77777777" w:rsidR="00680819" w:rsidRPr="001A4693" w:rsidRDefault="00680819">
      <w:r w:rsidRPr="001A4693">
        <w:separator/>
      </w:r>
    </w:p>
  </w:endnote>
  <w:endnote w:type="continuationSeparator" w:id="0">
    <w:p w14:paraId="728E7061" w14:textId="77777777" w:rsidR="00680819" w:rsidRPr="001A4693" w:rsidRDefault="00680819">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6717" w14:textId="0230DEBA" w:rsidR="00680819" w:rsidRDefault="00680819" w:rsidP="00E35EDB">
    <w:pPr>
      <w:pStyle w:val="Footer"/>
      <w:tabs>
        <w:tab w:val="clear" w:pos="-720"/>
        <w:tab w:val="left" w:pos="8040"/>
        <w:tab w:val="right" w:pos="14175"/>
      </w:tabs>
      <w:ind w:right="360"/>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0148E5">
      <w:rPr>
        <w:rFonts w:ascii="Times New Roman" w:hAnsi="Times New Roman"/>
        <w:noProof/>
        <w:sz w:val="18"/>
        <w:szCs w:val="18"/>
        <w:lang w:val="en-GB"/>
      </w:rPr>
      <w:t>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0148E5">
      <w:rPr>
        <w:rFonts w:ascii="Times New Roman" w:hAnsi="Times New Roman"/>
        <w:noProof/>
        <w:sz w:val="18"/>
        <w:szCs w:val="18"/>
        <w:lang w:val="en-GB"/>
      </w:rPr>
      <w:t>33</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0148E5">
      <w:rPr>
        <w:rStyle w:val="PageNumber"/>
        <w:rFonts w:ascii="Times New Roman" w:hAnsi="Times New Roman"/>
        <w:noProof/>
        <w:sz w:val="18"/>
        <w:szCs w:val="18"/>
        <w:lang w:val="en-GB"/>
      </w:rPr>
      <w:t>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0148E5">
      <w:rPr>
        <w:rStyle w:val="PageNumber"/>
        <w:rFonts w:ascii="Times New Roman" w:hAnsi="Times New Roman"/>
        <w:noProof/>
        <w:sz w:val="18"/>
        <w:szCs w:val="18"/>
        <w:lang w:val="en-GB"/>
      </w:rPr>
      <w:t>33</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02E0" w14:textId="18B70110" w:rsidR="00680819" w:rsidRPr="001A4693" w:rsidRDefault="00680819" w:rsidP="008C2397">
    <w:pPr>
      <w:pStyle w:val="Footer"/>
      <w:tabs>
        <w:tab w:val="clear" w:pos="-720"/>
        <w:tab w:val="left" w:pos="8040"/>
        <w:tab w:val="right" w:pos="14175"/>
      </w:tabs>
      <w:ind w:right="360"/>
      <w:rPr>
        <w:szCs w:val="18"/>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0148E5">
      <w:rPr>
        <w:rFonts w:ascii="Times New Roman" w:hAnsi="Times New Roman"/>
        <w:noProof/>
        <w:sz w:val="18"/>
        <w:szCs w:val="18"/>
        <w:lang w:val="en-GB"/>
      </w:rPr>
      <w:t>1</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0148E5">
      <w:rPr>
        <w:rFonts w:ascii="Times New Roman" w:hAnsi="Times New Roman"/>
        <w:noProof/>
        <w:sz w:val="18"/>
        <w:szCs w:val="18"/>
        <w:lang w:val="en-GB"/>
      </w:rPr>
      <w:t>33</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0148E5">
      <w:rPr>
        <w:rStyle w:val="PageNumber"/>
        <w:rFonts w:ascii="Times New Roman" w:hAnsi="Times New Roman"/>
        <w:noProof/>
        <w:sz w:val="18"/>
        <w:szCs w:val="18"/>
        <w:lang w:val="en-GB"/>
      </w:rPr>
      <w:t>1</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0148E5">
      <w:rPr>
        <w:rStyle w:val="PageNumber"/>
        <w:rFonts w:ascii="Times New Roman" w:hAnsi="Times New Roman"/>
        <w:noProof/>
        <w:sz w:val="18"/>
        <w:szCs w:val="18"/>
        <w:lang w:val="en-GB"/>
      </w:rPr>
      <w:t>33</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FF0C" w14:textId="041053D2" w:rsidR="00680819" w:rsidRPr="00846CDD" w:rsidRDefault="00680819" w:rsidP="00846CDD">
    <w:pPr>
      <w:pStyle w:val="Footer"/>
      <w:tabs>
        <w:tab w:val="clear" w:pos="-720"/>
        <w:tab w:val="right" w:pos="8789"/>
        <w:tab w:val="right" w:pos="13750"/>
      </w:tabs>
      <w:ind w:right="360"/>
      <w:rPr>
        <w:rFonts w:ascii="Times New Roman" w:hAnsi="Times New Roman"/>
        <w:sz w:val="18"/>
        <w:szCs w:val="18"/>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0148E5">
      <w:rPr>
        <w:rStyle w:val="PageNumber"/>
        <w:rFonts w:ascii="Times New Roman" w:hAnsi="Times New Roman"/>
        <w:noProof/>
        <w:sz w:val="18"/>
        <w:szCs w:val="18"/>
        <w:lang w:val="en-GB"/>
      </w:rPr>
      <w:t>29</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0148E5">
      <w:rPr>
        <w:rStyle w:val="PageNumber"/>
        <w:rFonts w:ascii="Times New Roman" w:hAnsi="Times New Roman"/>
        <w:noProof/>
        <w:sz w:val="18"/>
        <w:szCs w:val="18"/>
        <w:lang w:val="en-GB"/>
      </w:rPr>
      <w:t>33</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C6B9" w14:textId="77777777" w:rsidR="00680819" w:rsidRPr="001A4693" w:rsidRDefault="00680819">
      <w:r w:rsidRPr="001A4693">
        <w:separator/>
      </w:r>
    </w:p>
  </w:footnote>
  <w:footnote w:type="continuationSeparator" w:id="0">
    <w:p w14:paraId="1417857E" w14:textId="77777777" w:rsidR="00680819" w:rsidRPr="001A4693" w:rsidRDefault="00680819">
      <w:r w:rsidRPr="001A4693">
        <w:continuationSeparator/>
      </w:r>
    </w:p>
  </w:footnote>
  <w:footnote w:id="1">
    <w:p w14:paraId="47A48B6A" w14:textId="532FC5DF" w:rsidR="00680819" w:rsidRPr="00CE63A7" w:rsidRDefault="00680819" w:rsidP="00CE63A7">
      <w:pPr>
        <w:pStyle w:val="FootnoteText"/>
      </w:pPr>
      <w:r>
        <w:rPr>
          <w:rStyle w:val="FootnoteReference"/>
        </w:rPr>
        <w:footnoteRef/>
      </w:r>
      <w:r>
        <w:t xml:space="preserve"> ICCWC Strategic Programme activities 2.1.1. and 2.2.2. </w:t>
      </w:r>
    </w:p>
  </w:footnote>
  <w:footnote w:id="2">
    <w:p w14:paraId="443D9F07" w14:textId="0379C63A" w:rsidR="00680819" w:rsidRPr="00CE63A7" w:rsidRDefault="00680819" w:rsidP="00CE63A7">
      <w:pPr>
        <w:pStyle w:val="FootnoteText"/>
      </w:pPr>
      <w:r>
        <w:rPr>
          <w:rStyle w:val="FootnoteReference"/>
        </w:rPr>
        <w:footnoteRef/>
      </w:r>
      <w:r>
        <w:t xml:space="preserve"> ICCWC Strategic Programme activity 2.2.3.</w:t>
      </w:r>
    </w:p>
  </w:footnote>
  <w:footnote w:id="3">
    <w:p w14:paraId="11666275" w14:textId="6F67A6CE" w:rsidR="00680819" w:rsidRPr="0024285C" w:rsidRDefault="00680819" w:rsidP="0024285C">
      <w:pPr>
        <w:pStyle w:val="FootnoteText"/>
      </w:pPr>
      <w:r>
        <w:rPr>
          <w:rStyle w:val="FootnoteReference"/>
        </w:rPr>
        <w:footnoteRef/>
      </w:r>
      <w:r>
        <w:t xml:space="preserve"> ICCWC Strategic Programme activities 3.1.2. and 3.1.3. </w:t>
      </w:r>
    </w:p>
  </w:footnote>
  <w:footnote w:id="4">
    <w:p w14:paraId="01F250BB" w14:textId="4A2455C7" w:rsidR="00680819" w:rsidRPr="00E01122" w:rsidRDefault="00680819" w:rsidP="00E01122">
      <w:pPr>
        <w:pStyle w:val="FootnoteText"/>
      </w:pPr>
      <w:r>
        <w:rPr>
          <w:rStyle w:val="FootnoteReference"/>
        </w:rPr>
        <w:footnoteRef/>
      </w:r>
      <w:r>
        <w:t xml:space="preserve"> ICCWC Strategic Programme activities 3.2.1</w:t>
      </w:r>
    </w:p>
  </w:footnote>
  <w:footnote w:id="5">
    <w:p w14:paraId="3312EA09" w14:textId="47EA82C8" w:rsidR="00680819" w:rsidRPr="00E01122" w:rsidRDefault="00680819" w:rsidP="00E01122">
      <w:pPr>
        <w:pStyle w:val="FootnoteText"/>
        <w:rPr>
          <w:lang w:val="en-GB"/>
        </w:rPr>
      </w:pPr>
      <w:r>
        <w:rPr>
          <w:rStyle w:val="FootnoteReference"/>
        </w:rPr>
        <w:footnoteRef/>
      </w:r>
      <w:r>
        <w:t xml:space="preserve"> ICCWC Strategic Programme activities 3.3.2.</w:t>
      </w:r>
    </w:p>
  </w:footnote>
  <w:footnote w:id="6">
    <w:p w14:paraId="5D3956B9" w14:textId="2187561B" w:rsidR="00680819" w:rsidRPr="003E2829" w:rsidRDefault="00680819" w:rsidP="000430F0">
      <w:pPr>
        <w:pStyle w:val="FootnoteText"/>
        <w:rPr>
          <w:lang w:val="en-GB"/>
        </w:rPr>
      </w:pPr>
      <w:r>
        <w:rPr>
          <w:rStyle w:val="FootnoteReference"/>
        </w:rPr>
        <w:footnoteRef/>
      </w:r>
      <w:r>
        <w:t xml:space="preserve"> ICCWC Strategic Programme activities 3.4.1.</w:t>
      </w:r>
    </w:p>
  </w:footnote>
  <w:footnote w:id="7">
    <w:p w14:paraId="646B6CB4" w14:textId="13932620" w:rsidR="00680819" w:rsidRPr="000430F0" w:rsidRDefault="00680819" w:rsidP="000430F0">
      <w:pPr>
        <w:pStyle w:val="FootnoteText"/>
      </w:pPr>
      <w:r>
        <w:rPr>
          <w:rStyle w:val="FootnoteReference"/>
        </w:rPr>
        <w:footnoteRef/>
      </w:r>
      <w:r>
        <w:t xml:space="preserve"> ICCWC Strategic Programme activities 3.5.2. and 3.5.3.</w:t>
      </w:r>
    </w:p>
  </w:footnote>
  <w:footnote w:id="8">
    <w:p w14:paraId="47F4A5EE" w14:textId="32311A46" w:rsidR="00680819" w:rsidRPr="00082ED0" w:rsidRDefault="00680819" w:rsidP="00082ED0">
      <w:pPr>
        <w:pStyle w:val="FootnoteText"/>
      </w:pPr>
      <w:r>
        <w:rPr>
          <w:rStyle w:val="FootnoteReference"/>
        </w:rPr>
        <w:footnoteRef/>
      </w:r>
      <w:r>
        <w:t xml:space="preserve"> ICCWC Strategic Programme activities 4.1.1.</w:t>
      </w:r>
    </w:p>
  </w:footnote>
  <w:footnote w:id="9">
    <w:p w14:paraId="55C59393" w14:textId="73EFC3F7" w:rsidR="00680819" w:rsidRPr="00F675D6" w:rsidRDefault="00680819" w:rsidP="00891905">
      <w:pPr>
        <w:pStyle w:val="FootnoteText"/>
      </w:pPr>
      <w:r>
        <w:rPr>
          <w:rStyle w:val="FootnoteReference"/>
        </w:rPr>
        <w:footnoteRef/>
      </w:r>
      <w:r>
        <w:t xml:space="preserve"> </w:t>
      </w:r>
      <w:r w:rsidRPr="00F675D6">
        <w:t>ICCWC Strategic Programme activities</w:t>
      </w:r>
      <w:r>
        <w:t xml:space="preserve"> 4.1.2, 5.1, 5.2.2, 5.2.3, 5.3.1, 5.3.3, 5.3.3, 5.3.4</w:t>
      </w:r>
    </w:p>
  </w:footnote>
  <w:footnote w:id="10">
    <w:p w14:paraId="736BC7E5" w14:textId="10F8C410" w:rsidR="00680819" w:rsidRPr="00DA46C7" w:rsidRDefault="00680819">
      <w:pPr>
        <w:pStyle w:val="FootnoteText"/>
        <w:rPr>
          <w:lang w:val="en-GB"/>
        </w:rPr>
      </w:pPr>
      <w:r>
        <w:rPr>
          <w:rStyle w:val="FootnoteReference"/>
        </w:rPr>
        <w:footnoteRef/>
      </w:r>
      <w:r>
        <w:t xml:space="preserve"> </w:t>
      </w:r>
      <w:r>
        <w:rPr>
          <w:lang w:val="en-GB"/>
        </w:rPr>
        <w:t>ICCWC strategic programme activities 1.1.1 and 1.1.2</w:t>
      </w:r>
    </w:p>
  </w:footnote>
  <w:footnote w:id="11">
    <w:p w14:paraId="14ECB96A" w14:textId="11870101" w:rsidR="00680819" w:rsidRPr="00182308" w:rsidRDefault="00680819" w:rsidP="00182308">
      <w:pPr>
        <w:pStyle w:val="FootnoteText"/>
        <w:rPr>
          <w:lang w:val="en-GB"/>
        </w:rPr>
      </w:pPr>
      <w:r>
        <w:rPr>
          <w:rStyle w:val="FootnoteReference"/>
        </w:rPr>
        <w:footnoteRef/>
      </w:r>
      <w:r>
        <w:t xml:space="preserve"> </w:t>
      </w:r>
      <w:r>
        <w:rPr>
          <w:lang w:val="en-GB"/>
        </w:rPr>
        <w:t>ICCWC strategic programme activities 1.2.2.</w:t>
      </w:r>
    </w:p>
  </w:footnote>
  <w:footnote w:id="12">
    <w:p w14:paraId="19B891A1" w14:textId="606D5311" w:rsidR="00680819" w:rsidRPr="00877115" w:rsidRDefault="00680819" w:rsidP="006F7933">
      <w:pPr>
        <w:pStyle w:val="FootnoteText"/>
        <w:rPr>
          <w:lang w:val="en-GB"/>
        </w:rPr>
      </w:pPr>
      <w:r>
        <w:rPr>
          <w:rStyle w:val="FootnoteReference"/>
        </w:rPr>
        <w:footnoteRef/>
      </w:r>
      <w:r>
        <w:t xml:space="preserve"> </w:t>
      </w:r>
      <w:r>
        <w:rPr>
          <w:lang w:val="en-GB"/>
        </w:rPr>
        <w:t>ICCWC strategic programme activities 1.3.2.</w:t>
      </w:r>
    </w:p>
  </w:footnote>
  <w:footnote w:id="13">
    <w:p w14:paraId="31BC6C9E" w14:textId="1E3A620B" w:rsidR="00680819" w:rsidRDefault="00680819">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A88"/>
    <w:multiLevelType w:val="hybridMultilevel"/>
    <w:tmpl w:val="0EC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7F34"/>
    <w:multiLevelType w:val="hybridMultilevel"/>
    <w:tmpl w:val="963C03F0"/>
    <w:lvl w:ilvl="0" w:tplc="B804295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15:restartNumberingAfterBreak="0">
    <w:nsid w:val="15E821B4"/>
    <w:multiLevelType w:val="multilevel"/>
    <w:tmpl w:val="3C1084F8"/>
    <w:numStyleLink w:val="Style6"/>
  </w:abstractNum>
  <w:abstractNum w:abstractNumId="9"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82649A0A"/>
    <w:lvl w:ilvl="0">
      <w:start w:val="1"/>
      <w:numFmt w:val="decimal"/>
      <w:lvlText w:val="%1."/>
      <w:lvlJc w:val="left"/>
      <w:pPr>
        <w:tabs>
          <w:tab w:val="num" w:pos="567"/>
        </w:tabs>
        <w:ind w:left="567" w:hanging="567"/>
      </w:pPr>
      <w:rPr>
        <w:rFonts w:hint="default"/>
      </w:rPr>
    </w:lvl>
    <w:lvl w:ilvl="1">
      <w:start w:val="1"/>
      <w:numFmt w:val="decimal"/>
      <w:pStyle w:val="Heading3"/>
      <w:lvlText w:val="%1.%2."/>
      <w:lvlJc w:val="left"/>
      <w:pPr>
        <w:tabs>
          <w:tab w:val="num" w:pos="170"/>
        </w:tabs>
        <w:ind w:left="0" w:firstLine="0"/>
      </w:pPr>
      <w:rPr>
        <w:rFonts w:hint="default"/>
      </w:rPr>
    </w:lvl>
    <w:lvl w:ilvl="2">
      <w:start w:val="1"/>
      <w:numFmt w:val="decimal"/>
      <w:pStyle w:val="Heading4"/>
      <w:lvlText w:val="%1.%2.%3."/>
      <w:lvlJc w:val="left"/>
      <w:pPr>
        <w:tabs>
          <w:tab w:val="num" w:pos="164"/>
        </w:tabs>
        <w:ind w:left="-120" w:firstLine="0"/>
      </w:pPr>
      <w:rPr>
        <w:rFonts w:hint="default"/>
      </w:rPr>
    </w:lvl>
    <w:lvl w:ilvl="3">
      <w:start w:val="1"/>
      <w:numFmt w:val="decimal"/>
      <w:pStyle w:val="Heading5"/>
      <w:lvlText w:val="%1.%2.%3.%4."/>
      <w:lvlJc w:val="left"/>
      <w:pPr>
        <w:tabs>
          <w:tab w:val="num" w:pos="2760"/>
        </w:tabs>
        <w:ind w:left="-120" w:firstLine="0"/>
      </w:pPr>
      <w:rPr>
        <w:rFonts w:hint="default"/>
      </w:rPr>
    </w:lvl>
    <w:lvl w:ilvl="4">
      <w:start w:val="1"/>
      <w:numFmt w:val="lowerLetter"/>
      <w:lvlText w:val="(%5)"/>
      <w:lvlJc w:val="left"/>
      <w:pPr>
        <w:tabs>
          <w:tab w:val="num" w:pos="1680"/>
        </w:tabs>
        <w:ind w:left="1680" w:hanging="360"/>
      </w:pPr>
      <w:rPr>
        <w:rFonts w:hint="default"/>
      </w:rPr>
    </w:lvl>
    <w:lvl w:ilvl="5">
      <w:start w:val="1"/>
      <w:numFmt w:val="lowerRoman"/>
      <w:lvlText w:val="(%6)"/>
      <w:lvlJc w:val="left"/>
      <w:pPr>
        <w:tabs>
          <w:tab w:val="num" w:pos="2040"/>
        </w:tabs>
        <w:ind w:left="2040" w:hanging="360"/>
      </w:pPr>
      <w:rPr>
        <w:rFonts w:hint="default"/>
      </w:rPr>
    </w:lvl>
    <w:lvl w:ilvl="6">
      <w:start w:val="1"/>
      <w:numFmt w:val="decimal"/>
      <w:lvlText w:val="%7."/>
      <w:lvlJc w:val="left"/>
      <w:pPr>
        <w:tabs>
          <w:tab w:val="num" w:pos="2400"/>
        </w:tabs>
        <w:ind w:left="2400" w:hanging="360"/>
      </w:pPr>
      <w:rPr>
        <w:rFonts w:hint="default"/>
      </w:rPr>
    </w:lvl>
    <w:lvl w:ilvl="7">
      <w:start w:val="1"/>
      <w:numFmt w:val="lowerLetter"/>
      <w:lvlText w:val="%8."/>
      <w:lvlJc w:val="left"/>
      <w:pPr>
        <w:tabs>
          <w:tab w:val="num" w:pos="2760"/>
        </w:tabs>
        <w:ind w:left="2760" w:hanging="360"/>
      </w:pPr>
      <w:rPr>
        <w:rFonts w:hint="default"/>
      </w:rPr>
    </w:lvl>
    <w:lvl w:ilvl="8">
      <w:start w:val="1"/>
      <w:numFmt w:val="lowerRoman"/>
      <w:lvlText w:val="%9."/>
      <w:lvlJc w:val="left"/>
      <w:pPr>
        <w:tabs>
          <w:tab w:val="num" w:pos="3120"/>
        </w:tabs>
        <w:ind w:left="3120" w:hanging="360"/>
      </w:pPr>
      <w:rPr>
        <w:rFonts w:hint="default"/>
      </w:rPr>
    </w:lvl>
  </w:abstractNum>
  <w:abstractNum w:abstractNumId="11" w15:restartNumberingAfterBreak="0">
    <w:nsid w:val="17C0559D"/>
    <w:multiLevelType w:val="hybridMultilevel"/>
    <w:tmpl w:val="51DCCD82"/>
    <w:lvl w:ilvl="0" w:tplc="0809000F">
      <w:start w:val="1"/>
      <w:numFmt w:val="decimal"/>
      <w:lvlText w:val="%1."/>
      <w:lvlJc w:val="left"/>
      <w:pPr>
        <w:ind w:left="360" w:hanging="360"/>
      </w:pPr>
    </w:lvl>
    <w:lvl w:ilvl="1" w:tplc="7E7E07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A452C4"/>
    <w:multiLevelType w:val="hybridMultilevel"/>
    <w:tmpl w:val="C55C17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C0B6726"/>
    <w:multiLevelType w:val="hybridMultilevel"/>
    <w:tmpl w:val="EAE25E46"/>
    <w:lvl w:ilvl="0" w:tplc="E730C650">
      <w:start w:val="20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463D56C3"/>
    <w:multiLevelType w:val="hybridMultilevel"/>
    <w:tmpl w:val="A3C0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4"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5"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EC04EF9"/>
    <w:multiLevelType w:val="hybridMultilevel"/>
    <w:tmpl w:val="EEBAE080"/>
    <w:lvl w:ilvl="0" w:tplc="E020D9E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1A55E9"/>
    <w:multiLevelType w:val="multilevel"/>
    <w:tmpl w:val="3C1084F8"/>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0" w15:restartNumberingAfterBreak="0">
    <w:nsid w:val="58F03C7B"/>
    <w:multiLevelType w:val="singleLevel"/>
    <w:tmpl w:val="04822C5E"/>
    <w:name w:val="Tiret 2__1"/>
    <w:lvl w:ilvl="0">
      <w:start w:val="1"/>
      <w:numFmt w:val="bullet"/>
      <w:lvlRestart w:val="0"/>
      <w:pStyle w:val="Tiret2"/>
      <w:lvlText w:val="–"/>
      <w:lvlJc w:val="left"/>
      <w:pPr>
        <w:tabs>
          <w:tab w:val="num" w:pos="1984"/>
        </w:tabs>
        <w:ind w:left="1984" w:hanging="567"/>
      </w:pPr>
    </w:lvl>
  </w:abstractNum>
  <w:abstractNum w:abstractNumId="31" w15:restartNumberingAfterBreak="0">
    <w:nsid w:val="59030B33"/>
    <w:multiLevelType w:val="multilevel"/>
    <w:tmpl w:val="C9C63824"/>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4" w15:restartNumberingAfterBreak="0">
    <w:nsid w:val="5CB12B45"/>
    <w:multiLevelType w:val="hybridMultilevel"/>
    <w:tmpl w:val="9D7ABC3C"/>
    <w:lvl w:ilvl="0" w:tplc="E020D9E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6" w15:restartNumberingAfterBreak="0">
    <w:nsid w:val="64043436"/>
    <w:multiLevelType w:val="hybridMultilevel"/>
    <w:tmpl w:val="885A867C"/>
    <w:lvl w:ilvl="0" w:tplc="E020D9E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06291"/>
    <w:multiLevelType w:val="hybridMultilevel"/>
    <w:tmpl w:val="5C6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E6F3F"/>
    <w:multiLevelType w:val="hybridMultilevel"/>
    <w:tmpl w:val="3F1A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0" w15:restartNumberingAfterBreak="0">
    <w:nsid w:val="66133239"/>
    <w:multiLevelType w:val="hybridMultilevel"/>
    <w:tmpl w:val="CE505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2B5741"/>
    <w:multiLevelType w:val="hybridMultilevel"/>
    <w:tmpl w:val="519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DA5"/>
    <w:multiLevelType w:val="hybridMultilevel"/>
    <w:tmpl w:val="095423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4"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52D1EE5"/>
    <w:multiLevelType w:val="multilevel"/>
    <w:tmpl w:val="02B4F634"/>
    <w:lvl w:ilvl="0">
      <w:start w:val="1"/>
      <w:numFmt w:val="decimal"/>
      <w:lvlText w:val="%1"/>
      <w:lvlJc w:val="left"/>
      <w:pPr>
        <w:ind w:left="480" w:hanging="480"/>
      </w:pPr>
      <w:rPr>
        <w:rFonts w:cs="Times New Roman" w:hint="default"/>
        <w:b w:val="0"/>
        <w:sz w:val="22"/>
      </w:rPr>
    </w:lvl>
    <w:lvl w:ilvl="1">
      <w:start w:val="2"/>
      <w:numFmt w:val="decimal"/>
      <w:lvlText w:val="%1.%2"/>
      <w:lvlJc w:val="left"/>
      <w:pPr>
        <w:ind w:left="480" w:hanging="480"/>
      </w:pPr>
      <w:rPr>
        <w:rFonts w:cs="Times New Roman" w:hint="default"/>
        <w:b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440" w:hanging="144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800" w:hanging="1800"/>
      </w:pPr>
      <w:rPr>
        <w:rFonts w:cs="Times New Roman" w:hint="default"/>
        <w:b w:val="0"/>
        <w:sz w:val="22"/>
      </w:rPr>
    </w:lvl>
  </w:abstractNum>
  <w:abstractNum w:abstractNumId="47"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8" w15:restartNumberingAfterBreak="0">
    <w:nsid w:val="786926B8"/>
    <w:multiLevelType w:val="hybridMultilevel"/>
    <w:tmpl w:val="3348ABE0"/>
    <w:lvl w:ilvl="0" w:tplc="E020D9E8">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761CDC"/>
    <w:multiLevelType w:val="multilevel"/>
    <w:tmpl w:val="94808114"/>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50"/>
  </w:num>
  <w:num w:numId="4">
    <w:abstractNumId w:val="16"/>
  </w:num>
  <w:num w:numId="5">
    <w:abstractNumId w:val="44"/>
  </w:num>
  <w:num w:numId="6">
    <w:abstractNumId w:val="19"/>
  </w:num>
  <w:num w:numId="7">
    <w:abstractNumId w:val="33"/>
  </w:num>
  <w:num w:numId="8">
    <w:abstractNumId w:val="5"/>
  </w:num>
  <w:num w:numId="9">
    <w:abstractNumId w:val="9"/>
  </w:num>
  <w:num w:numId="10">
    <w:abstractNumId w:val="26"/>
  </w:num>
  <w:num w:numId="11">
    <w:abstractNumId w:val="20"/>
  </w:num>
  <w:num w:numId="12">
    <w:abstractNumId w:val="28"/>
  </w:num>
  <w:num w:numId="13">
    <w:abstractNumId w:val="22"/>
  </w:num>
  <w:num w:numId="14">
    <w:abstractNumId w:val="25"/>
  </w:num>
  <w:num w:numId="15">
    <w:abstractNumId w:val="2"/>
  </w:num>
  <w:num w:numId="16">
    <w:abstractNumId w:val="35"/>
  </w:num>
  <w:num w:numId="17">
    <w:abstractNumId w:val="18"/>
  </w:num>
  <w:num w:numId="18">
    <w:abstractNumId w:val="4"/>
  </w:num>
  <w:num w:numId="19">
    <w:abstractNumId w:val="23"/>
  </w:num>
  <w:num w:numId="20">
    <w:abstractNumId w:val="6"/>
  </w:num>
  <w:num w:numId="21">
    <w:abstractNumId w:val="47"/>
  </w:num>
  <w:num w:numId="22">
    <w:abstractNumId w:val="32"/>
  </w:num>
  <w:num w:numId="23">
    <w:abstractNumId w:val="43"/>
  </w:num>
  <w:num w:numId="24">
    <w:abstractNumId w:val="24"/>
  </w:num>
  <w:num w:numId="25">
    <w:abstractNumId w:val="13"/>
  </w:num>
  <w:num w:numId="26">
    <w:abstractNumId w:val="7"/>
  </w:num>
  <w:num w:numId="27">
    <w:abstractNumId w:val="3"/>
  </w:num>
  <w:num w:numId="28">
    <w:abstractNumId w:val="10"/>
  </w:num>
  <w:num w:numId="29">
    <w:abstractNumId w:val="45"/>
  </w:num>
  <w:num w:numId="30">
    <w:abstractNumId w:val="39"/>
  </w:num>
  <w:num w:numId="31">
    <w:abstractNumId w:val="37"/>
  </w:num>
  <w:num w:numId="32">
    <w:abstractNumId w:val="30"/>
  </w:num>
  <w:num w:numId="33">
    <w:abstractNumId w:val="49"/>
  </w:num>
  <w:num w:numId="34">
    <w:abstractNumId w:val="48"/>
  </w:num>
  <w:num w:numId="35">
    <w:abstractNumId w:val="11"/>
  </w:num>
  <w:num w:numId="36">
    <w:abstractNumId w:val="8"/>
  </w:num>
  <w:num w:numId="37">
    <w:abstractNumId w:val="31"/>
  </w:num>
  <w:num w:numId="38">
    <w:abstractNumId w:val="36"/>
  </w:num>
  <w:num w:numId="39">
    <w:abstractNumId w:val="38"/>
  </w:num>
  <w:num w:numId="40">
    <w:abstractNumId w:val="41"/>
  </w:num>
  <w:num w:numId="41">
    <w:abstractNumId w:val="0"/>
  </w:num>
  <w:num w:numId="42">
    <w:abstractNumId w:val="21"/>
  </w:num>
  <w:num w:numId="43">
    <w:abstractNumId w:val="1"/>
  </w:num>
  <w:num w:numId="44">
    <w:abstractNumId w:val="15"/>
  </w:num>
  <w:num w:numId="45">
    <w:abstractNumId w:val="12"/>
  </w:num>
  <w:num w:numId="46">
    <w:abstractNumId w:val="27"/>
  </w:num>
  <w:num w:numId="47">
    <w:abstractNumId w:val="46"/>
  </w:num>
  <w:num w:numId="48">
    <w:abstractNumId w:val="29"/>
  </w:num>
  <w:num w:numId="49">
    <w:abstractNumId w:val="40"/>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DB"/>
    <w:rsid w:val="000015D5"/>
    <w:rsid w:val="00002860"/>
    <w:rsid w:val="0000356A"/>
    <w:rsid w:val="000072A1"/>
    <w:rsid w:val="00007502"/>
    <w:rsid w:val="00007E61"/>
    <w:rsid w:val="00011CEF"/>
    <w:rsid w:val="000148E5"/>
    <w:rsid w:val="0001628C"/>
    <w:rsid w:val="000171C9"/>
    <w:rsid w:val="0002289E"/>
    <w:rsid w:val="00030821"/>
    <w:rsid w:val="000309DA"/>
    <w:rsid w:val="00033B50"/>
    <w:rsid w:val="000342DD"/>
    <w:rsid w:val="00035442"/>
    <w:rsid w:val="000360F9"/>
    <w:rsid w:val="00036765"/>
    <w:rsid w:val="000375E9"/>
    <w:rsid w:val="00040500"/>
    <w:rsid w:val="0004209D"/>
    <w:rsid w:val="00042F50"/>
    <w:rsid w:val="000430F0"/>
    <w:rsid w:val="0004347E"/>
    <w:rsid w:val="00044017"/>
    <w:rsid w:val="000447EF"/>
    <w:rsid w:val="00046132"/>
    <w:rsid w:val="00046229"/>
    <w:rsid w:val="0004769B"/>
    <w:rsid w:val="0005005D"/>
    <w:rsid w:val="00051DC4"/>
    <w:rsid w:val="00054128"/>
    <w:rsid w:val="00054290"/>
    <w:rsid w:val="0005443C"/>
    <w:rsid w:val="00055D64"/>
    <w:rsid w:val="000560EC"/>
    <w:rsid w:val="0005670B"/>
    <w:rsid w:val="000623B5"/>
    <w:rsid w:val="00063112"/>
    <w:rsid w:val="00064E6C"/>
    <w:rsid w:val="00065054"/>
    <w:rsid w:val="00066266"/>
    <w:rsid w:val="0007371D"/>
    <w:rsid w:val="00073D07"/>
    <w:rsid w:val="00076D76"/>
    <w:rsid w:val="00077D16"/>
    <w:rsid w:val="00081450"/>
    <w:rsid w:val="00082256"/>
    <w:rsid w:val="00082ED0"/>
    <w:rsid w:val="00085269"/>
    <w:rsid w:val="000863F0"/>
    <w:rsid w:val="0009010F"/>
    <w:rsid w:val="0009044B"/>
    <w:rsid w:val="00093958"/>
    <w:rsid w:val="000940DE"/>
    <w:rsid w:val="00095B45"/>
    <w:rsid w:val="00096577"/>
    <w:rsid w:val="000A0517"/>
    <w:rsid w:val="000A12CC"/>
    <w:rsid w:val="000A1931"/>
    <w:rsid w:val="000A2124"/>
    <w:rsid w:val="000A2B78"/>
    <w:rsid w:val="000A4ACF"/>
    <w:rsid w:val="000A504D"/>
    <w:rsid w:val="000A7F9E"/>
    <w:rsid w:val="000B1F8A"/>
    <w:rsid w:val="000B2B32"/>
    <w:rsid w:val="000B34E3"/>
    <w:rsid w:val="000B4D19"/>
    <w:rsid w:val="000B6FE8"/>
    <w:rsid w:val="000B73FC"/>
    <w:rsid w:val="000C1618"/>
    <w:rsid w:val="000C30D5"/>
    <w:rsid w:val="000C3112"/>
    <w:rsid w:val="000C3A9E"/>
    <w:rsid w:val="000C465A"/>
    <w:rsid w:val="000C6938"/>
    <w:rsid w:val="000C794B"/>
    <w:rsid w:val="000D4460"/>
    <w:rsid w:val="000D4AD8"/>
    <w:rsid w:val="000D5AD1"/>
    <w:rsid w:val="000D6226"/>
    <w:rsid w:val="000D639E"/>
    <w:rsid w:val="000E0046"/>
    <w:rsid w:val="000E0151"/>
    <w:rsid w:val="000E36A8"/>
    <w:rsid w:val="000E40AB"/>
    <w:rsid w:val="000E6D58"/>
    <w:rsid w:val="000F1A77"/>
    <w:rsid w:val="000F1AE3"/>
    <w:rsid w:val="000F29FA"/>
    <w:rsid w:val="000F34C7"/>
    <w:rsid w:val="000F3F64"/>
    <w:rsid w:val="000F4D4E"/>
    <w:rsid w:val="000F4E7A"/>
    <w:rsid w:val="000F7954"/>
    <w:rsid w:val="00101B26"/>
    <w:rsid w:val="00103E95"/>
    <w:rsid w:val="00103F1C"/>
    <w:rsid w:val="001047D1"/>
    <w:rsid w:val="00105B1E"/>
    <w:rsid w:val="00106064"/>
    <w:rsid w:val="00106615"/>
    <w:rsid w:val="00106F48"/>
    <w:rsid w:val="001076CF"/>
    <w:rsid w:val="00110C23"/>
    <w:rsid w:val="00110CB6"/>
    <w:rsid w:val="0011285F"/>
    <w:rsid w:val="00113048"/>
    <w:rsid w:val="0011315E"/>
    <w:rsid w:val="0011411E"/>
    <w:rsid w:val="00114EC3"/>
    <w:rsid w:val="0012029F"/>
    <w:rsid w:val="0012062B"/>
    <w:rsid w:val="00120C97"/>
    <w:rsid w:val="00121559"/>
    <w:rsid w:val="00122439"/>
    <w:rsid w:val="0012270C"/>
    <w:rsid w:val="00123451"/>
    <w:rsid w:val="00123B13"/>
    <w:rsid w:val="00130375"/>
    <w:rsid w:val="00131F40"/>
    <w:rsid w:val="0013386E"/>
    <w:rsid w:val="0013395F"/>
    <w:rsid w:val="0013404D"/>
    <w:rsid w:val="00134EC4"/>
    <w:rsid w:val="00135668"/>
    <w:rsid w:val="001373E9"/>
    <w:rsid w:val="00140110"/>
    <w:rsid w:val="001440B6"/>
    <w:rsid w:val="00144A53"/>
    <w:rsid w:val="001452E2"/>
    <w:rsid w:val="001469D0"/>
    <w:rsid w:val="0014772F"/>
    <w:rsid w:val="00150FAB"/>
    <w:rsid w:val="00152AEA"/>
    <w:rsid w:val="001535A3"/>
    <w:rsid w:val="001538AF"/>
    <w:rsid w:val="0015716D"/>
    <w:rsid w:val="00163931"/>
    <w:rsid w:val="00164BDB"/>
    <w:rsid w:val="00165CA5"/>
    <w:rsid w:val="001672E3"/>
    <w:rsid w:val="001706CD"/>
    <w:rsid w:val="00170E9C"/>
    <w:rsid w:val="0017515A"/>
    <w:rsid w:val="00182308"/>
    <w:rsid w:val="00183434"/>
    <w:rsid w:val="001835B1"/>
    <w:rsid w:val="0018375D"/>
    <w:rsid w:val="001847DB"/>
    <w:rsid w:val="001906A3"/>
    <w:rsid w:val="00192189"/>
    <w:rsid w:val="00192DE0"/>
    <w:rsid w:val="00194C5C"/>
    <w:rsid w:val="00196903"/>
    <w:rsid w:val="001A1069"/>
    <w:rsid w:val="001A15EC"/>
    <w:rsid w:val="001A4693"/>
    <w:rsid w:val="001A4780"/>
    <w:rsid w:val="001A479E"/>
    <w:rsid w:val="001A4996"/>
    <w:rsid w:val="001A577A"/>
    <w:rsid w:val="001A57DB"/>
    <w:rsid w:val="001A5EE5"/>
    <w:rsid w:val="001B07D3"/>
    <w:rsid w:val="001B0F5E"/>
    <w:rsid w:val="001B34BF"/>
    <w:rsid w:val="001B4155"/>
    <w:rsid w:val="001B5683"/>
    <w:rsid w:val="001B647E"/>
    <w:rsid w:val="001B6C7D"/>
    <w:rsid w:val="001B700E"/>
    <w:rsid w:val="001C12AF"/>
    <w:rsid w:val="001C184D"/>
    <w:rsid w:val="001C1E90"/>
    <w:rsid w:val="001C6CEC"/>
    <w:rsid w:val="001D3C0E"/>
    <w:rsid w:val="001D401D"/>
    <w:rsid w:val="001D6B98"/>
    <w:rsid w:val="001D7A78"/>
    <w:rsid w:val="001E0D97"/>
    <w:rsid w:val="001E14B0"/>
    <w:rsid w:val="001E34EF"/>
    <w:rsid w:val="001E4076"/>
    <w:rsid w:val="001E759D"/>
    <w:rsid w:val="001E786E"/>
    <w:rsid w:val="001E7A72"/>
    <w:rsid w:val="001F0E52"/>
    <w:rsid w:val="001F1F78"/>
    <w:rsid w:val="001F69E9"/>
    <w:rsid w:val="00201675"/>
    <w:rsid w:val="002028E2"/>
    <w:rsid w:val="002071FD"/>
    <w:rsid w:val="00210850"/>
    <w:rsid w:val="00212487"/>
    <w:rsid w:val="00213C96"/>
    <w:rsid w:val="00216223"/>
    <w:rsid w:val="0021648E"/>
    <w:rsid w:val="00216A1F"/>
    <w:rsid w:val="00216B21"/>
    <w:rsid w:val="002207D9"/>
    <w:rsid w:val="00221B55"/>
    <w:rsid w:val="00222DC7"/>
    <w:rsid w:val="002232E8"/>
    <w:rsid w:val="002236E3"/>
    <w:rsid w:val="00223F38"/>
    <w:rsid w:val="00224351"/>
    <w:rsid w:val="00224A41"/>
    <w:rsid w:val="00224DC4"/>
    <w:rsid w:val="00225B1A"/>
    <w:rsid w:val="00227073"/>
    <w:rsid w:val="00230D62"/>
    <w:rsid w:val="00231195"/>
    <w:rsid w:val="00231B62"/>
    <w:rsid w:val="002328B8"/>
    <w:rsid w:val="0023353B"/>
    <w:rsid w:val="00233A63"/>
    <w:rsid w:val="00233FF9"/>
    <w:rsid w:val="00234DFF"/>
    <w:rsid w:val="00235702"/>
    <w:rsid w:val="00235B07"/>
    <w:rsid w:val="002401D7"/>
    <w:rsid w:val="00241436"/>
    <w:rsid w:val="00241939"/>
    <w:rsid w:val="00241A6A"/>
    <w:rsid w:val="00241F92"/>
    <w:rsid w:val="0024285C"/>
    <w:rsid w:val="0024683A"/>
    <w:rsid w:val="00247AC8"/>
    <w:rsid w:val="00250AF3"/>
    <w:rsid w:val="002519D4"/>
    <w:rsid w:val="00251D81"/>
    <w:rsid w:val="00254577"/>
    <w:rsid w:val="00255F2D"/>
    <w:rsid w:val="00257FC1"/>
    <w:rsid w:val="002618E8"/>
    <w:rsid w:val="00261CB4"/>
    <w:rsid w:val="002620EC"/>
    <w:rsid w:val="00262849"/>
    <w:rsid w:val="00263C53"/>
    <w:rsid w:val="00263CC1"/>
    <w:rsid w:val="00267E7F"/>
    <w:rsid w:val="0027031E"/>
    <w:rsid w:val="00271D35"/>
    <w:rsid w:val="00271D56"/>
    <w:rsid w:val="002739CB"/>
    <w:rsid w:val="00275F08"/>
    <w:rsid w:val="0027667B"/>
    <w:rsid w:val="00276B96"/>
    <w:rsid w:val="0027707A"/>
    <w:rsid w:val="00281844"/>
    <w:rsid w:val="002840DD"/>
    <w:rsid w:val="0028474C"/>
    <w:rsid w:val="00284D0C"/>
    <w:rsid w:val="002875CA"/>
    <w:rsid w:val="002901A5"/>
    <w:rsid w:val="002905AA"/>
    <w:rsid w:val="00295281"/>
    <w:rsid w:val="002953F9"/>
    <w:rsid w:val="0029696C"/>
    <w:rsid w:val="00297690"/>
    <w:rsid w:val="002977A4"/>
    <w:rsid w:val="002A10C7"/>
    <w:rsid w:val="002A2BDE"/>
    <w:rsid w:val="002A3975"/>
    <w:rsid w:val="002A432E"/>
    <w:rsid w:val="002A4463"/>
    <w:rsid w:val="002A4674"/>
    <w:rsid w:val="002A5881"/>
    <w:rsid w:val="002A61F8"/>
    <w:rsid w:val="002A6478"/>
    <w:rsid w:val="002A7A34"/>
    <w:rsid w:val="002B0AA2"/>
    <w:rsid w:val="002B0C98"/>
    <w:rsid w:val="002B0FD4"/>
    <w:rsid w:val="002B272B"/>
    <w:rsid w:val="002B27B3"/>
    <w:rsid w:val="002B38B7"/>
    <w:rsid w:val="002B3EDA"/>
    <w:rsid w:val="002B7A06"/>
    <w:rsid w:val="002C2553"/>
    <w:rsid w:val="002C28A2"/>
    <w:rsid w:val="002C3E24"/>
    <w:rsid w:val="002C3F9B"/>
    <w:rsid w:val="002C502D"/>
    <w:rsid w:val="002C6077"/>
    <w:rsid w:val="002C60C4"/>
    <w:rsid w:val="002C64DE"/>
    <w:rsid w:val="002C7BF7"/>
    <w:rsid w:val="002D0283"/>
    <w:rsid w:val="002D0CA4"/>
    <w:rsid w:val="002D0FEE"/>
    <w:rsid w:val="002D5FB0"/>
    <w:rsid w:val="002D6190"/>
    <w:rsid w:val="002E27D0"/>
    <w:rsid w:val="002E7FC4"/>
    <w:rsid w:val="002F0162"/>
    <w:rsid w:val="002F368D"/>
    <w:rsid w:val="002F3A28"/>
    <w:rsid w:val="002F7117"/>
    <w:rsid w:val="002F75A1"/>
    <w:rsid w:val="003012B1"/>
    <w:rsid w:val="003037DB"/>
    <w:rsid w:val="00304408"/>
    <w:rsid w:val="00304D65"/>
    <w:rsid w:val="003055D4"/>
    <w:rsid w:val="00305EA1"/>
    <w:rsid w:val="00305ECC"/>
    <w:rsid w:val="00306623"/>
    <w:rsid w:val="00310423"/>
    <w:rsid w:val="0031186F"/>
    <w:rsid w:val="00314B46"/>
    <w:rsid w:val="00315738"/>
    <w:rsid w:val="00315E43"/>
    <w:rsid w:val="003167E0"/>
    <w:rsid w:val="003237EC"/>
    <w:rsid w:val="00324390"/>
    <w:rsid w:val="0032497D"/>
    <w:rsid w:val="00324E19"/>
    <w:rsid w:val="003268C3"/>
    <w:rsid w:val="00326C90"/>
    <w:rsid w:val="00327A36"/>
    <w:rsid w:val="0033087B"/>
    <w:rsid w:val="00330925"/>
    <w:rsid w:val="0033564C"/>
    <w:rsid w:val="00336871"/>
    <w:rsid w:val="00343458"/>
    <w:rsid w:val="0034473D"/>
    <w:rsid w:val="00347733"/>
    <w:rsid w:val="00350F81"/>
    <w:rsid w:val="00351218"/>
    <w:rsid w:val="003549F2"/>
    <w:rsid w:val="00354C6D"/>
    <w:rsid w:val="00355C09"/>
    <w:rsid w:val="00356210"/>
    <w:rsid w:val="0035641A"/>
    <w:rsid w:val="0036287F"/>
    <w:rsid w:val="00364E5D"/>
    <w:rsid w:val="003659BE"/>
    <w:rsid w:val="00366920"/>
    <w:rsid w:val="0036720F"/>
    <w:rsid w:val="00371068"/>
    <w:rsid w:val="00376901"/>
    <w:rsid w:val="00377CEE"/>
    <w:rsid w:val="003808C3"/>
    <w:rsid w:val="00381252"/>
    <w:rsid w:val="00382E40"/>
    <w:rsid w:val="0038331D"/>
    <w:rsid w:val="00385BB6"/>
    <w:rsid w:val="003871D0"/>
    <w:rsid w:val="0038746B"/>
    <w:rsid w:val="003907B9"/>
    <w:rsid w:val="003909A2"/>
    <w:rsid w:val="00390F25"/>
    <w:rsid w:val="00391FCA"/>
    <w:rsid w:val="003931C7"/>
    <w:rsid w:val="00393F42"/>
    <w:rsid w:val="00393F49"/>
    <w:rsid w:val="00395C1A"/>
    <w:rsid w:val="00397116"/>
    <w:rsid w:val="00397FEB"/>
    <w:rsid w:val="003A0195"/>
    <w:rsid w:val="003A037B"/>
    <w:rsid w:val="003A1EE9"/>
    <w:rsid w:val="003A2DF8"/>
    <w:rsid w:val="003A51B1"/>
    <w:rsid w:val="003A593A"/>
    <w:rsid w:val="003A728E"/>
    <w:rsid w:val="003A7C90"/>
    <w:rsid w:val="003B0DFD"/>
    <w:rsid w:val="003B29B7"/>
    <w:rsid w:val="003B5A13"/>
    <w:rsid w:val="003B5F96"/>
    <w:rsid w:val="003B79DB"/>
    <w:rsid w:val="003B7D20"/>
    <w:rsid w:val="003C0752"/>
    <w:rsid w:val="003C102B"/>
    <w:rsid w:val="003C1B0B"/>
    <w:rsid w:val="003C3306"/>
    <w:rsid w:val="003C3FEC"/>
    <w:rsid w:val="003C54CF"/>
    <w:rsid w:val="003C5B00"/>
    <w:rsid w:val="003C6F8C"/>
    <w:rsid w:val="003D195F"/>
    <w:rsid w:val="003D3521"/>
    <w:rsid w:val="003D4BAF"/>
    <w:rsid w:val="003D6C16"/>
    <w:rsid w:val="003E037A"/>
    <w:rsid w:val="003E1E7D"/>
    <w:rsid w:val="003E2829"/>
    <w:rsid w:val="003E3A8B"/>
    <w:rsid w:val="003E3F36"/>
    <w:rsid w:val="003E5181"/>
    <w:rsid w:val="003E7168"/>
    <w:rsid w:val="003F02E7"/>
    <w:rsid w:val="003F27A6"/>
    <w:rsid w:val="003F3752"/>
    <w:rsid w:val="003F3D0C"/>
    <w:rsid w:val="003F44A1"/>
    <w:rsid w:val="003F61B3"/>
    <w:rsid w:val="003F640E"/>
    <w:rsid w:val="0040266D"/>
    <w:rsid w:val="00403269"/>
    <w:rsid w:val="004051FC"/>
    <w:rsid w:val="00407A35"/>
    <w:rsid w:val="00412A6B"/>
    <w:rsid w:val="00417422"/>
    <w:rsid w:val="0042056F"/>
    <w:rsid w:val="0042478E"/>
    <w:rsid w:val="00430DB7"/>
    <w:rsid w:val="00432ED9"/>
    <w:rsid w:val="0043361D"/>
    <w:rsid w:val="00444014"/>
    <w:rsid w:val="00445CFF"/>
    <w:rsid w:val="004519FB"/>
    <w:rsid w:val="00451ED0"/>
    <w:rsid w:val="004525D7"/>
    <w:rsid w:val="00456325"/>
    <w:rsid w:val="00457147"/>
    <w:rsid w:val="004576D9"/>
    <w:rsid w:val="00460B4A"/>
    <w:rsid w:val="0046166E"/>
    <w:rsid w:val="004622D1"/>
    <w:rsid w:val="00462D1A"/>
    <w:rsid w:val="00463456"/>
    <w:rsid w:val="00464B5E"/>
    <w:rsid w:val="00471F26"/>
    <w:rsid w:val="0047398D"/>
    <w:rsid w:val="00474F1A"/>
    <w:rsid w:val="004755F2"/>
    <w:rsid w:val="00483842"/>
    <w:rsid w:val="00483B75"/>
    <w:rsid w:val="0048412B"/>
    <w:rsid w:val="00485214"/>
    <w:rsid w:val="00486018"/>
    <w:rsid w:val="00491ACB"/>
    <w:rsid w:val="00491BBD"/>
    <w:rsid w:val="0049444F"/>
    <w:rsid w:val="00494849"/>
    <w:rsid w:val="004954E4"/>
    <w:rsid w:val="0049634D"/>
    <w:rsid w:val="00497FB1"/>
    <w:rsid w:val="004A08AE"/>
    <w:rsid w:val="004A2651"/>
    <w:rsid w:val="004A4216"/>
    <w:rsid w:val="004A5864"/>
    <w:rsid w:val="004A6257"/>
    <w:rsid w:val="004A7BE6"/>
    <w:rsid w:val="004A7F99"/>
    <w:rsid w:val="004B05DA"/>
    <w:rsid w:val="004B3545"/>
    <w:rsid w:val="004B681F"/>
    <w:rsid w:val="004B799F"/>
    <w:rsid w:val="004C0C2B"/>
    <w:rsid w:val="004C1EBC"/>
    <w:rsid w:val="004C20DE"/>
    <w:rsid w:val="004C32AD"/>
    <w:rsid w:val="004C33BC"/>
    <w:rsid w:val="004C3BD8"/>
    <w:rsid w:val="004C62C2"/>
    <w:rsid w:val="004C682F"/>
    <w:rsid w:val="004D1285"/>
    <w:rsid w:val="004D1308"/>
    <w:rsid w:val="004D3D02"/>
    <w:rsid w:val="004D41C1"/>
    <w:rsid w:val="004D4B61"/>
    <w:rsid w:val="004D56FB"/>
    <w:rsid w:val="004D5813"/>
    <w:rsid w:val="004D7044"/>
    <w:rsid w:val="004E16F7"/>
    <w:rsid w:val="004E27E8"/>
    <w:rsid w:val="004E50FF"/>
    <w:rsid w:val="004E7A46"/>
    <w:rsid w:val="004F0261"/>
    <w:rsid w:val="004F1197"/>
    <w:rsid w:val="004F41D5"/>
    <w:rsid w:val="004F62C6"/>
    <w:rsid w:val="004F6E18"/>
    <w:rsid w:val="004F6EAE"/>
    <w:rsid w:val="005029FC"/>
    <w:rsid w:val="00502FBB"/>
    <w:rsid w:val="00503D41"/>
    <w:rsid w:val="00503E86"/>
    <w:rsid w:val="005052E9"/>
    <w:rsid w:val="00506937"/>
    <w:rsid w:val="00506FBA"/>
    <w:rsid w:val="00507DF9"/>
    <w:rsid w:val="00513B78"/>
    <w:rsid w:val="00515F1D"/>
    <w:rsid w:val="005177CA"/>
    <w:rsid w:val="00521991"/>
    <w:rsid w:val="00521995"/>
    <w:rsid w:val="00521EB2"/>
    <w:rsid w:val="0052502F"/>
    <w:rsid w:val="005252C5"/>
    <w:rsid w:val="00525868"/>
    <w:rsid w:val="00526F41"/>
    <w:rsid w:val="00530B79"/>
    <w:rsid w:val="005406EE"/>
    <w:rsid w:val="0054078E"/>
    <w:rsid w:val="00542185"/>
    <w:rsid w:val="00545683"/>
    <w:rsid w:val="005473A2"/>
    <w:rsid w:val="005500F0"/>
    <w:rsid w:val="00550BA1"/>
    <w:rsid w:val="00550E1C"/>
    <w:rsid w:val="00551A4C"/>
    <w:rsid w:val="00555465"/>
    <w:rsid w:val="005579E5"/>
    <w:rsid w:val="00560861"/>
    <w:rsid w:val="00562C73"/>
    <w:rsid w:val="005632D3"/>
    <w:rsid w:val="005711E1"/>
    <w:rsid w:val="005739C6"/>
    <w:rsid w:val="00573A76"/>
    <w:rsid w:val="00575BD0"/>
    <w:rsid w:val="0057618C"/>
    <w:rsid w:val="005763BD"/>
    <w:rsid w:val="00576F07"/>
    <w:rsid w:val="00582CB7"/>
    <w:rsid w:val="0058398D"/>
    <w:rsid w:val="005839DD"/>
    <w:rsid w:val="00586338"/>
    <w:rsid w:val="005866ED"/>
    <w:rsid w:val="00586A7E"/>
    <w:rsid w:val="005877D5"/>
    <w:rsid w:val="00590E39"/>
    <w:rsid w:val="005927BC"/>
    <w:rsid w:val="00595990"/>
    <w:rsid w:val="00596350"/>
    <w:rsid w:val="00597CCA"/>
    <w:rsid w:val="005A231A"/>
    <w:rsid w:val="005A241A"/>
    <w:rsid w:val="005A2E5C"/>
    <w:rsid w:val="005A3DDC"/>
    <w:rsid w:val="005A3F22"/>
    <w:rsid w:val="005A7EBA"/>
    <w:rsid w:val="005B0542"/>
    <w:rsid w:val="005B1B77"/>
    <w:rsid w:val="005B2252"/>
    <w:rsid w:val="005B5CED"/>
    <w:rsid w:val="005B65CB"/>
    <w:rsid w:val="005B729C"/>
    <w:rsid w:val="005C0214"/>
    <w:rsid w:val="005C049B"/>
    <w:rsid w:val="005C26B3"/>
    <w:rsid w:val="005C481D"/>
    <w:rsid w:val="005C50A9"/>
    <w:rsid w:val="005C59A3"/>
    <w:rsid w:val="005C67A5"/>
    <w:rsid w:val="005C6969"/>
    <w:rsid w:val="005D0859"/>
    <w:rsid w:val="005D20D6"/>
    <w:rsid w:val="005D2261"/>
    <w:rsid w:val="005D52BC"/>
    <w:rsid w:val="005D7068"/>
    <w:rsid w:val="005D76D9"/>
    <w:rsid w:val="005E21D0"/>
    <w:rsid w:val="005E25DD"/>
    <w:rsid w:val="005E2674"/>
    <w:rsid w:val="005E49CD"/>
    <w:rsid w:val="005E4FAA"/>
    <w:rsid w:val="005F0391"/>
    <w:rsid w:val="005F1051"/>
    <w:rsid w:val="005F4158"/>
    <w:rsid w:val="005F63F5"/>
    <w:rsid w:val="005F68A1"/>
    <w:rsid w:val="005F7B59"/>
    <w:rsid w:val="005F7C9D"/>
    <w:rsid w:val="0060198E"/>
    <w:rsid w:val="00601D54"/>
    <w:rsid w:val="006024C1"/>
    <w:rsid w:val="00603175"/>
    <w:rsid w:val="0060357B"/>
    <w:rsid w:val="006048C7"/>
    <w:rsid w:val="006069E3"/>
    <w:rsid w:val="00606FC6"/>
    <w:rsid w:val="0060747E"/>
    <w:rsid w:val="00607DA2"/>
    <w:rsid w:val="00607FDB"/>
    <w:rsid w:val="00611261"/>
    <w:rsid w:val="00611B57"/>
    <w:rsid w:val="006135AF"/>
    <w:rsid w:val="00614D95"/>
    <w:rsid w:val="006152AF"/>
    <w:rsid w:val="0061727E"/>
    <w:rsid w:val="00623DB1"/>
    <w:rsid w:val="00624288"/>
    <w:rsid w:val="00625C9D"/>
    <w:rsid w:val="00626D00"/>
    <w:rsid w:val="00633036"/>
    <w:rsid w:val="00635CBE"/>
    <w:rsid w:val="00636683"/>
    <w:rsid w:val="00637968"/>
    <w:rsid w:val="00641157"/>
    <w:rsid w:val="00641795"/>
    <w:rsid w:val="00641AD0"/>
    <w:rsid w:val="00642627"/>
    <w:rsid w:val="006476AA"/>
    <w:rsid w:val="00654FC8"/>
    <w:rsid w:val="00655B7D"/>
    <w:rsid w:val="00655FE7"/>
    <w:rsid w:val="0065700B"/>
    <w:rsid w:val="0065763F"/>
    <w:rsid w:val="00660C9B"/>
    <w:rsid w:val="006618C4"/>
    <w:rsid w:val="00661A41"/>
    <w:rsid w:val="00661AA7"/>
    <w:rsid w:val="00664939"/>
    <w:rsid w:val="006660B3"/>
    <w:rsid w:val="00666812"/>
    <w:rsid w:val="006707C1"/>
    <w:rsid w:val="00671CC9"/>
    <w:rsid w:val="006749F1"/>
    <w:rsid w:val="0067659C"/>
    <w:rsid w:val="00680819"/>
    <w:rsid w:val="00683436"/>
    <w:rsid w:val="00683C25"/>
    <w:rsid w:val="006842B4"/>
    <w:rsid w:val="006854F1"/>
    <w:rsid w:val="00687938"/>
    <w:rsid w:val="006879C8"/>
    <w:rsid w:val="006908D6"/>
    <w:rsid w:val="00690E1A"/>
    <w:rsid w:val="00691EF0"/>
    <w:rsid w:val="0069235B"/>
    <w:rsid w:val="006929DB"/>
    <w:rsid w:val="00692EDD"/>
    <w:rsid w:val="00693742"/>
    <w:rsid w:val="00695E1C"/>
    <w:rsid w:val="006A0289"/>
    <w:rsid w:val="006A1861"/>
    <w:rsid w:val="006A2B42"/>
    <w:rsid w:val="006A30D4"/>
    <w:rsid w:val="006A432B"/>
    <w:rsid w:val="006A5A68"/>
    <w:rsid w:val="006B14E9"/>
    <w:rsid w:val="006B27F5"/>
    <w:rsid w:val="006B28F3"/>
    <w:rsid w:val="006B352F"/>
    <w:rsid w:val="006B47BA"/>
    <w:rsid w:val="006B7A11"/>
    <w:rsid w:val="006C0155"/>
    <w:rsid w:val="006C2C9C"/>
    <w:rsid w:val="006C2DE9"/>
    <w:rsid w:val="006C2E91"/>
    <w:rsid w:val="006C3D7E"/>
    <w:rsid w:val="006C472B"/>
    <w:rsid w:val="006C750A"/>
    <w:rsid w:val="006D3C46"/>
    <w:rsid w:val="006D5B0F"/>
    <w:rsid w:val="006D5E49"/>
    <w:rsid w:val="006E034D"/>
    <w:rsid w:val="006E0633"/>
    <w:rsid w:val="006E503F"/>
    <w:rsid w:val="006E53D0"/>
    <w:rsid w:val="006E5B06"/>
    <w:rsid w:val="006E6406"/>
    <w:rsid w:val="006F09FA"/>
    <w:rsid w:val="006F0E70"/>
    <w:rsid w:val="006F10B3"/>
    <w:rsid w:val="006F2570"/>
    <w:rsid w:val="006F2CE9"/>
    <w:rsid w:val="006F2E30"/>
    <w:rsid w:val="006F3845"/>
    <w:rsid w:val="006F4ADE"/>
    <w:rsid w:val="006F527A"/>
    <w:rsid w:val="006F6FB9"/>
    <w:rsid w:val="006F7933"/>
    <w:rsid w:val="006F7E5C"/>
    <w:rsid w:val="00702800"/>
    <w:rsid w:val="0070280C"/>
    <w:rsid w:val="00702C09"/>
    <w:rsid w:val="0070311B"/>
    <w:rsid w:val="00703CAA"/>
    <w:rsid w:val="007060B7"/>
    <w:rsid w:val="0070617B"/>
    <w:rsid w:val="00712ECA"/>
    <w:rsid w:val="00714410"/>
    <w:rsid w:val="007159AC"/>
    <w:rsid w:val="0071620B"/>
    <w:rsid w:val="00720133"/>
    <w:rsid w:val="007206E5"/>
    <w:rsid w:val="007225B3"/>
    <w:rsid w:val="00722B78"/>
    <w:rsid w:val="007244F4"/>
    <w:rsid w:val="00725467"/>
    <w:rsid w:val="00726DF5"/>
    <w:rsid w:val="00734A23"/>
    <w:rsid w:val="00736329"/>
    <w:rsid w:val="00736622"/>
    <w:rsid w:val="00736D78"/>
    <w:rsid w:val="0074161A"/>
    <w:rsid w:val="00741A79"/>
    <w:rsid w:val="00742443"/>
    <w:rsid w:val="00742992"/>
    <w:rsid w:val="007448CD"/>
    <w:rsid w:val="007460E5"/>
    <w:rsid w:val="00747AE0"/>
    <w:rsid w:val="00751F04"/>
    <w:rsid w:val="007520C3"/>
    <w:rsid w:val="00753187"/>
    <w:rsid w:val="00755994"/>
    <w:rsid w:val="00755E68"/>
    <w:rsid w:val="0075721F"/>
    <w:rsid w:val="00760BB0"/>
    <w:rsid w:val="00761B8A"/>
    <w:rsid w:val="007620FC"/>
    <w:rsid w:val="0076228D"/>
    <w:rsid w:val="0076370E"/>
    <w:rsid w:val="00763A8A"/>
    <w:rsid w:val="00765DBC"/>
    <w:rsid w:val="007667DB"/>
    <w:rsid w:val="00771456"/>
    <w:rsid w:val="00771D08"/>
    <w:rsid w:val="00772232"/>
    <w:rsid w:val="007728DD"/>
    <w:rsid w:val="00776F3A"/>
    <w:rsid w:val="00777094"/>
    <w:rsid w:val="00780EAC"/>
    <w:rsid w:val="00781A1E"/>
    <w:rsid w:val="00781B72"/>
    <w:rsid w:val="00782792"/>
    <w:rsid w:val="007832EC"/>
    <w:rsid w:val="00784AFA"/>
    <w:rsid w:val="00784CA7"/>
    <w:rsid w:val="00785375"/>
    <w:rsid w:val="00786825"/>
    <w:rsid w:val="0078686A"/>
    <w:rsid w:val="007872BE"/>
    <w:rsid w:val="007875AE"/>
    <w:rsid w:val="00790F9B"/>
    <w:rsid w:val="00790FCF"/>
    <w:rsid w:val="0079220F"/>
    <w:rsid w:val="0079517F"/>
    <w:rsid w:val="00796F10"/>
    <w:rsid w:val="00797276"/>
    <w:rsid w:val="007977B7"/>
    <w:rsid w:val="007A1CC3"/>
    <w:rsid w:val="007A4547"/>
    <w:rsid w:val="007B089B"/>
    <w:rsid w:val="007B0D71"/>
    <w:rsid w:val="007B47D0"/>
    <w:rsid w:val="007B62C3"/>
    <w:rsid w:val="007C19A1"/>
    <w:rsid w:val="007C21C5"/>
    <w:rsid w:val="007C26BC"/>
    <w:rsid w:val="007C2BB3"/>
    <w:rsid w:val="007C3AE6"/>
    <w:rsid w:val="007C4D36"/>
    <w:rsid w:val="007C6547"/>
    <w:rsid w:val="007C794E"/>
    <w:rsid w:val="007D0E6F"/>
    <w:rsid w:val="007D1FC4"/>
    <w:rsid w:val="007D2DD1"/>
    <w:rsid w:val="007D424A"/>
    <w:rsid w:val="007D4971"/>
    <w:rsid w:val="007D5072"/>
    <w:rsid w:val="007D57E3"/>
    <w:rsid w:val="007D611E"/>
    <w:rsid w:val="007E04E2"/>
    <w:rsid w:val="007E1991"/>
    <w:rsid w:val="007E332A"/>
    <w:rsid w:val="007E405E"/>
    <w:rsid w:val="007E41E2"/>
    <w:rsid w:val="007E51FA"/>
    <w:rsid w:val="007E64D9"/>
    <w:rsid w:val="007E678C"/>
    <w:rsid w:val="007E6C38"/>
    <w:rsid w:val="007E6E9B"/>
    <w:rsid w:val="007E6F8C"/>
    <w:rsid w:val="007E7257"/>
    <w:rsid w:val="007F2F8E"/>
    <w:rsid w:val="007F39E3"/>
    <w:rsid w:val="007F3A43"/>
    <w:rsid w:val="007F44F0"/>
    <w:rsid w:val="007F5295"/>
    <w:rsid w:val="007F5E6A"/>
    <w:rsid w:val="007F7069"/>
    <w:rsid w:val="007F70AD"/>
    <w:rsid w:val="00802EB8"/>
    <w:rsid w:val="0080374A"/>
    <w:rsid w:val="00803A4D"/>
    <w:rsid w:val="008058F0"/>
    <w:rsid w:val="0080635D"/>
    <w:rsid w:val="00807114"/>
    <w:rsid w:val="00810422"/>
    <w:rsid w:val="00814D9F"/>
    <w:rsid w:val="008152FD"/>
    <w:rsid w:val="008155CC"/>
    <w:rsid w:val="008158C0"/>
    <w:rsid w:val="00815C82"/>
    <w:rsid w:val="00820E83"/>
    <w:rsid w:val="008212FB"/>
    <w:rsid w:val="00821D17"/>
    <w:rsid w:val="00822135"/>
    <w:rsid w:val="008225EC"/>
    <w:rsid w:val="00822CAE"/>
    <w:rsid w:val="00823B71"/>
    <w:rsid w:val="00823FB3"/>
    <w:rsid w:val="00824271"/>
    <w:rsid w:val="00824CAB"/>
    <w:rsid w:val="00825431"/>
    <w:rsid w:val="00827E3B"/>
    <w:rsid w:val="008307BC"/>
    <w:rsid w:val="00831AAC"/>
    <w:rsid w:val="008358E0"/>
    <w:rsid w:val="0083793E"/>
    <w:rsid w:val="008403F1"/>
    <w:rsid w:val="00842823"/>
    <w:rsid w:val="008445BD"/>
    <w:rsid w:val="00844C4E"/>
    <w:rsid w:val="00844F94"/>
    <w:rsid w:val="008466E6"/>
    <w:rsid w:val="00846782"/>
    <w:rsid w:val="008469F4"/>
    <w:rsid w:val="00846CDD"/>
    <w:rsid w:val="00847B7D"/>
    <w:rsid w:val="00850644"/>
    <w:rsid w:val="00851E0C"/>
    <w:rsid w:val="008526AF"/>
    <w:rsid w:val="008530B9"/>
    <w:rsid w:val="0086109E"/>
    <w:rsid w:val="008613E5"/>
    <w:rsid w:val="00861CD2"/>
    <w:rsid w:val="008624FD"/>
    <w:rsid w:val="008638A0"/>
    <w:rsid w:val="00865861"/>
    <w:rsid w:val="00866351"/>
    <w:rsid w:val="0086636B"/>
    <w:rsid w:val="00867217"/>
    <w:rsid w:val="0086755C"/>
    <w:rsid w:val="00867850"/>
    <w:rsid w:val="008715A3"/>
    <w:rsid w:val="00871E87"/>
    <w:rsid w:val="00876521"/>
    <w:rsid w:val="00876687"/>
    <w:rsid w:val="00876F3B"/>
    <w:rsid w:val="00877115"/>
    <w:rsid w:val="008778EC"/>
    <w:rsid w:val="00877F27"/>
    <w:rsid w:val="008805F3"/>
    <w:rsid w:val="00883A11"/>
    <w:rsid w:val="00885C3A"/>
    <w:rsid w:val="00885F40"/>
    <w:rsid w:val="008868B1"/>
    <w:rsid w:val="00886F54"/>
    <w:rsid w:val="00891905"/>
    <w:rsid w:val="008925FD"/>
    <w:rsid w:val="008946F5"/>
    <w:rsid w:val="00894869"/>
    <w:rsid w:val="00895069"/>
    <w:rsid w:val="00897075"/>
    <w:rsid w:val="008A0300"/>
    <w:rsid w:val="008A0F7B"/>
    <w:rsid w:val="008A23B1"/>
    <w:rsid w:val="008A57C1"/>
    <w:rsid w:val="008A758A"/>
    <w:rsid w:val="008B48FD"/>
    <w:rsid w:val="008B6F25"/>
    <w:rsid w:val="008C075D"/>
    <w:rsid w:val="008C2397"/>
    <w:rsid w:val="008C3FA7"/>
    <w:rsid w:val="008C662D"/>
    <w:rsid w:val="008D026E"/>
    <w:rsid w:val="008D22F3"/>
    <w:rsid w:val="008D3312"/>
    <w:rsid w:val="008D6426"/>
    <w:rsid w:val="008D7CA5"/>
    <w:rsid w:val="008E0E4A"/>
    <w:rsid w:val="008E238F"/>
    <w:rsid w:val="008E2ED5"/>
    <w:rsid w:val="008E3A79"/>
    <w:rsid w:val="008E3BCB"/>
    <w:rsid w:val="008E40F3"/>
    <w:rsid w:val="008E5643"/>
    <w:rsid w:val="008F0FA2"/>
    <w:rsid w:val="008F3623"/>
    <w:rsid w:val="008F5070"/>
    <w:rsid w:val="008F5548"/>
    <w:rsid w:val="008F7DB3"/>
    <w:rsid w:val="009022D0"/>
    <w:rsid w:val="00905F48"/>
    <w:rsid w:val="00906352"/>
    <w:rsid w:val="00906E57"/>
    <w:rsid w:val="00911591"/>
    <w:rsid w:val="00913C31"/>
    <w:rsid w:val="00913F08"/>
    <w:rsid w:val="009158FB"/>
    <w:rsid w:val="00915E56"/>
    <w:rsid w:val="009166EB"/>
    <w:rsid w:val="00916EBD"/>
    <w:rsid w:val="00920B85"/>
    <w:rsid w:val="009220FA"/>
    <w:rsid w:val="00925B04"/>
    <w:rsid w:val="009270ED"/>
    <w:rsid w:val="00931182"/>
    <w:rsid w:val="00931C59"/>
    <w:rsid w:val="00932706"/>
    <w:rsid w:val="009335BE"/>
    <w:rsid w:val="009355F5"/>
    <w:rsid w:val="00935BE5"/>
    <w:rsid w:val="00936CC5"/>
    <w:rsid w:val="0093729E"/>
    <w:rsid w:val="009403D3"/>
    <w:rsid w:val="00940E06"/>
    <w:rsid w:val="00941AA2"/>
    <w:rsid w:val="009460F5"/>
    <w:rsid w:val="00950569"/>
    <w:rsid w:val="0095463B"/>
    <w:rsid w:val="0095493D"/>
    <w:rsid w:val="009566FC"/>
    <w:rsid w:val="00956FD3"/>
    <w:rsid w:val="0096126C"/>
    <w:rsid w:val="0096270C"/>
    <w:rsid w:val="00962D15"/>
    <w:rsid w:val="0096502E"/>
    <w:rsid w:val="009650EF"/>
    <w:rsid w:val="00965E91"/>
    <w:rsid w:val="009667C8"/>
    <w:rsid w:val="0096695D"/>
    <w:rsid w:val="00967EAC"/>
    <w:rsid w:val="00972454"/>
    <w:rsid w:val="0097393C"/>
    <w:rsid w:val="00974F88"/>
    <w:rsid w:val="0098284C"/>
    <w:rsid w:val="00984E87"/>
    <w:rsid w:val="00985AAE"/>
    <w:rsid w:val="00987F2E"/>
    <w:rsid w:val="00991056"/>
    <w:rsid w:val="00993F11"/>
    <w:rsid w:val="009942A4"/>
    <w:rsid w:val="00994994"/>
    <w:rsid w:val="00994AA7"/>
    <w:rsid w:val="00996647"/>
    <w:rsid w:val="00996842"/>
    <w:rsid w:val="00996878"/>
    <w:rsid w:val="0099775F"/>
    <w:rsid w:val="0099778A"/>
    <w:rsid w:val="009A1C0A"/>
    <w:rsid w:val="009A6942"/>
    <w:rsid w:val="009A7741"/>
    <w:rsid w:val="009B2968"/>
    <w:rsid w:val="009B40ED"/>
    <w:rsid w:val="009C3154"/>
    <w:rsid w:val="009C4648"/>
    <w:rsid w:val="009C5594"/>
    <w:rsid w:val="009C697D"/>
    <w:rsid w:val="009C7651"/>
    <w:rsid w:val="009C79BA"/>
    <w:rsid w:val="009D0573"/>
    <w:rsid w:val="009D20D0"/>
    <w:rsid w:val="009D2BEE"/>
    <w:rsid w:val="009D3380"/>
    <w:rsid w:val="009D35C6"/>
    <w:rsid w:val="009D376D"/>
    <w:rsid w:val="009D3B42"/>
    <w:rsid w:val="009D3B6C"/>
    <w:rsid w:val="009D69CA"/>
    <w:rsid w:val="009D73B7"/>
    <w:rsid w:val="009D7A7A"/>
    <w:rsid w:val="009E134E"/>
    <w:rsid w:val="009E2534"/>
    <w:rsid w:val="009E2835"/>
    <w:rsid w:val="009E3FC3"/>
    <w:rsid w:val="009E42F5"/>
    <w:rsid w:val="009E50B1"/>
    <w:rsid w:val="009F1FB6"/>
    <w:rsid w:val="009F488B"/>
    <w:rsid w:val="009F48C8"/>
    <w:rsid w:val="00A008F6"/>
    <w:rsid w:val="00A02820"/>
    <w:rsid w:val="00A02B65"/>
    <w:rsid w:val="00A036E8"/>
    <w:rsid w:val="00A03AC6"/>
    <w:rsid w:val="00A03E55"/>
    <w:rsid w:val="00A046E2"/>
    <w:rsid w:val="00A0623D"/>
    <w:rsid w:val="00A06D0B"/>
    <w:rsid w:val="00A071AC"/>
    <w:rsid w:val="00A071CC"/>
    <w:rsid w:val="00A072B8"/>
    <w:rsid w:val="00A10CDB"/>
    <w:rsid w:val="00A10E86"/>
    <w:rsid w:val="00A116D4"/>
    <w:rsid w:val="00A12664"/>
    <w:rsid w:val="00A13D4A"/>
    <w:rsid w:val="00A14398"/>
    <w:rsid w:val="00A14D07"/>
    <w:rsid w:val="00A15A72"/>
    <w:rsid w:val="00A17CAC"/>
    <w:rsid w:val="00A17EBB"/>
    <w:rsid w:val="00A204CB"/>
    <w:rsid w:val="00A20FC9"/>
    <w:rsid w:val="00A228DB"/>
    <w:rsid w:val="00A23A16"/>
    <w:rsid w:val="00A251A8"/>
    <w:rsid w:val="00A2546B"/>
    <w:rsid w:val="00A30EFD"/>
    <w:rsid w:val="00A312D0"/>
    <w:rsid w:val="00A32433"/>
    <w:rsid w:val="00A33871"/>
    <w:rsid w:val="00A36330"/>
    <w:rsid w:val="00A36CCE"/>
    <w:rsid w:val="00A4345C"/>
    <w:rsid w:val="00A451C2"/>
    <w:rsid w:val="00A45AF1"/>
    <w:rsid w:val="00A45F89"/>
    <w:rsid w:val="00A50DBA"/>
    <w:rsid w:val="00A52A07"/>
    <w:rsid w:val="00A53227"/>
    <w:rsid w:val="00A539C0"/>
    <w:rsid w:val="00A54096"/>
    <w:rsid w:val="00A54667"/>
    <w:rsid w:val="00A54EB1"/>
    <w:rsid w:val="00A54EF6"/>
    <w:rsid w:val="00A55295"/>
    <w:rsid w:val="00A55E8F"/>
    <w:rsid w:val="00A619C6"/>
    <w:rsid w:val="00A62F4F"/>
    <w:rsid w:val="00A643D8"/>
    <w:rsid w:val="00A67926"/>
    <w:rsid w:val="00A67D99"/>
    <w:rsid w:val="00A7216B"/>
    <w:rsid w:val="00A72E78"/>
    <w:rsid w:val="00A73C22"/>
    <w:rsid w:val="00A74F6F"/>
    <w:rsid w:val="00A756FF"/>
    <w:rsid w:val="00A762E0"/>
    <w:rsid w:val="00A80169"/>
    <w:rsid w:val="00A82AF9"/>
    <w:rsid w:val="00A8400E"/>
    <w:rsid w:val="00A85EA9"/>
    <w:rsid w:val="00A86565"/>
    <w:rsid w:val="00A865D4"/>
    <w:rsid w:val="00A86A1E"/>
    <w:rsid w:val="00A87B09"/>
    <w:rsid w:val="00A915D4"/>
    <w:rsid w:val="00A9205B"/>
    <w:rsid w:val="00A9482F"/>
    <w:rsid w:val="00A95531"/>
    <w:rsid w:val="00A95C49"/>
    <w:rsid w:val="00A9603B"/>
    <w:rsid w:val="00A96E3E"/>
    <w:rsid w:val="00A976DB"/>
    <w:rsid w:val="00AA0E85"/>
    <w:rsid w:val="00AA1884"/>
    <w:rsid w:val="00AA1AE9"/>
    <w:rsid w:val="00AA29DB"/>
    <w:rsid w:val="00AA2A37"/>
    <w:rsid w:val="00AA3796"/>
    <w:rsid w:val="00AA4A04"/>
    <w:rsid w:val="00AA4FC8"/>
    <w:rsid w:val="00AA5E3A"/>
    <w:rsid w:val="00AA698D"/>
    <w:rsid w:val="00AA6CB8"/>
    <w:rsid w:val="00AA7EFD"/>
    <w:rsid w:val="00AB189C"/>
    <w:rsid w:val="00AB400C"/>
    <w:rsid w:val="00AB58BB"/>
    <w:rsid w:val="00AB5B44"/>
    <w:rsid w:val="00AB6B9F"/>
    <w:rsid w:val="00AB7523"/>
    <w:rsid w:val="00AC087E"/>
    <w:rsid w:val="00AC36F0"/>
    <w:rsid w:val="00AC4CC8"/>
    <w:rsid w:val="00AC786F"/>
    <w:rsid w:val="00AD0931"/>
    <w:rsid w:val="00AD5AC3"/>
    <w:rsid w:val="00AE1058"/>
    <w:rsid w:val="00AE121D"/>
    <w:rsid w:val="00AE2D22"/>
    <w:rsid w:val="00AE316E"/>
    <w:rsid w:val="00AE46E7"/>
    <w:rsid w:val="00AE511A"/>
    <w:rsid w:val="00AF0CEA"/>
    <w:rsid w:val="00AF2079"/>
    <w:rsid w:val="00AF3F3A"/>
    <w:rsid w:val="00AF578F"/>
    <w:rsid w:val="00AF5B67"/>
    <w:rsid w:val="00AF5EB3"/>
    <w:rsid w:val="00B00762"/>
    <w:rsid w:val="00B01242"/>
    <w:rsid w:val="00B018E4"/>
    <w:rsid w:val="00B01AF6"/>
    <w:rsid w:val="00B0204C"/>
    <w:rsid w:val="00B026A6"/>
    <w:rsid w:val="00B075A7"/>
    <w:rsid w:val="00B10365"/>
    <w:rsid w:val="00B103B6"/>
    <w:rsid w:val="00B12460"/>
    <w:rsid w:val="00B14887"/>
    <w:rsid w:val="00B1579A"/>
    <w:rsid w:val="00B1755D"/>
    <w:rsid w:val="00B201D5"/>
    <w:rsid w:val="00B20B64"/>
    <w:rsid w:val="00B2282B"/>
    <w:rsid w:val="00B239A3"/>
    <w:rsid w:val="00B23A30"/>
    <w:rsid w:val="00B2498A"/>
    <w:rsid w:val="00B255B3"/>
    <w:rsid w:val="00B25753"/>
    <w:rsid w:val="00B2789D"/>
    <w:rsid w:val="00B32CD4"/>
    <w:rsid w:val="00B32D48"/>
    <w:rsid w:val="00B3393A"/>
    <w:rsid w:val="00B3402B"/>
    <w:rsid w:val="00B34541"/>
    <w:rsid w:val="00B3494A"/>
    <w:rsid w:val="00B3649F"/>
    <w:rsid w:val="00B413D2"/>
    <w:rsid w:val="00B42AF0"/>
    <w:rsid w:val="00B42C2F"/>
    <w:rsid w:val="00B45B15"/>
    <w:rsid w:val="00B47FCF"/>
    <w:rsid w:val="00B52DCA"/>
    <w:rsid w:val="00B557C5"/>
    <w:rsid w:val="00B56CA5"/>
    <w:rsid w:val="00B6012D"/>
    <w:rsid w:val="00B6113B"/>
    <w:rsid w:val="00B616D2"/>
    <w:rsid w:val="00B6189E"/>
    <w:rsid w:val="00B62DE0"/>
    <w:rsid w:val="00B63C2D"/>
    <w:rsid w:val="00B64665"/>
    <w:rsid w:val="00B64D0E"/>
    <w:rsid w:val="00B662A2"/>
    <w:rsid w:val="00B750BC"/>
    <w:rsid w:val="00B77F90"/>
    <w:rsid w:val="00B81E49"/>
    <w:rsid w:val="00B8237A"/>
    <w:rsid w:val="00B82394"/>
    <w:rsid w:val="00B83E29"/>
    <w:rsid w:val="00B85DDB"/>
    <w:rsid w:val="00B86600"/>
    <w:rsid w:val="00B86754"/>
    <w:rsid w:val="00B8741E"/>
    <w:rsid w:val="00B91C23"/>
    <w:rsid w:val="00B967E3"/>
    <w:rsid w:val="00B971AA"/>
    <w:rsid w:val="00B979B4"/>
    <w:rsid w:val="00B97A59"/>
    <w:rsid w:val="00BA3693"/>
    <w:rsid w:val="00BA48F1"/>
    <w:rsid w:val="00BA568A"/>
    <w:rsid w:val="00BA5FC9"/>
    <w:rsid w:val="00BA6972"/>
    <w:rsid w:val="00BA7463"/>
    <w:rsid w:val="00BA7D37"/>
    <w:rsid w:val="00BB1C36"/>
    <w:rsid w:val="00BB1E42"/>
    <w:rsid w:val="00BB2C83"/>
    <w:rsid w:val="00BB2F87"/>
    <w:rsid w:val="00BC029E"/>
    <w:rsid w:val="00BC049B"/>
    <w:rsid w:val="00BC15DE"/>
    <w:rsid w:val="00BC2BBD"/>
    <w:rsid w:val="00BC6205"/>
    <w:rsid w:val="00BC6986"/>
    <w:rsid w:val="00BC7185"/>
    <w:rsid w:val="00BC725C"/>
    <w:rsid w:val="00BD2E79"/>
    <w:rsid w:val="00BD3CD3"/>
    <w:rsid w:val="00BD544E"/>
    <w:rsid w:val="00BD6958"/>
    <w:rsid w:val="00BD7F9B"/>
    <w:rsid w:val="00BE0926"/>
    <w:rsid w:val="00BE51C3"/>
    <w:rsid w:val="00BE523B"/>
    <w:rsid w:val="00BE56B5"/>
    <w:rsid w:val="00BE5D9E"/>
    <w:rsid w:val="00BE6C01"/>
    <w:rsid w:val="00BE7505"/>
    <w:rsid w:val="00BE7F70"/>
    <w:rsid w:val="00BF79C8"/>
    <w:rsid w:val="00C013B8"/>
    <w:rsid w:val="00C01422"/>
    <w:rsid w:val="00C03C12"/>
    <w:rsid w:val="00C051E0"/>
    <w:rsid w:val="00C06E70"/>
    <w:rsid w:val="00C075F2"/>
    <w:rsid w:val="00C07697"/>
    <w:rsid w:val="00C07864"/>
    <w:rsid w:val="00C07C6F"/>
    <w:rsid w:val="00C10717"/>
    <w:rsid w:val="00C10FFE"/>
    <w:rsid w:val="00C11E59"/>
    <w:rsid w:val="00C13C81"/>
    <w:rsid w:val="00C16481"/>
    <w:rsid w:val="00C17DC3"/>
    <w:rsid w:val="00C2175A"/>
    <w:rsid w:val="00C22AED"/>
    <w:rsid w:val="00C252B4"/>
    <w:rsid w:val="00C26158"/>
    <w:rsid w:val="00C269E9"/>
    <w:rsid w:val="00C2764A"/>
    <w:rsid w:val="00C27AFB"/>
    <w:rsid w:val="00C30F8E"/>
    <w:rsid w:val="00C310D6"/>
    <w:rsid w:val="00C33365"/>
    <w:rsid w:val="00C3534E"/>
    <w:rsid w:val="00C353E4"/>
    <w:rsid w:val="00C3685C"/>
    <w:rsid w:val="00C40798"/>
    <w:rsid w:val="00C43BCC"/>
    <w:rsid w:val="00C445B6"/>
    <w:rsid w:val="00C44AEE"/>
    <w:rsid w:val="00C45320"/>
    <w:rsid w:val="00C4541A"/>
    <w:rsid w:val="00C45B33"/>
    <w:rsid w:val="00C4686A"/>
    <w:rsid w:val="00C46FD8"/>
    <w:rsid w:val="00C51464"/>
    <w:rsid w:val="00C52596"/>
    <w:rsid w:val="00C5413C"/>
    <w:rsid w:val="00C545CE"/>
    <w:rsid w:val="00C567F0"/>
    <w:rsid w:val="00C57A62"/>
    <w:rsid w:val="00C61BB3"/>
    <w:rsid w:val="00C6270D"/>
    <w:rsid w:val="00C63BD0"/>
    <w:rsid w:val="00C63E0B"/>
    <w:rsid w:val="00C65928"/>
    <w:rsid w:val="00C664C8"/>
    <w:rsid w:val="00C70108"/>
    <w:rsid w:val="00C7031A"/>
    <w:rsid w:val="00C71E6E"/>
    <w:rsid w:val="00C72EE3"/>
    <w:rsid w:val="00C739BB"/>
    <w:rsid w:val="00C73BDF"/>
    <w:rsid w:val="00C749FA"/>
    <w:rsid w:val="00C76062"/>
    <w:rsid w:val="00C76562"/>
    <w:rsid w:val="00C77B5B"/>
    <w:rsid w:val="00C8146A"/>
    <w:rsid w:val="00C8289C"/>
    <w:rsid w:val="00C82C5B"/>
    <w:rsid w:val="00C831CD"/>
    <w:rsid w:val="00C8384E"/>
    <w:rsid w:val="00C83E57"/>
    <w:rsid w:val="00C873B1"/>
    <w:rsid w:val="00C92100"/>
    <w:rsid w:val="00C92D75"/>
    <w:rsid w:val="00C939A4"/>
    <w:rsid w:val="00C95CDE"/>
    <w:rsid w:val="00CA09E5"/>
    <w:rsid w:val="00CA3682"/>
    <w:rsid w:val="00CA5CFB"/>
    <w:rsid w:val="00CA6927"/>
    <w:rsid w:val="00CB07BC"/>
    <w:rsid w:val="00CB2C6D"/>
    <w:rsid w:val="00CB305D"/>
    <w:rsid w:val="00CB3ECA"/>
    <w:rsid w:val="00CB5BD2"/>
    <w:rsid w:val="00CB6CE6"/>
    <w:rsid w:val="00CB713E"/>
    <w:rsid w:val="00CB7312"/>
    <w:rsid w:val="00CB7A0D"/>
    <w:rsid w:val="00CB7B5B"/>
    <w:rsid w:val="00CC0D66"/>
    <w:rsid w:val="00CC1E6D"/>
    <w:rsid w:val="00CC3103"/>
    <w:rsid w:val="00CC624B"/>
    <w:rsid w:val="00CC7730"/>
    <w:rsid w:val="00CD4D3B"/>
    <w:rsid w:val="00CE1212"/>
    <w:rsid w:val="00CE1545"/>
    <w:rsid w:val="00CE255A"/>
    <w:rsid w:val="00CE3CAE"/>
    <w:rsid w:val="00CE465C"/>
    <w:rsid w:val="00CE53AC"/>
    <w:rsid w:val="00CE63A7"/>
    <w:rsid w:val="00CE7400"/>
    <w:rsid w:val="00CF0605"/>
    <w:rsid w:val="00CF246B"/>
    <w:rsid w:val="00CF3E62"/>
    <w:rsid w:val="00CF5A61"/>
    <w:rsid w:val="00D01911"/>
    <w:rsid w:val="00D01CF1"/>
    <w:rsid w:val="00D04131"/>
    <w:rsid w:val="00D04AAD"/>
    <w:rsid w:val="00D053ED"/>
    <w:rsid w:val="00D067F5"/>
    <w:rsid w:val="00D12F1D"/>
    <w:rsid w:val="00D1306B"/>
    <w:rsid w:val="00D14CED"/>
    <w:rsid w:val="00D164A2"/>
    <w:rsid w:val="00D16BD4"/>
    <w:rsid w:val="00D20349"/>
    <w:rsid w:val="00D2052D"/>
    <w:rsid w:val="00D231F8"/>
    <w:rsid w:val="00D23DBE"/>
    <w:rsid w:val="00D24456"/>
    <w:rsid w:val="00D24EEB"/>
    <w:rsid w:val="00D25B5E"/>
    <w:rsid w:val="00D26FA9"/>
    <w:rsid w:val="00D300A0"/>
    <w:rsid w:val="00D312B2"/>
    <w:rsid w:val="00D31392"/>
    <w:rsid w:val="00D33604"/>
    <w:rsid w:val="00D34077"/>
    <w:rsid w:val="00D345CA"/>
    <w:rsid w:val="00D34E60"/>
    <w:rsid w:val="00D357F8"/>
    <w:rsid w:val="00D35B81"/>
    <w:rsid w:val="00D378DA"/>
    <w:rsid w:val="00D37B2C"/>
    <w:rsid w:val="00D37F21"/>
    <w:rsid w:val="00D450D0"/>
    <w:rsid w:val="00D460AA"/>
    <w:rsid w:val="00D470CE"/>
    <w:rsid w:val="00D47211"/>
    <w:rsid w:val="00D52453"/>
    <w:rsid w:val="00D529E9"/>
    <w:rsid w:val="00D53D04"/>
    <w:rsid w:val="00D53E34"/>
    <w:rsid w:val="00D53E4E"/>
    <w:rsid w:val="00D542B9"/>
    <w:rsid w:val="00D54A42"/>
    <w:rsid w:val="00D55B5F"/>
    <w:rsid w:val="00D5632D"/>
    <w:rsid w:val="00D601CA"/>
    <w:rsid w:val="00D61A47"/>
    <w:rsid w:val="00D63C7A"/>
    <w:rsid w:val="00D63E94"/>
    <w:rsid w:val="00D65560"/>
    <w:rsid w:val="00D65B6B"/>
    <w:rsid w:val="00D65DEE"/>
    <w:rsid w:val="00D677B0"/>
    <w:rsid w:val="00D711A3"/>
    <w:rsid w:val="00D73E1C"/>
    <w:rsid w:val="00D75367"/>
    <w:rsid w:val="00D753E8"/>
    <w:rsid w:val="00D805E6"/>
    <w:rsid w:val="00D8197B"/>
    <w:rsid w:val="00D8296D"/>
    <w:rsid w:val="00D84CA6"/>
    <w:rsid w:val="00D85481"/>
    <w:rsid w:val="00D861F5"/>
    <w:rsid w:val="00D91695"/>
    <w:rsid w:val="00D91969"/>
    <w:rsid w:val="00D94C51"/>
    <w:rsid w:val="00D95B33"/>
    <w:rsid w:val="00D972D6"/>
    <w:rsid w:val="00DA0232"/>
    <w:rsid w:val="00DA049D"/>
    <w:rsid w:val="00DA15A0"/>
    <w:rsid w:val="00DA1E7B"/>
    <w:rsid w:val="00DA46C7"/>
    <w:rsid w:val="00DA4F58"/>
    <w:rsid w:val="00DA5F6A"/>
    <w:rsid w:val="00DA628A"/>
    <w:rsid w:val="00DA64B9"/>
    <w:rsid w:val="00DB0DA7"/>
    <w:rsid w:val="00DB136B"/>
    <w:rsid w:val="00DB1E20"/>
    <w:rsid w:val="00DB4B93"/>
    <w:rsid w:val="00DB7056"/>
    <w:rsid w:val="00DB798D"/>
    <w:rsid w:val="00DC01FE"/>
    <w:rsid w:val="00DC0379"/>
    <w:rsid w:val="00DC0E6C"/>
    <w:rsid w:val="00DC19F8"/>
    <w:rsid w:val="00DC28DE"/>
    <w:rsid w:val="00DC3239"/>
    <w:rsid w:val="00DC4780"/>
    <w:rsid w:val="00DC55C6"/>
    <w:rsid w:val="00DC5653"/>
    <w:rsid w:val="00DC582C"/>
    <w:rsid w:val="00DC5899"/>
    <w:rsid w:val="00DC70F4"/>
    <w:rsid w:val="00DD0185"/>
    <w:rsid w:val="00DD03C0"/>
    <w:rsid w:val="00DD09CB"/>
    <w:rsid w:val="00DD0E47"/>
    <w:rsid w:val="00DD175B"/>
    <w:rsid w:val="00DD2BA6"/>
    <w:rsid w:val="00DD2F90"/>
    <w:rsid w:val="00DD4636"/>
    <w:rsid w:val="00DD6449"/>
    <w:rsid w:val="00DD6F86"/>
    <w:rsid w:val="00DD7A03"/>
    <w:rsid w:val="00DE25AD"/>
    <w:rsid w:val="00DE2900"/>
    <w:rsid w:val="00DE44EB"/>
    <w:rsid w:val="00DE4611"/>
    <w:rsid w:val="00DE63C3"/>
    <w:rsid w:val="00DF381C"/>
    <w:rsid w:val="00DF4E5F"/>
    <w:rsid w:val="00DF6B28"/>
    <w:rsid w:val="00DF7250"/>
    <w:rsid w:val="00DF795B"/>
    <w:rsid w:val="00E0012C"/>
    <w:rsid w:val="00E01122"/>
    <w:rsid w:val="00E02196"/>
    <w:rsid w:val="00E022C5"/>
    <w:rsid w:val="00E04A5F"/>
    <w:rsid w:val="00E065E9"/>
    <w:rsid w:val="00E06F03"/>
    <w:rsid w:val="00E0711F"/>
    <w:rsid w:val="00E078C8"/>
    <w:rsid w:val="00E116F3"/>
    <w:rsid w:val="00E125FA"/>
    <w:rsid w:val="00E1418E"/>
    <w:rsid w:val="00E1466E"/>
    <w:rsid w:val="00E1762D"/>
    <w:rsid w:val="00E224A3"/>
    <w:rsid w:val="00E2634D"/>
    <w:rsid w:val="00E26E93"/>
    <w:rsid w:val="00E2744D"/>
    <w:rsid w:val="00E27B67"/>
    <w:rsid w:val="00E31DD9"/>
    <w:rsid w:val="00E324E3"/>
    <w:rsid w:val="00E327CE"/>
    <w:rsid w:val="00E35EDB"/>
    <w:rsid w:val="00E365BE"/>
    <w:rsid w:val="00E372FF"/>
    <w:rsid w:val="00E43783"/>
    <w:rsid w:val="00E4551B"/>
    <w:rsid w:val="00E46F8E"/>
    <w:rsid w:val="00E500C0"/>
    <w:rsid w:val="00E55410"/>
    <w:rsid w:val="00E611D0"/>
    <w:rsid w:val="00E62D6F"/>
    <w:rsid w:val="00E63332"/>
    <w:rsid w:val="00E6405B"/>
    <w:rsid w:val="00E64B67"/>
    <w:rsid w:val="00E64F3F"/>
    <w:rsid w:val="00E669A5"/>
    <w:rsid w:val="00E72A18"/>
    <w:rsid w:val="00E739CB"/>
    <w:rsid w:val="00E74761"/>
    <w:rsid w:val="00E76E43"/>
    <w:rsid w:val="00E7779B"/>
    <w:rsid w:val="00E80989"/>
    <w:rsid w:val="00E80A9A"/>
    <w:rsid w:val="00E80BD2"/>
    <w:rsid w:val="00E8125D"/>
    <w:rsid w:val="00E82430"/>
    <w:rsid w:val="00E84AB1"/>
    <w:rsid w:val="00E85223"/>
    <w:rsid w:val="00E875F3"/>
    <w:rsid w:val="00E9058F"/>
    <w:rsid w:val="00E922BD"/>
    <w:rsid w:val="00E96645"/>
    <w:rsid w:val="00E979FA"/>
    <w:rsid w:val="00EA02A0"/>
    <w:rsid w:val="00EA1A32"/>
    <w:rsid w:val="00EA3356"/>
    <w:rsid w:val="00EA3A59"/>
    <w:rsid w:val="00EA49B1"/>
    <w:rsid w:val="00EA7A90"/>
    <w:rsid w:val="00EA7BA7"/>
    <w:rsid w:val="00EB031F"/>
    <w:rsid w:val="00EB2189"/>
    <w:rsid w:val="00EB2279"/>
    <w:rsid w:val="00EB64D2"/>
    <w:rsid w:val="00EB6D81"/>
    <w:rsid w:val="00EB7732"/>
    <w:rsid w:val="00EC0C93"/>
    <w:rsid w:val="00EC18E0"/>
    <w:rsid w:val="00EC37BE"/>
    <w:rsid w:val="00EC38E1"/>
    <w:rsid w:val="00EC3E7E"/>
    <w:rsid w:val="00EC68B3"/>
    <w:rsid w:val="00EC68D6"/>
    <w:rsid w:val="00EC6DC7"/>
    <w:rsid w:val="00EC74E6"/>
    <w:rsid w:val="00EC7C77"/>
    <w:rsid w:val="00ED30F3"/>
    <w:rsid w:val="00ED3363"/>
    <w:rsid w:val="00ED3FAA"/>
    <w:rsid w:val="00ED42EC"/>
    <w:rsid w:val="00ED6513"/>
    <w:rsid w:val="00EE4F3F"/>
    <w:rsid w:val="00EE50D8"/>
    <w:rsid w:val="00EE5E8F"/>
    <w:rsid w:val="00EE674A"/>
    <w:rsid w:val="00EF1750"/>
    <w:rsid w:val="00EF1932"/>
    <w:rsid w:val="00EF1D71"/>
    <w:rsid w:val="00EF34C4"/>
    <w:rsid w:val="00EF6513"/>
    <w:rsid w:val="00F0012D"/>
    <w:rsid w:val="00F00279"/>
    <w:rsid w:val="00F008D3"/>
    <w:rsid w:val="00F0105F"/>
    <w:rsid w:val="00F0201C"/>
    <w:rsid w:val="00F02636"/>
    <w:rsid w:val="00F051F5"/>
    <w:rsid w:val="00F06F4A"/>
    <w:rsid w:val="00F10221"/>
    <w:rsid w:val="00F1088D"/>
    <w:rsid w:val="00F115F5"/>
    <w:rsid w:val="00F11896"/>
    <w:rsid w:val="00F12C38"/>
    <w:rsid w:val="00F13002"/>
    <w:rsid w:val="00F13430"/>
    <w:rsid w:val="00F13456"/>
    <w:rsid w:val="00F13BDE"/>
    <w:rsid w:val="00F1700A"/>
    <w:rsid w:val="00F17026"/>
    <w:rsid w:val="00F170C1"/>
    <w:rsid w:val="00F232C6"/>
    <w:rsid w:val="00F23AED"/>
    <w:rsid w:val="00F23CC5"/>
    <w:rsid w:val="00F27A2C"/>
    <w:rsid w:val="00F313E0"/>
    <w:rsid w:val="00F32005"/>
    <w:rsid w:val="00F32088"/>
    <w:rsid w:val="00F325FB"/>
    <w:rsid w:val="00F33888"/>
    <w:rsid w:val="00F35AB7"/>
    <w:rsid w:val="00F36526"/>
    <w:rsid w:val="00F3677E"/>
    <w:rsid w:val="00F37D57"/>
    <w:rsid w:val="00F40845"/>
    <w:rsid w:val="00F40B10"/>
    <w:rsid w:val="00F41EDC"/>
    <w:rsid w:val="00F46785"/>
    <w:rsid w:val="00F4686A"/>
    <w:rsid w:val="00F4799A"/>
    <w:rsid w:val="00F5008F"/>
    <w:rsid w:val="00F52C4D"/>
    <w:rsid w:val="00F54651"/>
    <w:rsid w:val="00F54DD5"/>
    <w:rsid w:val="00F56EE7"/>
    <w:rsid w:val="00F60020"/>
    <w:rsid w:val="00F61177"/>
    <w:rsid w:val="00F62197"/>
    <w:rsid w:val="00F62EC1"/>
    <w:rsid w:val="00F65F6F"/>
    <w:rsid w:val="00F675D6"/>
    <w:rsid w:val="00F72B5E"/>
    <w:rsid w:val="00F7388F"/>
    <w:rsid w:val="00F73A48"/>
    <w:rsid w:val="00F7401A"/>
    <w:rsid w:val="00F744C6"/>
    <w:rsid w:val="00F747A9"/>
    <w:rsid w:val="00F75592"/>
    <w:rsid w:val="00F764D6"/>
    <w:rsid w:val="00F76CED"/>
    <w:rsid w:val="00F7799A"/>
    <w:rsid w:val="00F80148"/>
    <w:rsid w:val="00F801E8"/>
    <w:rsid w:val="00F80B74"/>
    <w:rsid w:val="00F8443B"/>
    <w:rsid w:val="00F84CD1"/>
    <w:rsid w:val="00F8514C"/>
    <w:rsid w:val="00F87F1E"/>
    <w:rsid w:val="00F9166A"/>
    <w:rsid w:val="00F92CA5"/>
    <w:rsid w:val="00F96254"/>
    <w:rsid w:val="00FA0C6C"/>
    <w:rsid w:val="00FA22F2"/>
    <w:rsid w:val="00FA296F"/>
    <w:rsid w:val="00FA2BAF"/>
    <w:rsid w:val="00FA300D"/>
    <w:rsid w:val="00FA733F"/>
    <w:rsid w:val="00FB0609"/>
    <w:rsid w:val="00FB45EF"/>
    <w:rsid w:val="00FB54F2"/>
    <w:rsid w:val="00FC473C"/>
    <w:rsid w:val="00FC5960"/>
    <w:rsid w:val="00FC6D1D"/>
    <w:rsid w:val="00FC6FCD"/>
    <w:rsid w:val="00FC6FFF"/>
    <w:rsid w:val="00FD01CF"/>
    <w:rsid w:val="00FD06BD"/>
    <w:rsid w:val="00FD1A84"/>
    <w:rsid w:val="00FD1B48"/>
    <w:rsid w:val="00FD1FC9"/>
    <w:rsid w:val="00FD2606"/>
    <w:rsid w:val="00FD3484"/>
    <w:rsid w:val="00FD4D1B"/>
    <w:rsid w:val="00FD52B4"/>
    <w:rsid w:val="00FD59E2"/>
    <w:rsid w:val="00FE008F"/>
    <w:rsid w:val="00FE0B3B"/>
    <w:rsid w:val="00FE1B20"/>
    <w:rsid w:val="00FE54BD"/>
    <w:rsid w:val="00FE586D"/>
    <w:rsid w:val="00FE639C"/>
    <w:rsid w:val="00FE6D74"/>
    <w:rsid w:val="00FF15DF"/>
    <w:rsid w:val="00FF1814"/>
    <w:rsid w:val="00FF1B28"/>
    <w:rsid w:val="00FF20F8"/>
    <w:rsid w:val="00FF495A"/>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6BA027"/>
  <w15:docId w15:val="{49173BEE-799C-4727-9959-AD9A445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A2"/>
    <w:rPr>
      <w:sz w:val="24"/>
      <w:szCs w:val="24"/>
      <w:lang w:eastAsia="en-GB"/>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8E3A79"/>
    <w:pPr>
      <w:spacing w:before="120"/>
      <w:ind w:left="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28"/>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28"/>
      </w:numPr>
      <w:spacing w:after="240"/>
      <w:outlineLvl w:val="3"/>
    </w:pPr>
    <w:rPr>
      <w:b/>
      <w:bCs/>
      <w:szCs w:val="28"/>
    </w:rPr>
  </w:style>
  <w:style w:type="paragraph" w:styleId="Heading5">
    <w:name w:val="heading 5"/>
    <w:aliases w:val="Heading 4 bis"/>
    <w:basedOn w:val="Normal"/>
    <w:next w:val="Normal"/>
    <w:link w:val="Heading5Char"/>
    <w:autoRedefine/>
    <w:qFormat/>
    <w:rsid w:val="00876687"/>
    <w:pPr>
      <w:keepNext/>
      <w:numPr>
        <w:ilvl w:val="3"/>
        <w:numId w:val="28"/>
      </w:numPr>
      <w:tabs>
        <w:tab w:val="clear" w:pos="2760"/>
      </w:tabs>
      <w:spacing w:before="240" w:after="240"/>
      <w:outlineLvl w:val="4"/>
    </w:pPr>
    <w:rPr>
      <w:b/>
      <w:i/>
      <w:snapToGrid w:val="0"/>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lang w:eastAsia="en-GB"/>
    </w:rPr>
  </w:style>
  <w:style w:type="table" w:styleId="TableGrid">
    <w:name w:val="Table Grid"/>
    <w:basedOn w:val="TableNormal"/>
    <w:uiPriority w:val="3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autoRedefine/>
    <w:qFormat/>
    <w:rsid w:val="003E3F36"/>
    <w:pPr>
      <w:widowControl w:val="0"/>
      <w:tabs>
        <w:tab w:val="left" w:pos="284"/>
      </w:tabs>
      <w:spacing w:after="80"/>
      <w:ind w:left="284" w:hanging="284"/>
    </w:pPr>
    <w:rPr>
      <w:rFonts w:eastAsia="Calibri"/>
      <w:sz w:val="20"/>
      <w:szCs w:val="22"/>
      <w:lang w:eastAsia="en-US"/>
    </w:rPr>
  </w:style>
  <w:style w:type="character" w:styleId="FootnoteReference">
    <w:name w:val="footnote reference"/>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en-GB"/>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A55295"/>
    <w:rPr>
      <w:snapToGrid w:val="0"/>
      <w:sz w:val="20"/>
      <w:szCs w:val="20"/>
      <w:lang w:val="en-GB"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0D5AD1"/>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8E3A79"/>
    <w:rPr>
      <w:rFonts w:ascii="Times New Roman Bold" w:hAnsi="Times New Roman Bold"/>
      <w:b/>
      <w:caps/>
      <w:snapToGrid w:val="0"/>
      <w:spacing w:val="20"/>
      <w:sz w:val="28"/>
      <w:lang w:val="fr-FR"/>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uiPriority w:val="39"/>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876687"/>
    <w:rPr>
      <w:b/>
      <w:i/>
      <w:snapToGrid w:val="0"/>
      <w:sz w:val="24"/>
      <w:lang w:val="fr-FR"/>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eastAsia="zh-CN"/>
    </w:rPr>
  </w:style>
  <w:style w:type="paragraph" w:customStyle="1" w:styleId="BoxNote">
    <w:name w:val="Box Note"/>
    <w:basedOn w:val="Normal"/>
    <w:rsid w:val="0009044B"/>
    <w:pPr>
      <w:tabs>
        <w:tab w:val="left" w:pos="340"/>
      </w:tabs>
      <w:spacing w:after="120"/>
    </w:pPr>
    <w:rPr>
      <w:rFonts w:ascii="Arial" w:hAnsi="Arial" w:cs="Arial"/>
      <w:sz w:val="18"/>
      <w:szCs w:val="22"/>
      <w:lang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link w:val="FootnoteText"/>
    <w:rsid w:val="003E3F36"/>
    <w:rPr>
      <w:rFonts w:eastAsia="Calibri"/>
      <w:szCs w:val="22"/>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29"/>
      </w:numPr>
      <w:spacing w:before="120" w:after="120"/>
      <w:jc w:val="both"/>
    </w:pPr>
    <w:rPr>
      <w:lang w:eastAsia="en-US"/>
    </w:rPr>
  </w:style>
  <w:style w:type="paragraph" w:customStyle="1" w:styleId="NumPar2">
    <w:name w:val="NumPar 2"/>
    <w:basedOn w:val="Normal"/>
    <w:next w:val="Text1"/>
    <w:rsid w:val="00736329"/>
    <w:pPr>
      <w:numPr>
        <w:ilvl w:val="1"/>
        <w:numId w:val="29"/>
      </w:numPr>
      <w:spacing w:before="120" w:after="120"/>
      <w:jc w:val="both"/>
    </w:pPr>
    <w:rPr>
      <w:lang w:eastAsia="en-US"/>
    </w:rPr>
  </w:style>
  <w:style w:type="paragraph" w:customStyle="1" w:styleId="NumPar3">
    <w:name w:val="NumPar 3"/>
    <w:basedOn w:val="Normal"/>
    <w:next w:val="Text1"/>
    <w:rsid w:val="00736329"/>
    <w:pPr>
      <w:numPr>
        <w:ilvl w:val="2"/>
        <w:numId w:val="29"/>
      </w:numPr>
      <w:spacing w:before="120" w:after="120"/>
      <w:jc w:val="both"/>
    </w:pPr>
    <w:rPr>
      <w:lang w:eastAsia="en-US"/>
    </w:rPr>
  </w:style>
  <w:style w:type="paragraph" w:customStyle="1" w:styleId="NumPar4">
    <w:name w:val="NumPar 4"/>
    <w:basedOn w:val="Normal"/>
    <w:next w:val="Text1"/>
    <w:rsid w:val="00736329"/>
    <w:pPr>
      <w:numPr>
        <w:ilvl w:val="3"/>
        <w:numId w:val="29"/>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lang w:eastAsia="en-GB"/>
    </w:rPr>
  </w:style>
  <w:style w:type="paragraph" w:styleId="Revision">
    <w:name w:val="Revision"/>
    <w:hidden/>
    <w:uiPriority w:val="99"/>
    <w:semiHidden/>
    <w:rsid w:val="001C1E90"/>
    <w:rPr>
      <w:sz w:val="24"/>
      <w:szCs w:val="24"/>
      <w:lang w:val="en-GB" w:eastAsia="en-GB"/>
    </w:rPr>
  </w:style>
  <w:style w:type="paragraph" w:customStyle="1" w:styleId="pprag1">
    <w:name w:val="pprag 1"/>
    <w:basedOn w:val="Normal"/>
    <w:next w:val="Normal"/>
    <w:link w:val="pprag1Char"/>
    <w:autoRedefine/>
    <w:qFormat/>
    <w:rsid w:val="006476AA"/>
    <w:pPr>
      <w:pageBreakBefore/>
      <w:widowControl w:val="0"/>
      <w:numPr>
        <w:numId w:val="30"/>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eastAsia="en-GB"/>
    </w:rPr>
  </w:style>
  <w:style w:type="paragraph" w:customStyle="1" w:styleId="pprag2">
    <w:name w:val="pprag 2"/>
    <w:basedOn w:val="Normal"/>
    <w:next w:val="Normal"/>
    <w:link w:val="pprag2Char"/>
    <w:autoRedefine/>
    <w:qFormat/>
    <w:rsid w:val="006476AA"/>
    <w:pPr>
      <w:widowControl w:val="0"/>
      <w:numPr>
        <w:ilvl w:val="1"/>
        <w:numId w:val="30"/>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eastAsia="en-GB"/>
    </w:rPr>
  </w:style>
  <w:style w:type="paragraph" w:customStyle="1" w:styleId="pprag3">
    <w:name w:val="pprag 3"/>
    <w:basedOn w:val="Normal"/>
    <w:next w:val="Normal"/>
    <w:autoRedefine/>
    <w:qFormat/>
    <w:rsid w:val="006476AA"/>
    <w:pPr>
      <w:widowControl w:val="0"/>
      <w:numPr>
        <w:ilvl w:val="2"/>
        <w:numId w:val="30"/>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0"/>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0"/>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eastAsia="en-GB"/>
    </w:rPr>
  </w:style>
  <w:style w:type="paragraph" w:styleId="ListParagraph">
    <w:name w:val="List Paragraph"/>
    <w:basedOn w:val="Normal"/>
    <w:link w:val="ListParagraphChar"/>
    <w:uiPriority w:val="34"/>
    <w:qFormat/>
    <w:rsid w:val="00EA3A59"/>
    <w:pPr>
      <w:spacing w:after="200" w:line="276" w:lineRule="auto"/>
      <w:ind w:left="720"/>
      <w:contextualSpacing/>
    </w:pPr>
    <w:rPr>
      <w:rFonts w:ascii="Calibri" w:eastAsia="Calibri" w:hAnsi="Calibri"/>
      <w:sz w:val="22"/>
      <w:szCs w:val="22"/>
      <w:lang w:eastAsia="en-US"/>
    </w:rPr>
  </w:style>
  <w:style w:type="table" w:customStyle="1" w:styleId="LightGrid-Accent111">
    <w:name w:val="Light Grid - Accent 111"/>
    <w:basedOn w:val="TableNormal"/>
    <w:uiPriority w:val="62"/>
    <w:rsid w:val="006618C4"/>
    <w:rPr>
      <w:rFonts w:ascii="Cambria" w:hAnsi="Cambria"/>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67"/>
    <w:rsid w:val="006B47BA"/>
    <w:rPr>
      <w:color w:val="808080"/>
    </w:rPr>
  </w:style>
  <w:style w:type="paragraph" w:customStyle="1" w:styleId="Default">
    <w:name w:val="Default"/>
    <w:rsid w:val="00550BA1"/>
    <w:pPr>
      <w:autoSpaceDE w:val="0"/>
      <w:autoSpaceDN w:val="0"/>
      <w:adjustRightInd w:val="0"/>
    </w:pPr>
    <w:rPr>
      <w:color w:val="000000"/>
      <w:sz w:val="24"/>
      <w:szCs w:val="24"/>
      <w:lang w:val="en-GB" w:eastAsia="en-GB"/>
    </w:rPr>
  </w:style>
  <w:style w:type="paragraph" w:customStyle="1" w:styleId="Text2">
    <w:name w:val="Text 2"/>
    <w:basedOn w:val="Normal"/>
    <w:link w:val="Text2Char"/>
    <w:rsid w:val="00550BA1"/>
    <w:pPr>
      <w:spacing w:before="120" w:after="120"/>
      <w:ind w:left="850"/>
      <w:jc w:val="both"/>
    </w:pPr>
    <w:rPr>
      <w:lang w:val="en-GB" w:eastAsia="en-US"/>
    </w:rPr>
  </w:style>
  <w:style w:type="paragraph" w:customStyle="1" w:styleId="Tiret2">
    <w:name w:val="Tiret 2"/>
    <w:basedOn w:val="Normal"/>
    <w:rsid w:val="00550BA1"/>
    <w:pPr>
      <w:numPr>
        <w:numId w:val="32"/>
      </w:numPr>
      <w:spacing w:before="120" w:after="120"/>
      <w:jc w:val="both"/>
    </w:pPr>
    <w:rPr>
      <w:lang w:val="en-GB" w:eastAsia="de-DE"/>
    </w:rPr>
  </w:style>
  <w:style w:type="character" w:customStyle="1" w:styleId="Text2Char">
    <w:name w:val="Text 2 Char"/>
    <w:link w:val="Text2"/>
    <w:rsid w:val="00550BA1"/>
    <w:rPr>
      <w:sz w:val="24"/>
      <w:szCs w:val="24"/>
      <w:lang w:val="en-GB"/>
    </w:rPr>
  </w:style>
  <w:style w:type="character" w:customStyle="1" w:styleId="ListParagraphChar">
    <w:name w:val="List Paragraph Char"/>
    <w:link w:val="ListParagraph"/>
    <w:uiPriority w:val="34"/>
    <w:rsid w:val="00D55B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976">
      <w:bodyDiv w:val="1"/>
      <w:marLeft w:val="0"/>
      <w:marRight w:val="0"/>
      <w:marTop w:val="0"/>
      <w:marBottom w:val="0"/>
      <w:divBdr>
        <w:top w:val="none" w:sz="0" w:space="0" w:color="auto"/>
        <w:left w:val="none" w:sz="0" w:space="0" w:color="auto"/>
        <w:bottom w:val="none" w:sz="0" w:space="0" w:color="auto"/>
        <w:right w:val="none" w:sz="0" w:space="0" w:color="auto"/>
      </w:divBdr>
    </w:div>
    <w:div w:id="258414437">
      <w:bodyDiv w:val="1"/>
      <w:marLeft w:val="0"/>
      <w:marRight w:val="0"/>
      <w:marTop w:val="0"/>
      <w:marBottom w:val="0"/>
      <w:divBdr>
        <w:top w:val="none" w:sz="0" w:space="0" w:color="auto"/>
        <w:left w:val="none" w:sz="0" w:space="0" w:color="auto"/>
        <w:bottom w:val="none" w:sz="0" w:space="0" w:color="auto"/>
        <w:right w:val="none" w:sz="0" w:space="0" w:color="auto"/>
      </w:divBdr>
    </w:div>
    <w:div w:id="370425580">
      <w:bodyDiv w:val="1"/>
      <w:marLeft w:val="0"/>
      <w:marRight w:val="0"/>
      <w:marTop w:val="0"/>
      <w:marBottom w:val="0"/>
      <w:divBdr>
        <w:top w:val="none" w:sz="0" w:space="0" w:color="auto"/>
        <w:left w:val="none" w:sz="0" w:space="0" w:color="auto"/>
        <w:bottom w:val="none" w:sz="0" w:space="0" w:color="auto"/>
        <w:right w:val="none" w:sz="0" w:space="0" w:color="auto"/>
      </w:divBdr>
    </w:div>
    <w:div w:id="386535302">
      <w:bodyDiv w:val="1"/>
      <w:marLeft w:val="0"/>
      <w:marRight w:val="0"/>
      <w:marTop w:val="0"/>
      <w:marBottom w:val="0"/>
      <w:divBdr>
        <w:top w:val="none" w:sz="0" w:space="0" w:color="auto"/>
        <w:left w:val="none" w:sz="0" w:space="0" w:color="auto"/>
        <w:bottom w:val="none" w:sz="0" w:space="0" w:color="auto"/>
        <w:right w:val="none" w:sz="0" w:space="0" w:color="auto"/>
      </w:divBdr>
    </w:div>
    <w:div w:id="435097129">
      <w:bodyDiv w:val="1"/>
      <w:marLeft w:val="0"/>
      <w:marRight w:val="0"/>
      <w:marTop w:val="0"/>
      <w:marBottom w:val="0"/>
      <w:divBdr>
        <w:top w:val="none" w:sz="0" w:space="0" w:color="auto"/>
        <w:left w:val="none" w:sz="0" w:space="0" w:color="auto"/>
        <w:bottom w:val="none" w:sz="0" w:space="0" w:color="auto"/>
        <w:right w:val="none" w:sz="0" w:space="0" w:color="auto"/>
      </w:divBdr>
    </w:div>
    <w:div w:id="532424048">
      <w:bodyDiv w:val="1"/>
      <w:marLeft w:val="0"/>
      <w:marRight w:val="0"/>
      <w:marTop w:val="0"/>
      <w:marBottom w:val="0"/>
      <w:divBdr>
        <w:top w:val="none" w:sz="0" w:space="0" w:color="auto"/>
        <w:left w:val="none" w:sz="0" w:space="0" w:color="auto"/>
        <w:bottom w:val="none" w:sz="0" w:space="0" w:color="auto"/>
        <w:right w:val="none" w:sz="0" w:space="0" w:color="auto"/>
      </w:divBdr>
    </w:div>
    <w:div w:id="573049701">
      <w:bodyDiv w:val="1"/>
      <w:marLeft w:val="0"/>
      <w:marRight w:val="0"/>
      <w:marTop w:val="0"/>
      <w:marBottom w:val="0"/>
      <w:divBdr>
        <w:top w:val="none" w:sz="0" w:space="0" w:color="auto"/>
        <w:left w:val="none" w:sz="0" w:space="0" w:color="auto"/>
        <w:bottom w:val="none" w:sz="0" w:space="0" w:color="auto"/>
        <w:right w:val="none" w:sz="0" w:space="0" w:color="auto"/>
      </w:divBdr>
    </w:div>
    <w:div w:id="580867380">
      <w:bodyDiv w:val="1"/>
      <w:marLeft w:val="0"/>
      <w:marRight w:val="0"/>
      <w:marTop w:val="0"/>
      <w:marBottom w:val="0"/>
      <w:divBdr>
        <w:top w:val="none" w:sz="0" w:space="0" w:color="auto"/>
        <w:left w:val="none" w:sz="0" w:space="0" w:color="auto"/>
        <w:bottom w:val="none" w:sz="0" w:space="0" w:color="auto"/>
        <w:right w:val="none" w:sz="0" w:space="0" w:color="auto"/>
      </w:divBdr>
    </w:div>
    <w:div w:id="634405736">
      <w:bodyDiv w:val="1"/>
      <w:marLeft w:val="0"/>
      <w:marRight w:val="0"/>
      <w:marTop w:val="0"/>
      <w:marBottom w:val="0"/>
      <w:divBdr>
        <w:top w:val="none" w:sz="0" w:space="0" w:color="auto"/>
        <w:left w:val="none" w:sz="0" w:space="0" w:color="auto"/>
        <w:bottom w:val="none" w:sz="0" w:space="0" w:color="auto"/>
        <w:right w:val="none" w:sz="0" w:space="0" w:color="auto"/>
      </w:divBdr>
    </w:div>
    <w:div w:id="784082088">
      <w:bodyDiv w:val="1"/>
      <w:marLeft w:val="0"/>
      <w:marRight w:val="0"/>
      <w:marTop w:val="0"/>
      <w:marBottom w:val="0"/>
      <w:divBdr>
        <w:top w:val="none" w:sz="0" w:space="0" w:color="auto"/>
        <w:left w:val="none" w:sz="0" w:space="0" w:color="auto"/>
        <w:bottom w:val="none" w:sz="0" w:space="0" w:color="auto"/>
        <w:right w:val="none" w:sz="0" w:space="0" w:color="auto"/>
      </w:divBdr>
    </w:div>
    <w:div w:id="840702379">
      <w:bodyDiv w:val="1"/>
      <w:marLeft w:val="0"/>
      <w:marRight w:val="0"/>
      <w:marTop w:val="0"/>
      <w:marBottom w:val="0"/>
      <w:divBdr>
        <w:top w:val="none" w:sz="0" w:space="0" w:color="auto"/>
        <w:left w:val="none" w:sz="0" w:space="0" w:color="auto"/>
        <w:bottom w:val="none" w:sz="0" w:space="0" w:color="auto"/>
        <w:right w:val="none" w:sz="0" w:space="0" w:color="auto"/>
      </w:divBdr>
    </w:div>
    <w:div w:id="920986931">
      <w:bodyDiv w:val="1"/>
      <w:marLeft w:val="0"/>
      <w:marRight w:val="0"/>
      <w:marTop w:val="0"/>
      <w:marBottom w:val="0"/>
      <w:divBdr>
        <w:top w:val="none" w:sz="0" w:space="0" w:color="auto"/>
        <w:left w:val="none" w:sz="0" w:space="0" w:color="auto"/>
        <w:bottom w:val="none" w:sz="0" w:space="0" w:color="auto"/>
        <w:right w:val="none" w:sz="0" w:space="0" w:color="auto"/>
      </w:divBdr>
    </w:div>
    <w:div w:id="936016951">
      <w:bodyDiv w:val="1"/>
      <w:marLeft w:val="0"/>
      <w:marRight w:val="0"/>
      <w:marTop w:val="0"/>
      <w:marBottom w:val="0"/>
      <w:divBdr>
        <w:top w:val="none" w:sz="0" w:space="0" w:color="auto"/>
        <w:left w:val="none" w:sz="0" w:space="0" w:color="auto"/>
        <w:bottom w:val="none" w:sz="0" w:space="0" w:color="auto"/>
        <w:right w:val="none" w:sz="0" w:space="0" w:color="auto"/>
      </w:divBdr>
    </w:div>
    <w:div w:id="983313661">
      <w:bodyDiv w:val="1"/>
      <w:marLeft w:val="0"/>
      <w:marRight w:val="0"/>
      <w:marTop w:val="0"/>
      <w:marBottom w:val="0"/>
      <w:divBdr>
        <w:top w:val="none" w:sz="0" w:space="0" w:color="auto"/>
        <w:left w:val="none" w:sz="0" w:space="0" w:color="auto"/>
        <w:bottom w:val="none" w:sz="0" w:space="0" w:color="auto"/>
        <w:right w:val="none" w:sz="0" w:space="0" w:color="auto"/>
      </w:divBdr>
    </w:div>
    <w:div w:id="1005015242">
      <w:bodyDiv w:val="1"/>
      <w:marLeft w:val="0"/>
      <w:marRight w:val="0"/>
      <w:marTop w:val="0"/>
      <w:marBottom w:val="0"/>
      <w:divBdr>
        <w:top w:val="none" w:sz="0" w:space="0" w:color="auto"/>
        <w:left w:val="none" w:sz="0" w:space="0" w:color="auto"/>
        <w:bottom w:val="none" w:sz="0" w:space="0" w:color="auto"/>
        <w:right w:val="none" w:sz="0" w:space="0" w:color="auto"/>
      </w:divBdr>
    </w:div>
    <w:div w:id="1052340428">
      <w:bodyDiv w:val="1"/>
      <w:marLeft w:val="0"/>
      <w:marRight w:val="0"/>
      <w:marTop w:val="0"/>
      <w:marBottom w:val="0"/>
      <w:divBdr>
        <w:top w:val="none" w:sz="0" w:space="0" w:color="auto"/>
        <w:left w:val="none" w:sz="0" w:space="0" w:color="auto"/>
        <w:bottom w:val="none" w:sz="0" w:space="0" w:color="auto"/>
        <w:right w:val="none" w:sz="0" w:space="0" w:color="auto"/>
      </w:divBdr>
    </w:div>
    <w:div w:id="1070931251">
      <w:bodyDiv w:val="1"/>
      <w:marLeft w:val="0"/>
      <w:marRight w:val="0"/>
      <w:marTop w:val="0"/>
      <w:marBottom w:val="0"/>
      <w:divBdr>
        <w:top w:val="none" w:sz="0" w:space="0" w:color="auto"/>
        <w:left w:val="none" w:sz="0" w:space="0" w:color="auto"/>
        <w:bottom w:val="none" w:sz="0" w:space="0" w:color="auto"/>
        <w:right w:val="none" w:sz="0" w:space="0" w:color="auto"/>
      </w:divBdr>
    </w:div>
    <w:div w:id="1090657309">
      <w:bodyDiv w:val="1"/>
      <w:marLeft w:val="0"/>
      <w:marRight w:val="0"/>
      <w:marTop w:val="0"/>
      <w:marBottom w:val="0"/>
      <w:divBdr>
        <w:top w:val="none" w:sz="0" w:space="0" w:color="auto"/>
        <w:left w:val="none" w:sz="0" w:space="0" w:color="auto"/>
        <w:bottom w:val="none" w:sz="0" w:space="0" w:color="auto"/>
        <w:right w:val="none" w:sz="0" w:space="0" w:color="auto"/>
      </w:divBdr>
    </w:div>
    <w:div w:id="1163933636">
      <w:bodyDiv w:val="1"/>
      <w:marLeft w:val="0"/>
      <w:marRight w:val="0"/>
      <w:marTop w:val="0"/>
      <w:marBottom w:val="0"/>
      <w:divBdr>
        <w:top w:val="none" w:sz="0" w:space="0" w:color="auto"/>
        <w:left w:val="none" w:sz="0" w:space="0" w:color="auto"/>
        <w:bottom w:val="none" w:sz="0" w:space="0" w:color="auto"/>
        <w:right w:val="none" w:sz="0" w:space="0" w:color="auto"/>
      </w:divBdr>
    </w:div>
    <w:div w:id="1165390914">
      <w:bodyDiv w:val="1"/>
      <w:marLeft w:val="0"/>
      <w:marRight w:val="0"/>
      <w:marTop w:val="0"/>
      <w:marBottom w:val="0"/>
      <w:divBdr>
        <w:top w:val="none" w:sz="0" w:space="0" w:color="auto"/>
        <w:left w:val="none" w:sz="0" w:space="0" w:color="auto"/>
        <w:bottom w:val="none" w:sz="0" w:space="0" w:color="auto"/>
        <w:right w:val="none" w:sz="0" w:space="0" w:color="auto"/>
      </w:divBdr>
    </w:div>
    <w:div w:id="1232620614">
      <w:bodyDiv w:val="1"/>
      <w:marLeft w:val="0"/>
      <w:marRight w:val="0"/>
      <w:marTop w:val="0"/>
      <w:marBottom w:val="0"/>
      <w:divBdr>
        <w:top w:val="none" w:sz="0" w:space="0" w:color="auto"/>
        <w:left w:val="none" w:sz="0" w:space="0" w:color="auto"/>
        <w:bottom w:val="none" w:sz="0" w:space="0" w:color="auto"/>
        <w:right w:val="none" w:sz="0" w:space="0" w:color="auto"/>
      </w:divBdr>
    </w:div>
    <w:div w:id="1416895636">
      <w:bodyDiv w:val="1"/>
      <w:marLeft w:val="0"/>
      <w:marRight w:val="0"/>
      <w:marTop w:val="0"/>
      <w:marBottom w:val="0"/>
      <w:divBdr>
        <w:top w:val="none" w:sz="0" w:space="0" w:color="auto"/>
        <w:left w:val="none" w:sz="0" w:space="0" w:color="auto"/>
        <w:bottom w:val="none" w:sz="0" w:space="0" w:color="auto"/>
        <w:right w:val="none" w:sz="0" w:space="0" w:color="auto"/>
      </w:divBdr>
    </w:div>
    <w:div w:id="1455906192">
      <w:bodyDiv w:val="1"/>
      <w:marLeft w:val="0"/>
      <w:marRight w:val="0"/>
      <w:marTop w:val="0"/>
      <w:marBottom w:val="0"/>
      <w:divBdr>
        <w:top w:val="none" w:sz="0" w:space="0" w:color="auto"/>
        <w:left w:val="none" w:sz="0" w:space="0" w:color="auto"/>
        <w:bottom w:val="none" w:sz="0" w:space="0" w:color="auto"/>
        <w:right w:val="none" w:sz="0" w:space="0" w:color="auto"/>
      </w:divBdr>
    </w:div>
    <w:div w:id="1532066627">
      <w:bodyDiv w:val="1"/>
      <w:marLeft w:val="0"/>
      <w:marRight w:val="0"/>
      <w:marTop w:val="0"/>
      <w:marBottom w:val="0"/>
      <w:divBdr>
        <w:top w:val="none" w:sz="0" w:space="0" w:color="auto"/>
        <w:left w:val="none" w:sz="0" w:space="0" w:color="auto"/>
        <w:bottom w:val="none" w:sz="0" w:space="0" w:color="auto"/>
        <w:right w:val="none" w:sz="0" w:space="0" w:color="auto"/>
      </w:divBdr>
    </w:div>
    <w:div w:id="1545870475">
      <w:bodyDiv w:val="1"/>
      <w:marLeft w:val="0"/>
      <w:marRight w:val="0"/>
      <w:marTop w:val="0"/>
      <w:marBottom w:val="0"/>
      <w:divBdr>
        <w:top w:val="none" w:sz="0" w:space="0" w:color="auto"/>
        <w:left w:val="none" w:sz="0" w:space="0" w:color="auto"/>
        <w:bottom w:val="none" w:sz="0" w:space="0" w:color="auto"/>
        <w:right w:val="none" w:sz="0" w:space="0" w:color="auto"/>
      </w:divBdr>
    </w:div>
    <w:div w:id="1575433602">
      <w:bodyDiv w:val="1"/>
      <w:marLeft w:val="0"/>
      <w:marRight w:val="0"/>
      <w:marTop w:val="0"/>
      <w:marBottom w:val="0"/>
      <w:divBdr>
        <w:top w:val="none" w:sz="0" w:space="0" w:color="auto"/>
        <w:left w:val="none" w:sz="0" w:space="0" w:color="auto"/>
        <w:bottom w:val="none" w:sz="0" w:space="0" w:color="auto"/>
        <w:right w:val="none" w:sz="0" w:space="0" w:color="auto"/>
      </w:divBdr>
    </w:div>
    <w:div w:id="1588615675">
      <w:bodyDiv w:val="1"/>
      <w:marLeft w:val="0"/>
      <w:marRight w:val="0"/>
      <w:marTop w:val="0"/>
      <w:marBottom w:val="0"/>
      <w:divBdr>
        <w:top w:val="none" w:sz="0" w:space="0" w:color="auto"/>
        <w:left w:val="none" w:sz="0" w:space="0" w:color="auto"/>
        <w:bottom w:val="none" w:sz="0" w:space="0" w:color="auto"/>
        <w:right w:val="none" w:sz="0" w:space="0" w:color="auto"/>
      </w:divBdr>
    </w:div>
    <w:div w:id="1594702626">
      <w:bodyDiv w:val="1"/>
      <w:marLeft w:val="0"/>
      <w:marRight w:val="0"/>
      <w:marTop w:val="0"/>
      <w:marBottom w:val="0"/>
      <w:divBdr>
        <w:top w:val="none" w:sz="0" w:space="0" w:color="auto"/>
        <w:left w:val="none" w:sz="0" w:space="0" w:color="auto"/>
        <w:bottom w:val="none" w:sz="0" w:space="0" w:color="auto"/>
        <w:right w:val="none" w:sz="0" w:space="0" w:color="auto"/>
      </w:divBdr>
    </w:div>
    <w:div w:id="1652635953">
      <w:bodyDiv w:val="1"/>
      <w:marLeft w:val="0"/>
      <w:marRight w:val="0"/>
      <w:marTop w:val="0"/>
      <w:marBottom w:val="0"/>
      <w:divBdr>
        <w:top w:val="none" w:sz="0" w:space="0" w:color="auto"/>
        <w:left w:val="none" w:sz="0" w:space="0" w:color="auto"/>
        <w:bottom w:val="none" w:sz="0" w:space="0" w:color="auto"/>
        <w:right w:val="none" w:sz="0" w:space="0" w:color="auto"/>
      </w:divBdr>
    </w:div>
    <w:div w:id="1682782905">
      <w:bodyDiv w:val="1"/>
      <w:marLeft w:val="0"/>
      <w:marRight w:val="0"/>
      <w:marTop w:val="0"/>
      <w:marBottom w:val="0"/>
      <w:divBdr>
        <w:top w:val="none" w:sz="0" w:space="0" w:color="auto"/>
        <w:left w:val="none" w:sz="0" w:space="0" w:color="auto"/>
        <w:bottom w:val="none" w:sz="0" w:space="0" w:color="auto"/>
        <w:right w:val="none" w:sz="0" w:space="0" w:color="auto"/>
      </w:divBdr>
    </w:div>
    <w:div w:id="1817212762">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922980052">
      <w:bodyDiv w:val="1"/>
      <w:marLeft w:val="0"/>
      <w:marRight w:val="0"/>
      <w:marTop w:val="0"/>
      <w:marBottom w:val="0"/>
      <w:divBdr>
        <w:top w:val="none" w:sz="0" w:space="0" w:color="auto"/>
        <w:left w:val="none" w:sz="0" w:space="0" w:color="auto"/>
        <w:bottom w:val="none" w:sz="0" w:space="0" w:color="auto"/>
        <w:right w:val="none" w:sz="0" w:space="0" w:color="auto"/>
      </w:divBdr>
    </w:div>
    <w:div w:id="1931497841">
      <w:bodyDiv w:val="1"/>
      <w:marLeft w:val="0"/>
      <w:marRight w:val="0"/>
      <w:marTop w:val="0"/>
      <w:marBottom w:val="0"/>
      <w:divBdr>
        <w:top w:val="none" w:sz="0" w:space="0" w:color="auto"/>
        <w:left w:val="none" w:sz="0" w:space="0" w:color="auto"/>
        <w:bottom w:val="none" w:sz="0" w:space="0" w:color="auto"/>
        <w:right w:val="none" w:sz="0" w:space="0" w:color="auto"/>
      </w:divBdr>
    </w:div>
    <w:div w:id="2010863786">
      <w:bodyDiv w:val="1"/>
      <w:marLeft w:val="0"/>
      <w:marRight w:val="0"/>
      <w:marTop w:val="0"/>
      <w:marBottom w:val="0"/>
      <w:divBdr>
        <w:top w:val="none" w:sz="0" w:space="0" w:color="auto"/>
        <w:left w:val="none" w:sz="0" w:space="0" w:color="auto"/>
        <w:bottom w:val="none" w:sz="0" w:space="0" w:color="auto"/>
        <w:right w:val="none" w:sz="0" w:space="0" w:color="auto"/>
      </w:divBdr>
    </w:div>
    <w:div w:id="2032104918">
      <w:bodyDiv w:val="1"/>
      <w:marLeft w:val="0"/>
      <w:marRight w:val="0"/>
      <w:marTop w:val="0"/>
      <w:marBottom w:val="0"/>
      <w:divBdr>
        <w:top w:val="none" w:sz="0" w:space="0" w:color="auto"/>
        <w:left w:val="none" w:sz="0" w:space="0" w:color="auto"/>
        <w:bottom w:val="none" w:sz="0" w:space="0" w:color="auto"/>
        <w:right w:val="none" w:sz="0" w:space="0" w:color="auto"/>
      </w:divBdr>
    </w:div>
    <w:div w:id="2108572653">
      <w:bodyDiv w:val="1"/>
      <w:marLeft w:val="0"/>
      <w:marRight w:val="0"/>
      <w:marTop w:val="0"/>
      <w:marBottom w:val="0"/>
      <w:divBdr>
        <w:top w:val="none" w:sz="0" w:space="0" w:color="auto"/>
        <w:left w:val="none" w:sz="0" w:space="0" w:color="auto"/>
        <w:bottom w:val="none" w:sz="0" w:space="0" w:color="auto"/>
        <w:right w:val="none" w:sz="0" w:space="0" w:color="auto"/>
      </w:divBdr>
      <w:divsChild>
        <w:div w:id="204146535">
          <w:marLeft w:val="0"/>
          <w:marRight w:val="0"/>
          <w:marTop w:val="0"/>
          <w:marBottom w:val="0"/>
          <w:divBdr>
            <w:top w:val="none" w:sz="0" w:space="0" w:color="auto"/>
            <w:left w:val="none" w:sz="0" w:space="0" w:color="auto"/>
            <w:bottom w:val="none" w:sz="0" w:space="0" w:color="auto"/>
            <w:right w:val="none" w:sz="0" w:space="0" w:color="auto"/>
          </w:divBdr>
        </w:div>
        <w:div w:id="1922250922">
          <w:marLeft w:val="0"/>
          <w:marRight w:val="0"/>
          <w:marTop w:val="0"/>
          <w:marBottom w:val="0"/>
          <w:divBdr>
            <w:top w:val="none" w:sz="0" w:space="0" w:color="auto"/>
            <w:left w:val="none" w:sz="0" w:space="0" w:color="auto"/>
            <w:bottom w:val="none" w:sz="0" w:space="0" w:color="auto"/>
            <w:right w:val="none" w:sz="0" w:space="0" w:color="auto"/>
          </w:divBdr>
        </w:div>
      </w:divsChild>
    </w:div>
    <w:div w:id="2129885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es.org/sites/default/files/eng/cop/17/WorkingDocs/E-CoP17-14-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0185-B22E-48C2-81DB-D07805DA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33</Pages>
  <Words>11217</Words>
  <Characters>63939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75006</CharactersWithSpaces>
  <SharedDoc>false</SharedDoc>
  <HLinks>
    <vt:vector size="186" baseType="variant">
      <vt:variant>
        <vt:i4>3670117</vt:i4>
      </vt:variant>
      <vt:variant>
        <vt:i4>150</vt:i4>
      </vt:variant>
      <vt:variant>
        <vt:i4>0</vt:i4>
      </vt:variant>
      <vt:variant>
        <vt:i4>5</vt:i4>
      </vt:variant>
      <vt:variant>
        <vt:lpwstr>http://ec.europa.eu/europeaid/prag/document.do</vt:lpwstr>
      </vt:variant>
      <vt:variant>
        <vt:lpwstr/>
      </vt:variant>
      <vt:variant>
        <vt:i4>1114162</vt:i4>
      </vt:variant>
      <vt:variant>
        <vt:i4>143</vt:i4>
      </vt:variant>
      <vt:variant>
        <vt:i4>0</vt:i4>
      </vt:variant>
      <vt:variant>
        <vt:i4>5</vt:i4>
      </vt:variant>
      <vt:variant>
        <vt:lpwstr/>
      </vt:variant>
      <vt:variant>
        <vt:lpwstr>_Toc467487931</vt:lpwstr>
      </vt:variant>
      <vt:variant>
        <vt:i4>1114162</vt:i4>
      </vt:variant>
      <vt:variant>
        <vt:i4>137</vt:i4>
      </vt:variant>
      <vt:variant>
        <vt:i4>0</vt:i4>
      </vt:variant>
      <vt:variant>
        <vt:i4>5</vt:i4>
      </vt:variant>
      <vt:variant>
        <vt:lpwstr/>
      </vt:variant>
      <vt:variant>
        <vt:lpwstr>_Toc467487930</vt:lpwstr>
      </vt:variant>
      <vt:variant>
        <vt:i4>1048626</vt:i4>
      </vt:variant>
      <vt:variant>
        <vt:i4>131</vt:i4>
      </vt:variant>
      <vt:variant>
        <vt:i4>0</vt:i4>
      </vt:variant>
      <vt:variant>
        <vt:i4>5</vt:i4>
      </vt:variant>
      <vt:variant>
        <vt:lpwstr/>
      </vt:variant>
      <vt:variant>
        <vt:lpwstr>_Toc467487929</vt:lpwstr>
      </vt:variant>
      <vt:variant>
        <vt:i4>1048626</vt:i4>
      </vt:variant>
      <vt:variant>
        <vt:i4>125</vt:i4>
      </vt:variant>
      <vt:variant>
        <vt:i4>0</vt:i4>
      </vt:variant>
      <vt:variant>
        <vt:i4>5</vt:i4>
      </vt:variant>
      <vt:variant>
        <vt:lpwstr/>
      </vt:variant>
      <vt:variant>
        <vt:lpwstr>_Toc467487928</vt:lpwstr>
      </vt:variant>
      <vt:variant>
        <vt:i4>1048626</vt:i4>
      </vt:variant>
      <vt:variant>
        <vt:i4>119</vt:i4>
      </vt:variant>
      <vt:variant>
        <vt:i4>0</vt:i4>
      </vt:variant>
      <vt:variant>
        <vt:i4>5</vt:i4>
      </vt:variant>
      <vt:variant>
        <vt:lpwstr/>
      </vt:variant>
      <vt:variant>
        <vt:lpwstr>_Toc467487927</vt:lpwstr>
      </vt:variant>
      <vt:variant>
        <vt:i4>1048626</vt:i4>
      </vt:variant>
      <vt:variant>
        <vt:i4>113</vt:i4>
      </vt:variant>
      <vt:variant>
        <vt:i4>0</vt:i4>
      </vt:variant>
      <vt:variant>
        <vt:i4>5</vt:i4>
      </vt:variant>
      <vt:variant>
        <vt:lpwstr/>
      </vt:variant>
      <vt:variant>
        <vt:lpwstr>_Toc467487926</vt:lpwstr>
      </vt:variant>
      <vt:variant>
        <vt:i4>1048626</vt:i4>
      </vt:variant>
      <vt:variant>
        <vt:i4>107</vt:i4>
      </vt:variant>
      <vt:variant>
        <vt:i4>0</vt:i4>
      </vt:variant>
      <vt:variant>
        <vt:i4>5</vt:i4>
      </vt:variant>
      <vt:variant>
        <vt:lpwstr/>
      </vt:variant>
      <vt:variant>
        <vt:lpwstr>_Toc467487925</vt:lpwstr>
      </vt:variant>
      <vt:variant>
        <vt:i4>1048626</vt:i4>
      </vt:variant>
      <vt:variant>
        <vt:i4>101</vt:i4>
      </vt:variant>
      <vt:variant>
        <vt:i4>0</vt:i4>
      </vt:variant>
      <vt:variant>
        <vt:i4>5</vt:i4>
      </vt:variant>
      <vt:variant>
        <vt:lpwstr/>
      </vt:variant>
      <vt:variant>
        <vt:lpwstr>_Toc467487924</vt:lpwstr>
      </vt:variant>
      <vt:variant>
        <vt:i4>1048626</vt:i4>
      </vt:variant>
      <vt:variant>
        <vt:i4>95</vt:i4>
      </vt:variant>
      <vt:variant>
        <vt:i4>0</vt:i4>
      </vt:variant>
      <vt:variant>
        <vt:i4>5</vt:i4>
      </vt:variant>
      <vt:variant>
        <vt:lpwstr/>
      </vt:variant>
      <vt:variant>
        <vt:lpwstr>_Toc467487923</vt:lpwstr>
      </vt:variant>
      <vt:variant>
        <vt:i4>1048626</vt:i4>
      </vt:variant>
      <vt:variant>
        <vt:i4>89</vt:i4>
      </vt:variant>
      <vt:variant>
        <vt:i4>0</vt:i4>
      </vt:variant>
      <vt:variant>
        <vt:i4>5</vt:i4>
      </vt:variant>
      <vt:variant>
        <vt:lpwstr/>
      </vt:variant>
      <vt:variant>
        <vt:lpwstr>_Toc467487922</vt:lpwstr>
      </vt:variant>
      <vt:variant>
        <vt:i4>1048626</vt:i4>
      </vt:variant>
      <vt:variant>
        <vt:i4>83</vt:i4>
      </vt:variant>
      <vt:variant>
        <vt:i4>0</vt:i4>
      </vt:variant>
      <vt:variant>
        <vt:i4>5</vt:i4>
      </vt:variant>
      <vt:variant>
        <vt:lpwstr/>
      </vt:variant>
      <vt:variant>
        <vt:lpwstr>_Toc467487921</vt:lpwstr>
      </vt:variant>
      <vt:variant>
        <vt:i4>1048626</vt:i4>
      </vt:variant>
      <vt:variant>
        <vt:i4>77</vt:i4>
      </vt:variant>
      <vt:variant>
        <vt:i4>0</vt:i4>
      </vt:variant>
      <vt:variant>
        <vt:i4>5</vt:i4>
      </vt:variant>
      <vt:variant>
        <vt:lpwstr/>
      </vt:variant>
      <vt:variant>
        <vt:lpwstr>_Toc467487920</vt:lpwstr>
      </vt:variant>
      <vt:variant>
        <vt:i4>1245234</vt:i4>
      </vt:variant>
      <vt:variant>
        <vt:i4>71</vt:i4>
      </vt:variant>
      <vt:variant>
        <vt:i4>0</vt:i4>
      </vt:variant>
      <vt:variant>
        <vt:i4>5</vt:i4>
      </vt:variant>
      <vt:variant>
        <vt:lpwstr/>
      </vt:variant>
      <vt:variant>
        <vt:lpwstr>_Toc467487919</vt:lpwstr>
      </vt:variant>
      <vt:variant>
        <vt:i4>1245234</vt:i4>
      </vt:variant>
      <vt:variant>
        <vt:i4>65</vt:i4>
      </vt:variant>
      <vt:variant>
        <vt:i4>0</vt:i4>
      </vt:variant>
      <vt:variant>
        <vt:i4>5</vt:i4>
      </vt:variant>
      <vt:variant>
        <vt:lpwstr/>
      </vt:variant>
      <vt:variant>
        <vt:lpwstr>_Toc467487918</vt:lpwstr>
      </vt:variant>
      <vt:variant>
        <vt:i4>1245234</vt:i4>
      </vt:variant>
      <vt:variant>
        <vt:i4>59</vt:i4>
      </vt:variant>
      <vt:variant>
        <vt:i4>0</vt:i4>
      </vt:variant>
      <vt:variant>
        <vt:i4>5</vt:i4>
      </vt:variant>
      <vt:variant>
        <vt:lpwstr/>
      </vt:variant>
      <vt:variant>
        <vt:lpwstr>_Toc467487917</vt:lpwstr>
      </vt:variant>
      <vt:variant>
        <vt:i4>1245234</vt:i4>
      </vt:variant>
      <vt:variant>
        <vt:i4>53</vt:i4>
      </vt:variant>
      <vt:variant>
        <vt:i4>0</vt:i4>
      </vt:variant>
      <vt:variant>
        <vt:i4>5</vt:i4>
      </vt:variant>
      <vt:variant>
        <vt:lpwstr/>
      </vt:variant>
      <vt:variant>
        <vt:lpwstr>_Toc467487916</vt:lpwstr>
      </vt:variant>
      <vt:variant>
        <vt:i4>1245234</vt:i4>
      </vt:variant>
      <vt:variant>
        <vt:i4>47</vt:i4>
      </vt:variant>
      <vt:variant>
        <vt:i4>0</vt:i4>
      </vt:variant>
      <vt:variant>
        <vt:i4>5</vt:i4>
      </vt:variant>
      <vt:variant>
        <vt:lpwstr/>
      </vt:variant>
      <vt:variant>
        <vt:lpwstr>_Toc467487915</vt:lpwstr>
      </vt:variant>
      <vt:variant>
        <vt:i4>1245234</vt:i4>
      </vt:variant>
      <vt:variant>
        <vt:i4>41</vt:i4>
      </vt:variant>
      <vt:variant>
        <vt:i4>0</vt:i4>
      </vt:variant>
      <vt:variant>
        <vt:i4>5</vt:i4>
      </vt:variant>
      <vt:variant>
        <vt:lpwstr/>
      </vt:variant>
      <vt:variant>
        <vt:lpwstr>_Toc467487914</vt:lpwstr>
      </vt:variant>
      <vt:variant>
        <vt:i4>1245234</vt:i4>
      </vt:variant>
      <vt:variant>
        <vt:i4>35</vt:i4>
      </vt:variant>
      <vt:variant>
        <vt:i4>0</vt:i4>
      </vt:variant>
      <vt:variant>
        <vt:i4>5</vt:i4>
      </vt:variant>
      <vt:variant>
        <vt:lpwstr/>
      </vt:variant>
      <vt:variant>
        <vt:lpwstr>_Toc467487913</vt:lpwstr>
      </vt:variant>
      <vt:variant>
        <vt:i4>1245234</vt:i4>
      </vt:variant>
      <vt:variant>
        <vt:i4>29</vt:i4>
      </vt:variant>
      <vt:variant>
        <vt:i4>0</vt:i4>
      </vt:variant>
      <vt:variant>
        <vt:i4>5</vt:i4>
      </vt:variant>
      <vt:variant>
        <vt:lpwstr/>
      </vt:variant>
      <vt:variant>
        <vt:lpwstr>_Toc467487912</vt:lpwstr>
      </vt:variant>
      <vt:variant>
        <vt:i4>1245234</vt:i4>
      </vt:variant>
      <vt:variant>
        <vt:i4>23</vt:i4>
      </vt:variant>
      <vt:variant>
        <vt:i4>0</vt:i4>
      </vt:variant>
      <vt:variant>
        <vt:i4>5</vt:i4>
      </vt:variant>
      <vt:variant>
        <vt:lpwstr/>
      </vt:variant>
      <vt:variant>
        <vt:lpwstr>_Toc467487911</vt:lpwstr>
      </vt:variant>
      <vt:variant>
        <vt:i4>1245234</vt:i4>
      </vt:variant>
      <vt:variant>
        <vt:i4>17</vt:i4>
      </vt:variant>
      <vt:variant>
        <vt:i4>0</vt:i4>
      </vt:variant>
      <vt:variant>
        <vt:i4>5</vt:i4>
      </vt:variant>
      <vt:variant>
        <vt:lpwstr/>
      </vt:variant>
      <vt:variant>
        <vt:lpwstr>_Toc467487910</vt:lpwstr>
      </vt:variant>
      <vt:variant>
        <vt:i4>1179698</vt:i4>
      </vt:variant>
      <vt:variant>
        <vt:i4>11</vt:i4>
      </vt:variant>
      <vt:variant>
        <vt:i4>0</vt:i4>
      </vt:variant>
      <vt:variant>
        <vt:i4>5</vt:i4>
      </vt:variant>
      <vt:variant>
        <vt:lpwstr/>
      </vt:variant>
      <vt:variant>
        <vt:lpwstr>_Toc467487909</vt:lpwstr>
      </vt:variant>
      <vt:variant>
        <vt:i4>1179698</vt:i4>
      </vt:variant>
      <vt:variant>
        <vt:i4>5</vt:i4>
      </vt:variant>
      <vt:variant>
        <vt:i4>0</vt:i4>
      </vt:variant>
      <vt:variant>
        <vt:i4>5</vt:i4>
      </vt:variant>
      <vt:variant>
        <vt:lpwstr/>
      </vt:variant>
      <vt:variant>
        <vt:lpwstr>_Toc467487908</vt:lpwstr>
      </vt:variant>
      <vt:variant>
        <vt:i4>8192005</vt:i4>
      </vt:variant>
      <vt:variant>
        <vt:i4>15</vt:i4>
      </vt:variant>
      <vt:variant>
        <vt:i4>0</vt:i4>
      </vt:variant>
      <vt:variant>
        <vt:i4>5</vt:i4>
      </vt:variant>
      <vt:variant>
        <vt:lpwstr>https://ec.europa.eu/europeaid/search/site/pador_en</vt:lpwstr>
      </vt:variant>
      <vt:variant>
        <vt:lpwstr/>
      </vt:variant>
      <vt:variant>
        <vt:i4>8192005</vt:i4>
      </vt:variant>
      <vt:variant>
        <vt:i4>12</vt:i4>
      </vt:variant>
      <vt:variant>
        <vt:i4>0</vt:i4>
      </vt:variant>
      <vt:variant>
        <vt:i4>5</vt:i4>
      </vt:variant>
      <vt:variant>
        <vt:lpwstr>https://ec.europa.eu/europeaid/search/site/pador_en</vt:lpwstr>
      </vt:variant>
      <vt:variant>
        <vt:lpwstr/>
      </vt:variant>
      <vt:variant>
        <vt:i4>8192005</vt:i4>
      </vt:variant>
      <vt:variant>
        <vt:i4>9</vt:i4>
      </vt:variant>
      <vt:variant>
        <vt:i4>0</vt:i4>
      </vt:variant>
      <vt:variant>
        <vt:i4>5</vt:i4>
      </vt:variant>
      <vt:variant>
        <vt:lpwstr>https://ec.europa.eu/europeaid/search/site/pador_en</vt:lpwstr>
      </vt:variant>
      <vt:variant>
        <vt:lpwstr/>
      </vt:variant>
      <vt:variant>
        <vt:i4>8192005</vt:i4>
      </vt:variant>
      <vt:variant>
        <vt:i4>6</vt:i4>
      </vt:variant>
      <vt:variant>
        <vt:i4>0</vt:i4>
      </vt:variant>
      <vt:variant>
        <vt:i4>5</vt:i4>
      </vt:variant>
      <vt:variant>
        <vt:lpwstr>https://ec.europa.eu/europeaid/search/site/pador_en</vt:lpwstr>
      </vt:variant>
      <vt:variant>
        <vt:lpwstr/>
      </vt:variant>
      <vt:variant>
        <vt:i4>1572957</vt:i4>
      </vt:variant>
      <vt:variant>
        <vt:i4>3</vt:i4>
      </vt:variant>
      <vt:variant>
        <vt:i4>0</vt:i4>
      </vt:variant>
      <vt:variant>
        <vt:i4>5</vt:i4>
      </vt:variant>
      <vt:variant>
        <vt:lpwstr>http://ec.europa.eu/europeaid/prag/annexes.do?group=E</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Laura.GIAMBELLI@ec.europa.eu</dc:creator>
  <cp:lastModifiedBy>Volha Kuzmianok</cp:lastModifiedBy>
  <cp:revision>14</cp:revision>
  <cp:lastPrinted>2017-02-07T08:23:00Z</cp:lastPrinted>
  <dcterms:created xsi:type="dcterms:W3CDTF">2017-11-08T13:26:00Z</dcterms:created>
  <dcterms:modified xsi:type="dcterms:W3CDTF">2017-11-09T11:07:00Z</dcterms:modified>
</cp:coreProperties>
</file>